
<file path=[Content_Types].xml><?xml version="1.0" encoding="utf-8"?>
<Types xmlns="http://schemas.openxmlformats.org/package/2006/content-types">
  <Default Extension="xml" ContentType="application/xml"/>
  <Default Extension="bin" ContentType="application/vnd.openxmlformats-officedocument.oleObject"/>
  <Default Extension="emf" ContentType="image/x-emf"/>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D20D773">
      <w:pPr>
        <w:keepNext w:val="0"/>
        <w:keepLines w:val="0"/>
        <w:pageBreakBefore w:val="0"/>
        <w:widowControl w:val="0"/>
        <w:shd w:val="clear"/>
        <w:kinsoku/>
        <w:wordWrap/>
        <w:overflowPunct/>
        <w:topLinePunct w:val="0"/>
        <w:autoSpaceDE/>
        <w:autoSpaceDN/>
        <w:bidi w:val="0"/>
        <w:adjustRightInd w:val="0"/>
        <w:snapToGrid w:val="0"/>
        <w:spacing w:line="288" w:lineRule="auto"/>
        <w:textAlignment w:val="auto"/>
        <w:rPr>
          <w:rFonts w:hint="default" w:ascii="Times New Roman" w:hAnsi="Times New Roman" w:eastAsia="宋体" w:cs="Times New Roman"/>
          <w:color w:val="auto"/>
          <w:highlight w:val="none"/>
        </w:rPr>
      </w:pPr>
    </w:p>
    <w:p w14:paraId="28E35BA0">
      <w:pPr>
        <w:keepNext w:val="0"/>
        <w:keepLines w:val="0"/>
        <w:pageBreakBefore w:val="0"/>
        <w:widowControl w:val="0"/>
        <w:shd w:val="clear"/>
        <w:kinsoku/>
        <w:wordWrap/>
        <w:overflowPunct/>
        <w:topLinePunct w:val="0"/>
        <w:autoSpaceDE/>
        <w:autoSpaceDN/>
        <w:bidi w:val="0"/>
        <w:adjustRightInd w:val="0"/>
        <w:snapToGrid w:val="0"/>
        <w:spacing w:line="288" w:lineRule="auto"/>
        <w:ind w:left="-1050" w:leftChars="-500"/>
        <w:textAlignment w:val="auto"/>
        <w:rPr>
          <w:rFonts w:hint="default" w:ascii="Times New Roman" w:hAnsi="Times New Roman" w:eastAsia="宋体" w:cs="Times New Roman"/>
          <w:color w:val="auto"/>
          <w:highlight w:val="none"/>
        </w:rPr>
      </w:pPr>
    </w:p>
    <w:p w14:paraId="15D0AD50">
      <w:pPr>
        <w:keepNext w:val="0"/>
        <w:keepLines w:val="0"/>
        <w:pageBreakBefore w:val="0"/>
        <w:widowControl w:val="0"/>
        <w:shd w:val="clear"/>
        <w:kinsoku/>
        <w:wordWrap/>
        <w:overflowPunct/>
        <w:topLinePunct w:val="0"/>
        <w:autoSpaceDE/>
        <w:autoSpaceDN/>
        <w:bidi w:val="0"/>
        <w:adjustRightInd w:val="0"/>
        <w:snapToGrid w:val="0"/>
        <w:spacing w:line="288" w:lineRule="auto"/>
        <w:ind w:left="-1050" w:leftChars="-500"/>
        <w:textAlignment w:val="auto"/>
        <w:rPr>
          <w:rFonts w:hint="default" w:ascii="Times New Roman" w:hAnsi="Times New Roman" w:eastAsia="宋体" w:cs="Times New Roman"/>
          <w:color w:val="auto"/>
          <w:highlight w:val="none"/>
        </w:rPr>
      </w:pPr>
    </w:p>
    <w:p w14:paraId="49068D37">
      <w:pPr>
        <w:keepNext w:val="0"/>
        <w:keepLines w:val="0"/>
        <w:pageBreakBefore w:val="0"/>
        <w:widowControl w:val="0"/>
        <w:shd w:val="clear"/>
        <w:kinsoku/>
        <w:wordWrap/>
        <w:overflowPunct/>
        <w:topLinePunct w:val="0"/>
        <w:autoSpaceDE/>
        <w:autoSpaceDN/>
        <w:bidi w:val="0"/>
        <w:adjustRightInd w:val="0"/>
        <w:snapToGrid w:val="0"/>
        <w:spacing w:line="288" w:lineRule="auto"/>
        <w:ind w:left="-1050" w:leftChars="-500"/>
        <w:textAlignment w:val="auto"/>
        <w:rPr>
          <w:rFonts w:hint="default" w:ascii="Times New Roman" w:hAnsi="Times New Roman" w:eastAsia="宋体" w:cs="Times New Roman"/>
          <w:color w:val="auto"/>
          <w:highlight w:val="none"/>
        </w:rPr>
      </w:pPr>
    </w:p>
    <w:p w14:paraId="40530F41">
      <w:pPr>
        <w:keepNext w:val="0"/>
        <w:keepLines w:val="0"/>
        <w:pageBreakBefore w:val="0"/>
        <w:widowControl w:val="0"/>
        <w:shd w:val="clear"/>
        <w:kinsoku/>
        <w:wordWrap/>
        <w:overflowPunct/>
        <w:topLinePunct w:val="0"/>
        <w:autoSpaceDE/>
        <w:autoSpaceDN/>
        <w:bidi w:val="0"/>
        <w:adjustRightInd w:val="0"/>
        <w:snapToGrid w:val="0"/>
        <w:spacing w:line="288" w:lineRule="auto"/>
        <w:ind w:left="-1050" w:leftChars="-500"/>
        <w:textAlignment w:val="auto"/>
        <w:rPr>
          <w:rFonts w:hint="default" w:ascii="Times New Roman" w:hAnsi="Times New Roman" w:eastAsia="宋体" w:cs="Times New Roman"/>
          <w:color w:val="auto"/>
          <w:highlight w:val="none"/>
        </w:rPr>
      </w:pPr>
    </w:p>
    <w:p w14:paraId="28AC73FE">
      <w:pPr>
        <w:keepNext w:val="0"/>
        <w:keepLines w:val="0"/>
        <w:pageBreakBefore w:val="0"/>
        <w:widowControl w:val="0"/>
        <w:shd w:val="clear"/>
        <w:kinsoku/>
        <w:wordWrap/>
        <w:overflowPunct/>
        <w:topLinePunct w:val="0"/>
        <w:autoSpaceDE/>
        <w:autoSpaceDN/>
        <w:bidi w:val="0"/>
        <w:adjustRightInd w:val="0"/>
        <w:snapToGrid w:val="0"/>
        <w:spacing w:line="288" w:lineRule="auto"/>
        <w:ind w:left="-1050" w:leftChars="-500"/>
        <w:textAlignment w:val="auto"/>
        <w:rPr>
          <w:rFonts w:hint="default" w:ascii="Times New Roman" w:hAnsi="Times New Roman" w:eastAsia="宋体" w:cs="Times New Roman"/>
          <w:color w:val="auto"/>
          <w:sz w:val="36"/>
          <w:szCs w:val="36"/>
          <w:highlight w:val="none"/>
          <w:lang w:val="en-US" w:eastAsia="zh-CN"/>
        </w:rPr>
      </w:pPr>
    </w:p>
    <w:p w14:paraId="6239213C">
      <w:pPr>
        <w:shd w:val="clear"/>
        <w:bidi w:val="0"/>
        <w:jc w:val="center"/>
        <w:rPr>
          <w:rFonts w:hint="default" w:ascii="Times New Roman" w:hAnsi="Times New Roman" w:cs="Times New Roman"/>
          <w:b/>
          <w:bCs/>
          <w:color w:val="auto"/>
          <w:sz w:val="48"/>
          <w:szCs w:val="48"/>
          <w:highlight w:val="none"/>
          <w:lang w:val="en-US" w:eastAsia="zh-CN"/>
        </w:rPr>
      </w:pPr>
      <w:r>
        <w:rPr>
          <w:rFonts w:hint="default" w:ascii="Times New Roman" w:hAnsi="Times New Roman" w:cs="Times New Roman"/>
          <w:b/>
          <w:bCs/>
          <w:color w:val="auto"/>
          <w:sz w:val="48"/>
          <w:szCs w:val="48"/>
          <w:highlight w:val="none"/>
          <w:lang w:val="en-US" w:eastAsia="zh-CN"/>
        </w:rPr>
        <w:t>建设项目环境影响报告表</w:t>
      </w:r>
    </w:p>
    <w:p w14:paraId="47E322D6">
      <w:pPr>
        <w:keepNext w:val="0"/>
        <w:keepLines w:val="0"/>
        <w:pageBreakBefore w:val="0"/>
        <w:widowControl w:val="0"/>
        <w:shd w:val="clear"/>
        <w:kinsoku/>
        <w:wordWrap/>
        <w:overflowPunct/>
        <w:topLinePunct w:val="0"/>
        <w:autoSpaceDE/>
        <w:autoSpaceDN/>
        <w:bidi w:val="0"/>
        <w:adjustRightInd w:val="0"/>
        <w:snapToGrid w:val="0"/>
        <w:spacing w:line="288" w:lineRule="auto"/>
        <w:ind w:left="-1050" w:leftChars="-500"/>
        <w:jc w:val="center"/>
        <w:textAlignment w:val="auto"/>
        <w:rPr>
          <w:rFonts w:hint="default" w:ascii="Times New Roman" w:hAnsi="Times New Roman" w:eastAsia="宋体" w:cs="Times New Roman"/>
          <w:color w:val="auto"/>
          <w:sz w:val="48"/>
          <w:szCs w:val="48"/>
          <w:highlight w:val="none"/>
          <w:lang w:val="en-US" w:eastAsia="zh-CN"/>
        </w:rPr>
      </w:pPr>
      <w:r>
        <w:rPr>
          <w:rFonts w:hint="default" w:ascii="Times New Roman" w:hAnsi="Times New Roman" w:eastAsia="宋体" w:cs="Times New Roman"/>
          <w:color w:val="auto"/>
          <w:sz w:val="48"/>
          <w:szCs w:val="48"/>
          <w:highlight w:val="none"/>
          <w:lang w:val="en-US" w:eastAsia="zh-CN"/>
        </w:rPr>
        <w:t>（污染影响型）</w:t>
      </w:r>
    </w:p>
    <w:p w14:paraId="1B6AA343">
      <w:pPr>
        <w:pStyle w:val="42"/>
        <w:shd w:val="clear"/>
        <w:ind w:left="0" w:leftChars="0" w:firstLine="0" w:firstLineChars="0"/>
        <w:rPr>
          <w:rFonts w:hint="default" w:ascii="Times New Roman" w:hAnsi="Times New Roman" w:eastAsia="宋体" w:cs="Times New Roman"/>
          <w:color w:val="auto"/>
          <w:sz w:val="36"/>
          <w:szCs w:val="36"/>
          <w:highlight w:val="none"/>
          <w:lang w:val="en-US" w:eastAsia="zh-CN"/>
        </w:rPr>
      </w:pPr>
    </w:p>
    <w:p w14:paraId="612A7127">
      <w:pPr>
        <w:shd w:val="clear"/>
        <w:rPr>
          <w:rFonts w:hint="default" w:ascii="Times New Roman" w:hAnsi="Times New Roman" w:eastAsia="宋体" w:cs="Times New Roman"/>
          <w:color w:val="auto"/>
          <w:sz w:val="36"/>
          <w:szCs w:val="36"/>
          <w:highlight w:val="none"/>
          <w:lang w:val="en-US" w:eastAsia="zh-CN"/>
        </w:rPr>
      </w:pPr>
    </w:p>
    <w:p w14:paraId="18376C23">
      <w:pPr>
        <w:pStyle w:val="40"/>
        <w:shd w:val="clear"/>
        <w:jc w:val="both"/>
        <w:rPr>
          <w:rFonts w:hint="default" w:ascii="Times New Roman" w:hAnsi="Times New Roman" w:eastAsia="宋体" w:cs="Times New Roman"/>
          <w:color w:val="auto"/>
          <w:sz w:val="36"/>
          <w:szCs w:val="36"/>
          <w:highlight w:val="none"/>
          <w:lang w:val="en-US" w:eastAsia="zh-CN"/>
        </w:rPr>
      </w:pPr>
    </w:p>
    <w:p w14:paraId="1A1E082F">
      <w:pPr>
        <w:pStyle w:val="42"/>
        <w:shd w:val="clear"/>
        <w:ind w:left="0" w:leftChars="0" w:firstLine="0" w:firstLineChars="0"/>
        <w:rPr>
          <w:rFonts w:hint="default" w:ascii="Times New Roman" w:hAnsi="Times New Roman" w:eastAsia="宋体" w:cs="Times New Roman"/>
          <w:color w:val="auto"/>
          <w:sz w:val="36"/>
          <w:szCs w:val="36"/>
          <w:highlight w:val="none"/>
          <w:lang w:val="en-US" w:eastAsia="zh-CN"/>
        </w:rPr>
      </w:pPr>
    </w:p>
    <w:p w14:paraId="470E141E">
      <w:pPr>
        <w:pStyle w:val="42"/>
        <w:shd w:val="clear"/>
        <w:ind w:left="0" w:leftChars="0" w:firstLine="0" w:firstLineChars="0"/>
        <w:rPr>
          <w:rFonts w:hint="default" w:ascii="Times New Roman" w:hAnsi="Times New Roman" w:eastAsia="宋体" w:cs="Times New Roman"/>
          <w:color w:val="auto"/>
          <w:sz w:val="36"/>
          <w:szCs w:val="36"/>
          <w:highlight w:val="none"/>
          <w:lang w:val="en-US" w:eastAsia="zh-CN"/>
        </w:rPr>
      </w:pPr>
    </w:p>
    <w:p w14:paraId="4E107EB9">
      <w:pPr>
        <w:shd w:val="clear"/>
        <w:rPr>
          <w:rFonts w:hint="default" w:ascii="Times New Roman" w:hAnsi="Times New Roman" w:eastAsia="宋体" w:cs="Times New Roman"/>
          <w:color w:val="auto"/>
          <w:highlight w:val="none"/>
          <w:lang w:val="en-US" w:eastAsia="zh-CN"/>
        </w:rPr>
      </w:pPr>
    </w:p>
    <w:p w14:paraId="42289860">
      <w:pPr>
        <w:keepNext w:val="0"/>
        <w:keepLines w:val="0"/>
        <w:pageBreakBefore w:val="0"/>
        <w:widowControl w:val="0"/>
        <w:shd w:val="clear"/>
        <w:kinsoku/>
        <w:bidi w:val="0"/>
        <w:snapToGrid/>
        <w:spacing w:line="360" w:lineRule="auto"/>
        <w:jc w:val="center"/>
        <w:rPr>
          <w:rFonts w:hint="default" w:ascii="Times New Roman" w:hAnsi="Times New Roman" w:eastAsia="宋体" w:cs="Times New Roman"/>
          <w:color w:val="auto"/>
          <w:sz w:val="32"/>
          <w:szCs w:val="32"/>
          <w:highlight w:val="none"/>
          <w:u w:val="single"/>
          <w:lang w:val="en-US" w:eastAsia="zh-CN"/>
        </w:rPr>
      </w:pPr>
      <w:r>
        <w:rPr>
          <w:rFonts w:hint="default" w:ascii="Times New Roman" w:hAnsi="Times New Roman" w:eastAsia="宋体" w:cs="Times New Roman"/>
          <w:color w:val="auto"/>
          <w:sz w:val="32"/>
          <w:szCs w:val="32"/>
          <w:highlight w:val="none"/>
          <w:lang w:val="en-US" w:eastAsia="zh-CN"/>
        </w:rPr>
        <w:t>项目名称：</w:t>
      </w:r>
      <w:r>
        <w:rPr>
          <w:rFonts w:hint="default" w:ascii="Times New Roman" w:hAnsi="Times New Roman" w:eastAsia="宋体" w:cs="Times New Roman"/>
          <w:color w:val="auto"/>
          <w:sz w:val="32"/>
          <w:szCs w:val="32"/>
          <w:highlight w:val="none"/>
          <w:u w:val="single"/>
          <w:lang w:val="en-US" w:eastAsia="zh-CN"/>
        </w:rPr>
        <w:t>中山天青检测技术有限公司年编制800份环境检测报告项目</w:t>
      </w:r>
    </w:p>
    <w:p w14:paraId="4200AC8F">
      <w:pPr>
        <w:keepNext w:val="0"/>
        <w:keepLines w:val="0"/>
        <w:pageBreakBefore w:val="0"/>
        <w:widowControl w:val="0"/>
        <w:shd w:val="clear"/>
        <w:kinsoku/>
        <w:bidi w:val="0"/>
        <w:snapToGrid/>
        <w:spacing w:line="360" w:lineRule="auto"/>
        <w:jc w:val="center"/>
        <w:rPr>
          <w:rFonts w:hint="default" w:ascii="Times New Roman" w:hAnsi="Times New Roman" w:eastAsia="宋体" w:cs="Times New Roman"/>
          <w:color w:val="auto"/>
          <w:sz w:val="32"/>
          <w:szCs w:val="32"/>
          <w:highlight w:val="none"/>
          <w:lang w:val="en-US" w:eastAsia="zh-CN"/>
        </w:rPr>
      </w:pPr>
      <w:r>
        <w:rPr>
          <w:rFonts w:hint="default" w:ascii="Times New Roman" w:hAnsi="Times New Roman" w:eastAsia="宋体" w:cs="Times New Roman"/>
          <w:color w:val="auto"/>
          <w:sz w:val="32"/>
          <w:szCs w:val="32"/>
          <w:highlight w:val="none"/>
          <w:lang w:val="en-US" w:eastAsia="zh-CN"/>
        </w:rPr>
        <w:t>建设单位(盖章)：</w:t>
      </w:r>
      <w:r>
        <w:rPr>
          <w:rFonts w:hint="default" w:ascii="Times New Roman" w:hAnsi="Times New Roman" w:cs="Times New Roman"/>
          <w:color w:val="auto"/>
          <w:sz w:val="32"/>
          <w:szCs w:val="32"/>
          <w:highlight w:val="none"/>
          <w:u w:val="single"/>
          <w:lang w:val="en-US" w:eastAsia="zh-CN"/>
        </w:rPr>
        <w:t>中山天青检测技术有限公司</w:t>
      </w:r>
    </w:p>
    <w:p w14:paraId="2A548305">
      <w:pPr>
        <w:pStyle w:val="42"/>
        <w:keepNext w:val="0"/>
        <w:keepLines w:val="0"/>
        <w:pageBreakBefore w:val="0"/>
        <w:widowControl w:val="0"/>
        <w:shd w:val="clear"/>
        <w:kinsoku/>
        <w:bidi w:val="0"/>
        <w:snapToGrid/>
        <w:spacing w:line="360" w:lineRule="auto"/>
        <w:ind w:left="0" w:leftChars="0" w:firstLine="0" w:firstLineChars="0"/>
        <w:jc w:val="center"/>
        <w:rPr>
          <w:rFonts w:hint="default" w:ascii="Times New Roman" w:hAnsi="Times New Roman" w:eastAsia="宋体" w:cs="Times New Roman"/>
          <w:color w:val="auto"/>
          <w:sz w:val="32"/>
          <w:szCs w:val="32"/>
          <w:highlight w:val="none"/>
          <w:lang w:val="en-US" w:eastAsia="zh-CN"/>
        </w:rPr>
      </w:pPr>
      <w:r>
        <w:rPr>
          <w:rFonts w:hint="default" w:ascii="Times New Roman" w:hAnsi="Times New Roman" w:eastAsia="宋体" w:cs="Times New Roman"/>
          <w:color w:val="auto"/>
          <w:sz w:val="32"/>
          <w:szCs w:val="32"/>
          <w:highlight w:val="none"/>
          <w:lang w:val="en-US" w:eastAsia="zh-CN"/>
        </w:rPr>
        <w:t>编制日期：202</w:t>
      </w:r>
      <w:r>
        <w:rPr>
          <w:rFonts w:hint="eastAsia" w:ascii="Times New Roman" w:hAnsi="Times New Roman" w:cs="Times New Roman"/>
          <w:color w:val="auto"/>
          <w:sz w:val="32"/>
          <w:szCs w:val="32"/>
          <w:highlight w:val="none"/>
          <w:lang w:val="en-US" w:eastAsia="zh-CN"/>
        </w:rPr>
        <w:t>6</w:t>
      </w:r>
      <w:r>
        <w:rPr>
          <w:rFonts w:hint="default" w:ascii="Times New Roman" w:hAnsi="Times New Roman" w:eastAsia="宋体" w:cs="Times New Roman"/>
          <w:color w:val="auto"/>
          <w:sz w:val="32"/>
          <w:szCs w:val="32"/>
          <w:highlight w:val="none"/>
          <w:lang w:val="en-US" w:eastAsia="zh-CN"/>
        </w:rPr>
        <w:t>年</w:t>
      </w:r>
      <w:r>
        <w:rPr>
          <w:rFonts w:hint="eastAsia" w:ascii="Times New Roman" w:hAnsi="Times New Roman" w:cs="Times New Roman"/>
          <w:color w:val="auto"/>
          <w:sz w:val="32"/>
          <w:szCs w:val="32"/>
          <w:highlight w:val="none"/>
          <w:lang w:val="en-US" w:eastAsia="zh-CN"/>
        </w:rPr>
        <w:t>4</w:t>
      </w:r>
      <w:r>
        <w:rPr>
          <w:rFonts w:hint="default" w:ascii="Times New Roman" w:hAnsi="Times New Roman" w:eastAsia="宋体" w:cs="Times New Roman"/>
          <w:color w:val="auto"/>
          <w:sz w:val="32"/>
          <w:szCs w:val="32"/>
          <w:highlight w:val="none"/>
          <w:lang w:val="en-US" w:eastAsia="zh-CN"/>
        </w:rPr>
        <w:t>月</w:t>
      </w:r>
    </w:p>
    <w:p w14:paraId="47F2AE6D">
      <w:pPr>
        <w:shd w:val="clear"/>
        <w:rPr>
          <w:rFonts w:hint="default" w:ascii="Times New Roman" w:hAnsi="Times New Roman" w:eastAsia="宋体" w:cs="Times New Roman"/>
          <w:color w:val="auto"/>
          <w:sz w:val="36"/>
          <w:szCs w:val="36"/>
          <w:highlight w:val="none"/>
          <w:lang w:val="en-US" w:eastAsia="zh-CN"/>
        </w:rPr>
      </w:pPr>
    </w:p>
    <w:p w14:paraId="06BC4EEA">
      <w:pPr>
        <w:pStyle w:val="40"/>
        <w:shd w:val="clear"/>
        <w:jc w:val="both"/>
        <w:rPr>
          <w:rFonts w:hint="default" w:ascii="Times New Roman" w:hAnsi="Times New Roman" w:eastAsia="宋体" w:cs="Times New Roman"/>
          <w:color w:val="auto"/>
          <w:sz w:val="36"/>
          <w:szCs w:val="36"/>
          <w:highlight w:val="none"/>
          <w:lang w:val="en-US" w:eastAsia="zh-CN"/>
        </w:rPr>
      </w:pPr>
    </w:p>
    <w:p w14:paraId="040BAA6B">
      <w:pPr>
        <w:pStyle w:val="42"/>
        <w:shd w:val="clear"/>
        <w:ind w:left="0" w:leftChars="0" w:firstLine="0" w:firstLineChars="0"/>
        <w:rPr>
          <w:rFonts w:hint="default" w:ascii="Times New Roman" w:hAnsi="Times New Roman" w:eastAsia="宋体" w:cs="Times New Roman"/>
          <w:color w:val="auto"/>
          <w:sz w:val="36"/>
          <w:szCs w:val="36"/>
          <w:highlight w:val="none"/>
          <w:lang w:val="en-US" w:eastAsia="zh-CN"/>
        </w:rPr>
      </w:pPr>
    </w:p>
    <w:p w14:paraId="2B12EC54">
      <w:pPr>
        <w:shd w:val="clear"/>
        <w:rPr>
          <w:rFonts w:hint="default" w:ascii="Times New Roman" w:hAnsi="Times New Roman" w:eastAsia="宋体" w:cs="Times New Roman"/>
          <w:color w:val="auto"/>
          <w:sz w:val="36"/>
          <w:szCs w:val="36"/>
          <w:highlight w:val="none"/>
          <w:lang w:val="en-US" w:eastAsia="zh-CN"/>
        </w:rPr>
      </w:pPr>
    </w:p>
    <w:p w14:paraId="13612FC9">
      <w:pPr>
        <w:shd w:val="clear"/>
        <w:bidi w:val="0"/>
        <w:jc w:val="center"/>
        <w:rPr>
          <w:rFonts w:hint="default" w:ascii="Times New Roman" w:hAnsi="Times New Roman" w:cs="Times New Roman"/>
          <w:color w:val="auto"/>
          <w:sz w:val="36"/>
          <w:szCs w:val="36"/>
          <w:highlight w:val="none"/>
          <w:lang w:val="en-US" w:eastAsia="zh-CN"/>
        </w:rPr>
      </w:pPr>
      <w:r>
        <w:rPr>
          <w:rFonts w:hint="default" w:ascii="Times New Roman" w:hAnsi="Times New Roman" w:cs="Times New Roman"/>
          <w:color w:val="auto"/>
          <w:sz w:val="36"/>
          <w:szCs w:val="36"/>
          <w:highlight w:val="none"/>
          <w:lang w:val="en-US" w:eastAsia="zh-CN"/>
        </w:rPr>
        <w:t>中华人民共和国生态环境部制</w:t>
      </w:r>
    </w:p>
    <w:p w14:paraId="5F1CF8F2">
      <w:pPr>
        <w:pStyle w:val="40"/>
        <w:shd w:val="clear"/>
        <w:jc w:val="both"/>
        <w:rPr>
          <w:rFonts w:hint="default" w:ascii="Times New Roman" w:hAnsi="Times New Roman" w:eastAsia="宋体" w:cs="Times New Roman"/>
          <w:color w:val="auto"/>
          <w:sz w:val="36"/>
          <w:szCs w:val="36"/>
          <w:highlight w:val="none"/>
          <w:lang w:val="en-US" w:eastAsia="zh-CN"/>
        </w:rPr>
      </w:pPr>
    </w:p>
    <w:p w14:paraId="54B5C4CE">
      <w:pPr>
        <w:pStyle w:val="42"/>
        <w:shd w:val="clear"/>
        <w:ind w:left="0" w:leftChars="0" w:firstLine="0" w:firstLineChars="0"/>
        <w:rPr>
          <w:rFonts w:hint="default" w:ascii="Times New Roman" w:hAnsi="Times New Roman" w:eastAsia="宋体" w:cs="Times New Roman"/>
          <w:color w:val="auto"/>
          <w:highlight w:val="none"/>
          <w:lang w:val="en-US" w:eastAsia="zh-CN"/>
        </w:rPr>
      </w:pPr>
    </w:p>
    <w:p w14:paraId="032ABD49">
      <w:pPr>
        <w:pStyle w:val="40"/>
        <w:shd w:val="clear"/>
        <w:rPr>
          <w:rFonts w:hint="default" w:ascii="Times New Roman" w:hAnsi="Times New Roman" w:eastAsia="宋体" w:cs="Times New Roman"/>
          <w:color w:val="auto"/>
          <w:highlight w:val="none"/>
          <w:lang w:val="en-US" w:eastAsia="zh-CN"/>
        </w:rPr>
        <w:sectPr>
          <w:footerReference r:id="rId3" w:type="default"/>
          <w:footerReference r:id="rId4" w:type="even"/>
          <w:pgSz w:w="11906" w:h="16838"/>
          <w:pgMar w:top="1701" w:right="1531" w:bottom="1701" w:left="1531" w:header="851" w:footer="850" w:gutter="0"/>
          <w:pgNumType w:start="3"/>
          <w:cols w:space="720" w:num="1"/>
          <w:docGrid w:linePitch="312" w:charSpace="0"/>
        </w:sectPr>
      </w:pPr>
    </w:p>
    <w:p w14:paraId="2A9C93D4">
      <w:pPr>
        <w:shd w:val="clear"/>
        <w:spacing w:before="0" w:beforeLines="0" w:after="0" w:afterLines="0" w:line="240" w:lineRule="auto"/>
        <w:ind w:left="0" w:leftChars="0" w:right="0" w:rightChars="0" w:firstLine="0" w:firstLineChars="0"/>
        <w:jc w:val="center"/>
        <w:rPr>
          <w:rFonts w:hint="default" w:ascii="Times New Roman" w:hAnsi="Times New Roman" w:eastAsia="宋体" w:cs="Times New Roman"/>
          <w:b/>
          <w:bCs/>
          <w:color w:val="auto"/>
          <w:sz w:val="32"/>
          <w:szCs w:val="32"/>
          <w:highlight w:val="none"/>
        </w:rPr>
      </w:pPr>
      <w:r>
        <w:rPr>
          <w:rFonts w:hint="default" w:ascii="Times New Roman" w:hAnsi="Times New Roman" w:eastAsia="宋体" w:cs="Times New Roman"/>
          <w:b/>
          <w:bCs/>
          <w:color w:val="auto"/>
          <w:sz w:val="32"/>
          <w:szCs w:val="32"/>
          <w:highlight w:val="none"/>
        </w:rPr>
        <w:t>目录</w:t>
      </w:r>
    </w:p>
    <w:p w14:paraId="55E8A926">
      <w:pPr>
        <w:pStyle w:val="28"/>
        <w:shd w:val="clear"/>
        <w:tabs>
          <w:tab w:val="right" w:leader="dot" w:pos="8844"/>
        </w:tabs>
        <w:rPr>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TOC \o "1-2" \h \u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HYPERLINK \l _Toc14488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szCs w:val="32"/>
          <w:highlight w:val="none"/>
        </w:rPr>
        <w:t>一、建设项目基本情况</w:t>
      </w:r>
      <w:r>
        <w:rPr>
          <w:color w:val="auto"/>
          <w:highlight w:val="none"/>
        </w:rPr>
        <w:tab/>
      </w:r>
      <w:r>
        <w:rPr>
          <w:color w:val="auto"/>
          <w:highlight w:val="none"/>
        </w:rPr>
        <w:fldChar w:fldCharType="begin"/>
      </w:r>
      <w:r>
        <w:rPr>
          <w:color w:val="auto"/>
          <w:highlight w:val="none"/>
        </w:rPr>
        <w:instrText xml:space="preserve"> PAGEREF _Toc14488 \h </w:instrText>
      </w:r>
      <w:r>
        <w:rPr>
          <w:color w:val="auto"/>
          <w:highlight w:val="none"/>
        </w:rPr>
        <w:fldChar w:fldCharType="separate"/>
      </w:r>
      <w:r>
        <w:rPr>
          <w:color w:val="auto"/>
          <w:highlight w:val="none"/>
        </w:rPr>
        <w:t>1</w:t>
      </w:r>
      <w:r>
        <w:rPr>
          <w:color w:val="auto"/>
          <w:highlight w:val="none"/>
        </w:rPr>
        <w:fldChar w:fldCharType="end"/>
      </w:r>
      <w:r>
        <w:rPr>
          <w:rFonts w:hint="default" w:ascii="Times New Roman" w:hAnsi="Times New Roman" w:eastAsia="宋体" w:cs="Times New Roman"/>
          <w:color w:val="auto"/>
          <w:highlight w:val="none"/>
        </w:rPr>
        <w:fldChar w:fldCharType="end"/>
      </w:r>
    </w:p>
    <w:p w14:paraId="02480AD4">
      <w:pPr>
        <w:pStyle w:val="28"/>
        <w:shd w:val="clear"/>
        <w:tabs>
          <w:tab w:val="right" w:leader="dot" w:pos="8844"/>
        </w:tabs>
        <w:rPr>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HYPERLINK \l _Toc1559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szCs w:val="32"/>
          <w:highlight w:val="none"/>
        </w:rPr>
        <w:t>二、建设项目工程分析</w:t>
      </w:r>
      <w:r>
        <w:rPr>
          <w:color w:val="auto"/>
          <w:highlight w:val="none"/>
        </w:rPr>
        <w:tab/>
      </w:r>
      <w:r>
        <w:rPr>
          <w:color w:val="auto"/>
          <w:highlight w:val="none"/>
        </w:rPr>
        <w:fldChar w:fldCharType="begin"/>
      </w:r>
      <w:r>
        <w:rPr>
          <w:color w:val="auto"/>
          <w:highlight w:val="none"/>
        </w:rPr>
        <w:instrText xml:space="preserve"> PAGEREF _Toc1559 \h </w:instrText>
      </w:r>
      <w:r>
        <w:rPr>
          <w:color w:val="auto"/>
          <w:highlight w:val="none"/>
        </w:rPr>
        <w:fldChar w:fldCharType="separate"/>
      </w:r>
      <w:r>
        <w:rPr>
          <w:color w:val="auto"/>
          <w:highlight w:val="none"/>
        </w:rPr>
        <w:t>8</w:t>
      </w:r>
      <w:r>
        <w:rPr>
          <w:color w:val="auto"/>
          <w:highlight w:val="none"/>
        </w:rPr>
        <w:fldChar w:fldCharType="end"/>
      </w:r>
      <w:r>
        <w:rPr>
          <w:rFonts w:hint="default" w:ascii="Times New Roman" w:hAnsi="Times New Roman" w:eastAsia="宋体" w:cs="Times New Roman"/>
          <w:color w:val="auto"/>
          <w:highlight w:val="none"/>
        </w:rPr>
        <w:fldChar w:fldCharType="end"/>
      </w:r>
    </w:p>
    <w:p w14:paraId="0242EC5D">
      <w:pPr>
        <w:pStyle w:val="28"/>
        <w:shd w:val="clear"/>
        <w:tabs>
          <w:tab w:val="right" w:leader="dot" w:pos="8844"/>
        </w:tabs>
        <w:rPr>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HYPERLINK \l _Toc3817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szCs w:val="32"/>
          <w:highlight w:val="none"/>
        </w:rPr>
        <w:t>三、区域环境质量现状、环境保护目标及评价标准</w:t>
      </w:r>
      <w:r>
        <w:rPr>
          <w:color w:val="auto"/>
          <w:highlight w:val="none"/>
        </w:rPr>
        <w:tab/>
      </w:r>
      <w:r>
        <w:rPr>
          <w:color w:val="auto"/>
          <w:highlight w:val="none"/>
        </w:rPr>
        <w:fldChar w:fldCharType="begin"/>
      </w:r>
      <w:r>
        <w:rPr>
          <w:color w:val="auto"/>
          <w:highlight w:val="none"/>
        </w:rPr>
        <w:instrText xml:space="preserve"> PAGEREF _Toc3817 \h </w:instrText>
      </w:r>
      <w:r>
        <w:rPr>
          <w:color w:val="auto"/>
          <w:highlight w:val="none"/>
        </w:rPr>
        <w:fldChar w:fldCharType="separate"/>
      </w:r>
      <w:r>
        <w:rPr>
          <w:color w:val="auto"/>
          <w:highlight w:val="none"/>
        </w:rPr>
        <w:t>29</w:t>
      </w:r>
      <w:r>
        <w:rPr>
          <w:color w:val="auto"/>
          <w:highlight w:val="none"/>
        </w:rPr>
        <w:fldChar w:fldCharType="end"/>
      </w:r>
      <w:r>
        <w:rPr>
          <w:rFonts w:hint="default" w:ascii="Times New Roman" w:hAnsi="Times New Roman" w:eastAsia="宋体" w:cs="Times New Roman"/>
          <w:color w:val="auto"/>
          <w:highlight w:val="none"/>
        </w:rPr>
        <w:fldChar w:fldCharType="end"/>
      </w:r>
    </w:p>
    <w:p w14:paraId="165BFAD0">
      <w:pPr>
        <w:pStyle w:val="28"/>
        <w:shd w:val="clear"/>
        <w:tabs>
          <w:tab w:val="right" w:leader="dot" w:pos="8844"/>
        </w:tabs>
        <w:rPr>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HYPERLINK \l _Toc17334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szCs w:val="32"/>
          <w:highlight w:val="none"/>
        </w:rPr>
        <w:t>四、主要环境影响和保护措施</w:t>
      </w:r>
      <w:r>
        <w:rPr>
          <w:color w:val="auto"/>
          <w:highlight w:val="none"/>
        </w:rPr>
        <w:tab/>
      </w:r>
      <w:r>
        <w:rPr>
          <w:color w:val="auto"/>
          <w:highlight w:val="none"/>
        </w:rPr>
        <w:fldChar w:fldCharType="begin"/>
      </w:r>
      <w:r>
        <w:rPr>
          <w:color w:val="auto"/>
          <w:highlight w:val="none"/>
        </w:rPr>
        <w:instrText xml:space="preserve"> PAGEREF _Toc17334 \h </w:instrText>
      </w:r>
      <w:r>
        <w:rPr>
          <w:color w:val="auto"/>
          <w:highlight w:val="none"/>
        </w:rPr>
        <w:fldChar w:fldCharType="separate"/>
      </w:r>
      <w:r>
        <w:rPr>
          <w:color w:val="auto"/>
          <w:highlight w:val="none"/>
        </w:rPr>
        <w:t>38</w:t>
      </w:r>
      <w:r>
        <w:rPr>
          <w:color w:val="auto"/>
          <w:highlight w:val="none"/>
        </w:rPr>
        <w:fldChar w:fldCharType="end"/>
      </w:r>
      <w:r>
        <w:rPr>
          <w:rFonts w:hint="default" w:ascii="Times New Roman" w:hAnsi="Times New Roman" w:eastAsia="宋体" w:cs="Times New Roman"/>
          <w:color w:val="auto"/>
          <w:highlight w:val="none"/>
        </w:rPr>
        <w:fldChar w:fldCharType="end"/>
      </w:r>
    </w:p>
    <w:p w14:paraId="211486AE">
      <w:pPr>
        <w:pStyle w:val="28"/>
        <w:shd w:val="clear"/>
        <w:tabs>
          <w:tab w:val="right" w:leader="dot" w:pos="8844"/>
        </w:tabs>
        <w:rPr>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HYPERLINK \l _Toc3574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szCs w:val="32"/>
          <w:highlight w:val="none"/>
        </w:rPr>
        <w:t>五、环境保护措施监督检查清单</w:t>
      </w:r>
      <w:r>
        <w:rPr>
          <w:color w:val="auto"/>
          <w:highlight w:val="none"/>
        </w:rPr>
        <w:tab/>
      </w:r>
      <w:r>
        <w:rPr>
          <w:color w:val="auto"/>
          <w:highlight w:val="none"/>
        </w:rPr>
        <w:fldChar w:fldCharType="begin"/>
      </w:r>
      <w:r>
        <w:rPr>
          <w:color w:val="auto"/>
          <w:highlight w:val="none"/>
        </w:rPr>
        <w:instrText xml:space="preserve"> PAGEREF _Toc3574 \h </w:instrText>
      </w:r>
      <w:r>
        <w:rPr>
          <w:color w:val="auto"/>
          <w:highlight w:val="none"/>
        </w:rPr>
        <w:fldChar w:fldCharType="separate"/>
      </w:r>
      <w:r>
        <w:rPr>
          <w:color w:val="auto"/>
          <w:highlight w:val="none"/>
        </w:rPr>
        <w:t>68</w:t>
      </w:r>
      <w:r>
        <w:rPr>
          <w:color w:val="auto"/>
          <w:highlight w:val="none"/>
        </w:rPr>
        <w:fldChar w:fldCharType="end"/>
      </w:r>
      <w:r>
        <w:rPr>
          <w:rFonts w:hint="default" w:ascii="Times New Roman" w:hAnsi="Times New Roman" w:eastAsia="宋体" w:cs="Times New Roman"/>
          <w:color w:val="auto"/>
          <w:highlight w:val="none"/>
        </w:rPr>
        <w:fldChar w:fldCharType="end"/>
      </w:r>
    </w:p>
    <w:p w14:paraId="6FDFFC58">
      <w:pPr>
        <w:pStyle w:val="28"/>
        <w:shd w:val="clear"/>
        <w:tabs>
          <w:tab w:val="right" w:leader="dot" w:pos="8844"/>
        </w:tabs>
        <w:rPr>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HYPERLINK \l _Toc12785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szCs w:val="32"/>
          <w:highlight w:val="none"/>
        </w:rPr>
        <w:t>六、结论</w:t>
      </w:r>
      <w:r>
        <w:rPr>
          <w:color w:val="auto"/>
          <w:highlight w:val="none"/>
        </w:rPr>
        <w:tab/>
      </w:r>
      <w:r>
        <w:rPr>
          <w:color w:val="auto"/>
          <w:highlight w:val="none"/>
        </w:rPr>
        <w:fldChar w:fldCharType="begin"/>
      </w:r>
      <w:r>
        <w:rPr>
          <w:color w:val="auto"/>
          <w:highlight w:val="none"/>
        </w:rPr>
        <w:instrText xml:space="preserve"> PAGEREF _Toc12785 \h </w:instrText>
      </w:r>
      <w:r>
        <w:rPr>
          <w:color w:val="auto"/>
          <w:highlight w:val="none"/>
        </w:rPr>
        <w:fldChar w:fldCharType="separate"/>
      </w:r>
      <w:r>
        <w:rPr>
          <w:color w:val="auto"/>
          <w:highlight w:val="none"/>
        </w:rPr>
        <w:t>72</w:t>
      </w:r>
      <w:r>
        <w:rPr>
          <w:color w:val="auto"/>
          <w:highlight w:val="none"/>
        </w:rPr>
        <w:fldChar w:fldCharType="end"/>
      </w:r>
      <w:r>
        <w:rPr>
          <w:rFonts w:hint="default" w:ascii="Times New Roman" w:hAnsi="Times New Roman" w:eastAsia="宋体" w:cs="Times New Roman"/>
          <w:color w:val="auto"/>
          <w:highlight w:val="none"/>
        </w:rPr>
        <w:fldChar w:fldCharType="end"/>
      </w:r>
    </w:p>
    <w:p w14:paraId="32C550B2">
      <w:pPr>
        <w:pStyle w:val="28"/>
        <w:shd w:val="clear"/>
        <w:tabs>
          <w:tab w:val="right" w:leader="dot" w:pos="8844"/>
        </w:tabs>
        <w:rPr>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HYPERLINK \l _Toc18370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建设项目污染物排放量汇总表</w:t>
      </w:r>
      <w:r>
        <w:rPr>
          <w:color w:val="auto"/>
          <w:highlight w:val="none"/>
        </w:rPr>
        <w:tab/>
      </w:r>
      <w:r>
        <w:rPr>
          <w:color w:val="auto"/>
          <w:highlight w:val="none"/>
        </w:rPr>
        <w:fldChar w:fldCharType="begin"/>
      </w:r>
      <w:r>
        <w:rPr>
          <w:color w:val="auto"/>
          <w:highlight w:val="none"/>
        </w:rPr>
        <w:instrText xml:space="preserve"> PAGEREF _Toc18370 \h </w:instrText>
      </w:r>
      <w:r>
        <w:rPr>
          <w:color w:val="auto"/>
          <w:highlight w:val="none"/>
        </w:rPr>
        <w:fldChar w:fldCharType="separate"/>
      </w:r>
      <w:r>
        <w:rPr>
          <w:color w:val="auto"/>
          <w:highlight w:val="none"/>
        </w:rPr>
        <w:t>73</w:t>
      </w:r>
      <w:r>
        <w:rPr>
          <w:color w:val="auto"/>
          <w:highlight w:val="none"/>
        </w:rPr>
        <w:fldChar w:fldCharType="end"/>
      </w:r>
      <w:r>
        <w:rPr>
          <w:rFonts w:hint="default" w:ascii="Times New Roman" w:hAnsi="Times New Roman" w:eastAsia="宋体" w:cs="Times New Roman"/>
          <w:color w:val="auto"/>
          <w:highlight w:val="none"/>
        </w:rPr>
        <w:fldChar w:fldCharType="end"/>
      </w:r>
    </w:p>
    <w:p w14:paraId="26D773C4">
      <w:pPr>
        <w:pStyle w:val="87"/>
        <w:shd w:val="clear"/>
        <w:tabs>
          <w:tab w:val="right" w:leader="dot" w:pos="8844"/>
        </w:tabs>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end"/>
      </w:r>
    </w:p>
    <w:p w14:paraId="7689F6D2">
      <w:pPr>
        <w:shd w:val="clear"/>
        <w:rPr>
          <w:rFonts w:hint="default" w:ascii="Times New Roman" w:hAnsi="Times New Roman" w:eastAsia="宋体" w:cs="Times New Roman"/>
          <w:color w:val="auto"/>
          <w:highlight w:val="none"/>
          <w:lang w:eastAsia="zh-CN"/>
        </w:rPr>
        <w:sectPr>
          <w:footerReference r:id="rId5" w:type="default"/>
          <w:pgSz w:w="11906" w:h="16838"/>
          <w:pgMar w:top="1701" w:right="1531" w:bottom="1701" w:left="1531" w:header="851" w:footer="850" w:gutter="0"/>
          <w:pgNumType w:start="1"/>
          <w:cols w:space="720" w:num="1"/>
          <w:docGrid w:linePitch="312" w:charSpace="0"/>
        </w:sectPr>
      </w:pPr>
    </w:p>
    <w:p w14:paraId="0905BF64">
      <w:pPr>
        <w:pStyle w:val="3"/>
        <w:shd w:val="clear"/>
        <w:bidi w:val="0"/>
        <w:jc w:val="center"/>
        <w:rPr>
          <w:rFonts w:hint="default" w:ascii="Times New Roman" w:hAnsi="Times New Roman" w:eastAsia="宋体" w:cs="Times New Roman"/>
          <w:color w:val="auto"/>
          <w:sz w:val="32"/>
          <w:szCs w:val="32"/>
          <w:highlight w:val="none"/>
        </w:rPr>
      </w:pPr>
      <w:bookmarkStart w:id="0" w:name="_Toc14488"/>
      <w:r>
        <w:rPr>
          <w:rFonts w:hint="default" w:ascii="Times New Roman" w:hAnsi="Times New Roman" w:eastAsia="宋体" w:cs="Times New Roman"/>
          <w:color w:val="auto"/>
          <w:sz w:val="32"/>
          <w:szCs w:val="32"/>
          <w:highlight w:val="none"/>
        </w:rPr>
        <w:t>一、建设项目基本情况</w:t>
      </w:r>
      <w:bookmarkEnd w:id="0"/>
    </w:p>
    <w:tbl>
      <w:tblPr>
        <w:tblStyle w:val="33"/>
        <w:tblW w:w="887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523"/>
        <w:gridCol w:w="2701"/>
        <w:gridCol w:w="1887"/>
        <w:gridCol w:w="2759"/>
      </w:tblGrid>
      <w:tr w14:paraId="3081BB4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523" w:type="dxa"/>
            <w:noWrap w:val="0"/>
            <w:tcMar>
              <w:top w:w="16" w:type="dxa"/>
              <w:left w:w="16" w:type="dxa"/>
              <w:right w:w="16" w:type="dxa"/>
            </w:tcMar>
            <w:vAlign w:val="center"/>
          </w:tcPr>
          <w:p w14:paraId="0C36A5F2">
            <w:pPr>
              <w:shd w:val="clear"/>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建设项目名称</w:t>
            </w:r>
          </w:p>
        </w:tc>
        <w:tc>
          <w:tcPr>
            <w:tcW w:w="7347" w:type="dxa"/>
            <w:gridSpan w:val="3"/>
            <w:noWrap w:val="0"/>
            <w:vAlign w:val="center"/>
          </w:tcPr>
          <w:p w14:paraId="239C6F18">
            <w:pPr>
              <w:shd w:val="clea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中山天青检测技术有限公司年编制800份环境检测报告项目</w:t>
            </w:r>
          </w:p>
        </w:tc>
      </w:tr>
      <w:tr w14:paraId="2121C7F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523" w:type="dxa"/>
            <w:noWrap w:val="0"/>
            <w:tcMar>
              <w:top w:w="16" w:type="dxa"/>
              <w:left w:w="16" w:type="dxa"/>
              <w:right w:w="16" w:type="dxa"/>
            </w:tcMar>
            <w:vAlign w:val="center"/>
          </w:tcPr>
          <w:p w14:paraId="2F708789">
            <w:pPr>
              <w:shd w:val="clear"/>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项目代码</w:t>
            </w:r>
          </w:p>
        </w:tc>
        <w:tc>
          <w:tcPr>
            <w:tcW w:w="7347" w:type="dxa"/>
            <w:gridSpan w:val="3"/>
            <w:noWrap w:val="0"/>
            <w:vAlign w:val="center"/>
          </w:tcPr>
          <w:p w14:paraId="37183E2C">
            <w:pPr>
              <w:shd w:val="clear"/>
              <w:bidi w:val="0"/>
              <w:spacing w:line="240" w:lineRule="auto"/>
              <w:jc w:val="center"/>
              <w:rPr>
                <w:rFonts w:hint="default" w:ascii="Times New Roman" w:hAnsi="Times New Roman" w:eastAsia="宋体" w:cs="Times New Roman"/>
                <w:color w:val="auto"/>
                <w:sz w:val="21"/>
                <w:szCs w:val="21"/>
                <w:highlight w:val="none"/>
                <w:lang w:val="en-US" w:eastAsia="zh-CN"/>
              </w:rPr>
            </w:pPr>
          </w:p>
        </w:tc>
      </w:tr>
      <w:tr w14:paraId="3DE0CCB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523" w:type="dxa"/>
            <w:noWrap w:val="0"/>
            <w:tcMar>
              <w:top w:w="16" w:type="dxa"/>
              <w:left w:w="16" w:type="dxa"/>
              <w:right w:w="16" w:type="dxa"/>
            </w:tcMar>
            <w:vAlign w:val="center"/>
          </w:tcPr>
          <w:p w14:paraId="5F8A793E">
            <w:pPr>
              <w:shd w:val="clear"/>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建设单位联系人</w:t>
            </w:r>
          </w:p>
        </w:tc>
        <w:tc>
          <w:tcPr>
            <w:tcW w:w="2701" w:type="dxa"/>
            <w:noWrap w:val="0"/>
            <w:vAlign w:val="center"/>
          </w:tcPr>
          <w:p w14:paraId="77D1913F">
            <w:pPr>
              <w:shd w:val="clear"/>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1887" w:type="dxa"/>
            <w:noWrap w:val="0"/>
            <w:vAlign w:val="center"/>
          </w:tcPr>
          <w:p w14:paraId="0A40C8BE">
            <w:pPr>
              <w:shd w:val="clear"/>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联系方式</w:t>
            </w:r>
          </w:p>
        </w:tc>
        <w:tc>
          <w:tcPr>
            <w:tcW w:w="2759" w:type="dxa"/>
            <w:noWrap w:val="0"/>
            <w:vAlign w:val="center"/>
          </w:tcPr>
          <w:p w14:paraId="74B8A959">
            <w:pPr>
              <w:shd w:val="clear"/>
              <w:bidi w:val="0"/>
              <w:spacing w:line="240" w:lineRule="auto"/>
              <w:jc w:val="center"/>
              <w:rPr>
                <w:rFonts w:hint="default" w:ascii="Times New Roman" w:hAnsi="Times New Roman" w:eastAsia="宋体" w:cs="Times New Roman"/>
                <w:color w:val="auto"/>
                <w:sz w:val="21"/>
                <w:szCs w:val="21"/>
                <w:highlight w:val="none"/>
                <w:lang w:val="en-US" w:eastAsia="zh-CN"/>
              </w:rPr>
            </w:pPr>
          </w:p>
        </w:tc>
      </w:tr>
      <w:tr w14:paraId="54D160E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523" w:type="dxa"/>
            <w:noWrap w:val="0"/>
            <w:tcMar>
              <w:top w:w="16" w:type="dxa"/>
              <w:left w:w="16" w:type="dxa"/>
              <w:right w:w="16" w:type="dxa"/>
            </w:tcMar>
            <w:vAlign w:val="center"/>
          </w:tcPr>
          <w:p w14:paraId="36EE0732">
            <w:pPr>
              <w:shd w:val="clear"/>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建设地点</w:t>
            </w:r>
          </w:p>
        </w:tc>
        <w:tc>
          <w:tcPr>
            <w:tcW w:w="7347" w:type="dxa"/>
            <w:gridSpan w:val="3"/>
            <w:noWrap w:val="0"/>
            <w:vAlign w:val="center"/>
          </w:tcPr>
          <w:p w14:paraId="16F958F7">
            <w:pPr>
              <w:shd w:val="clea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中山市火炬开发区沙边路10号新势力工业园A栋厂房八楼801A区</w:t>
            </w:r>
          </w:p>
        </w:tc>
      </w:tr>
      <w:tr w14:paraId="2603BF1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523" w:type="dxa"/>
            <w:noWrap w:val="0"/>
            <w:tcMar>
              <w:top w:w="16" w:type="dxa"/>
              <w:left w:w="16" w:type="dxa"/>
              <w:right w:w="16" w:type="dxa"/>
            </w:tcMar>
            <w:vAlign w:val="center"/>
          </w:tcPr>
          <w:p w14:paraId="1B9BA213">
            <w:pPr>
              <w:shd w:val="clear"/>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地理坐标</w:t>
            </w:r>
          </w:p>
        </w:tc>
        <w:tc>
          <w:tcPr>
            <w:tcW w:w="7347" w:type="dxa"/>
            <w:gridSpan w:val="3"/>
            <w:noWrap w:val="0"/>
            <w:vAlign w:val="center"/>
          </w:tcPr>
          <w:p w14:paraId="0A43BB1C">
            <w:pPr>
              <w:keepNext w:val="0"/>
              <w:keepLines w:val="0"/>
              <w:widowControl/>
              <w:suppressLineNumbers w:val="0"/>
              <w:shd w:val="clea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bidi="ar"/>
              </w:rPr>
              <w:t>E</w:t>
            </w:r>
            <w:r>
              <w:rPr>
                <w:rFonts w:hint="default" w:ascii="Times New Roman" w:hAnsi="Times New Roman" w:cs="Times New Roman"/>
                <w:color w:val="auto"/>
                <w:kern w:val="0"/>
                <w:sz w:val="21"/>
                <w:szCs w:val="21"/>
                <w:highlight w:val="none"/>
                <w:lang w:val="en-US" w:eastAsia="zh-CN" w:bidi="ar"/>
              </w:rPr>
              <w:t>113°</w:t>
            </w:r>
            <w:r>
              <w:rPr>
                <w:rFonts w:hint="eastAsia" w:cs="Times New Roman"/>
                <w:color w:val="auto"/>
                <w:kern w:val="0"/>
                <w:sz w:val="21"/>
                <w:szCs w:val="21"/>
                <w:highlight w:val="none"/>
                <w:lang w:val="en-US" w:eastAsia="zh-CN" w:bidi="ar"/>
              </w:rPr>
              <w:t>26</w:t>
            </w:r>
            <w:r>
              <w:rPr>
                <w:rFonts w:hint="default" w:ascii="Times New Roman" w:hAnsi="Times New Roman" w:cs="Times New Roman"/>
                <w:color w:val="auto"/>
                <w:kern w:val="0"/>
                <w:sz w:val="21"/>
                <w:szCs w:val="21"/>
                <w:highlight w:val="none"/>
                <w:lang w:val="en-US" w:eastAsia="zh-CN" w:bidi="ar"/>
              </w:rPr>
              <w:t>′4</w:t>
            </w:r>
            <w:r>
              <w:rPr>
                <w:rFonts w:hint="eastAsia" w:cs="Times New Roman"/>
                <w:color w:val="auto"/>
                <w:kern w:val="0"/>
                <w:sz w:val="21"/>
                <w:szCs w:val="21"/>
                <w:highlight w:val="none"/>
                <w:lang w:val="en-US" w:eastAsia="zh-CN" w:bidi="ar"/>
              </w:rPr>
              <w:t>0.491</w:t>
            </w:r>
            <w:r>
              <w:rPr>
                <w:rFonts w:hint="default" w:ascii="Times New Roman" w:hAnsi="Times New Roman" w:cs="Times New Roman"/>
                <w:color w:val="auto"/>
                <w:kern w:val="0"/>
                <w:sz w:val="21"/>
                <w:szCs w:val="21"/>
                <w:highlight w:val="none"/>
                <w:lang w:val="en-US" w:eastAsia="zh-CN" w:bidi="ar"/>
              </w:rPr>
              <w:t>″</w:t>
            </w:r>
            <w:r>
              <w:rPr>
                <w:rFonts w:hint="eastAsia" w:cs="Times New Roman"/>
                <w:color w:val="auto"/>
                <w:kern w:val="0"/>
                <w:sz w:val="21"/>
                <w:szCs w:val="21"/>
                <w:highlight w:val="none"/>
                <w:lang w:val="en-US" w:eastAsia="zh-CN" w:bidi="ar"/>
              </w:rPr>
              <w:t xml:space="preserve">  </w:t>
            </w:r>
            <w:r>
              <w:rPr>
                <w:rFonts w:hint="default" w:ascii="Times New Roman" w:hAnsi="Times New Roman" w:eastAsia="宋体" w:cs="Times New Roman"/>
                <w:color w:val="auto"/>
                <w:kern w:val="0"/>
                <w:sz w:val="21"/>
                <w:szCs w:val="21"/>
                <w:highlight w:val="none"/>
                <w:lang w:val="en-US" w:eastAsia="zh-CN" w:bidi="ar"/>
              </w:rPr>
              <w:t>N</w:t>
            </w:r>
            <w:r>
              <w:rPr>
                <w:rFonts w:hint="default" w:ascii="Times New Roman" w:hAnsi="Times New Roman" w:cs="Times New Roman"/>
                <w:color w:val="auto"/>
                <w:kern w:val="0"/>
                <w:sz w:val="21"/>
                <w:szCs w:val="21"/>
                <w:highlight w:val="none"/>
                <w:lang w:val="en-US" w:eastAsia="zh-CN" w:bidi="ar"/>
              </w:rPr>
              <w:t>22°</w:t>
            </w:r>
            <w:r>
              <w:rPr>
                <w:rFonts w:hint="eastAsia" w:cs="Times New Roman"/>
                <w:color w:val="auto"/>
                <w:kern w:val="0"/>
                <w:sz w:val="21"/>
                <w:szCs w:val="21"/>
                <w:highlight w:val="none"/>
                <w:lang w:val="en-US" w:eastAsia="zh-CN" w:bidi="ar"/>
              </w:rPr>
              <w:t>33</w:t>
            </w:r>
            <w:r>
              <w:rPr>
                <w:rFonts w:hint="default" w:ascii="Times New Roman" w:hAnsi="Times New Roman" w:cs="Times New Roman"/>
                <w:color w:val="auto"/>
                <w:kern w:val="0"/>
                <w:sz w:val="21"/>
                <w:szCs w:val="21"/>
                <w:highlight w:val="none"/>
                <w:lang w:val="en-US" w:eastAsia="zh-CN" w:bidi="ar"/>
              </w:rPr>
              <w:t>′</w:t>
            </w:r>
            <w:r>
              <w:rPr>
                <w:rFonts w:hint="eastAsia" w:cs="Times New Roman"/>
                <w:color w:val="auto"/>
                <w:kern w:val="0"/>
                <w:sz w:val="21"/>
                <w:szCs w:val="21"/>
                <w:highlight w:val="none"/>
                <w:lang w:val="en-US" w:eastAsia="zh-CN" w:bidi="ar"/>
              </w:rPr>
              <w:t>23.405</w:t>
            </w:r>
            <w:r>
              <w:rPr>
                <w:rFonts w:hint="default" w:ascii="Times New Roman" w:hAnsi="Times New Roman" w:cs="Times New Roman"/>
                <w:color w:val="auto"/>
                <w:kern w:val="0"/>
                <w:sz w:val="21"/>
                <w:szCs w:val="21"/>
                <w:highlight w:val="none"/>
                <w:lang w:val="en-US" w:eastAsia="zh-CN" w:bidi="ar"/>
              </w:rPr>
              <w:t>″</w:t>
            </w:r>
          </w:p>
        </w:tc>
      </w:tr>
      <w:tr w14:paraId="760BA1C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173" w:hRule="atLeast"/>
          <w:jc w:val="center"/>
        </w:trPr>
        <w:tc>
          <w:tcPr>
            <w:tcW w:w="1523" w:type="dxa"/>
            <w:noWrap w:val="0"/>
            <w:tcMar>
              <w:top w:w="16" w:type="dxa"/>
              <w:left w:w="16" w:type="dxa"/>
              <w:right w:w="16" w:type="dxa"/>
            </w:tcMar>
            <w:vAlign w:val="center"/>
          </w:tcPr>
          <w:p w14:paraId="7AC3B4BA">
            <w:pPr>
              <w:shd w:val="clear"/>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国民经济</w:t>
            </w:r>
          </w:p>
          <w:p w14:paraId="2EAEFE3E">
            <w:pPr>
              <w:shd w:val="clear"/>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行业类别</w:t>
            </w:r>
          </w:p>
        </w:tc>
        <w:tc>
          <w:tcPr>
            <w:tcW w:w="2701" w:type="dxa"/>
            <w:noWrap w:val="0"/>
            <w:vAlign w:val="center"/>
          </w:tcPr>
          <w:p w14:paraId="19C38BC0">
            <w:pPr>
              <w:pStyle w:val="40"/>
              <w:shd w:val="clear"/>
              <w:spacing w:line="240" w:lineRule="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M7452检测服务</w:t>
            </w:r>
          </w:p>
        </w:tc>
        <w:tc>
          <w:tcPr>
            <w:tcW w:w="1887" w:type="dxa"/>
            <w:noWrap w:val="0"/>
            <w:vAlign w:val="center"/>
          </w:tcPr>
          <w:p w14:paraId="0C28C1FE">
            <w:pPr>
              <w:shd w:val="clear"/>
              <w:bidi w:val="0"/>
              <w:spacing w:line="240" w:lineRule="auto"/>
              <w:jc w:val="center"/>
              <w:rPr>
                <w:rFonts w:hint="default" w:ascii="Times New Roman" w:hAnsi="Times New Roman" w:eastAsia="宋体" w:cs="Times New Roman"/>
                <w:color w:val="auto"/>
                <w:sz w:val="21"/>
                <w:szCs w:val="21"/>
                <w:highlight w:val="none"/>
              </w:rPr>
            </w:pPr>
            <w:bookmarkStart w:id="1" w:name="_Hlk49843745"/>
            <w:r>
              <w:rPr>
                <w:rFonts w:hint="default" w:ascii="Times New Roman" w:hAnsi="Times New Roman" w:eastAsia="宋体" w:cs="Times New Roman"/>
                <w:color w:val="auto"/>
                <w:sz w:val="21"/>
                <w:szCs w:val="21"/>
                <w:highlight w:val="none"/>
              </w:rPr>
              <w:t>建设项目</w:t>
            </w:r>
          </w:p>
          <w:p w14:paraId="0393790E">
            <w:pPr>
              <w:shd w:val="clear"/>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行业类别</w:t>
            </w:r>
            <w:bookmarkEnd w:id="1"/>
          </w:p>
        </w:tc>
        <w:tc>
          <w:tcPr>
            <w:tcW w:w="2759" w:type="dxa"/>
            <w:noWrap w:val="0"/>
            <w:vAlign w:val="center"/>
          </w:tcPr>
          <w:p w14:paraId="0B71E051">
            <w:pPr>
              <w:keepNext w:val="0"/>
              <w:keepLines w:val="0"/>
              <w:widowControl/>
              <w:suppressLineNumbers w:val="0"/>
              <w:shd w:val="clear"/>
              <w:spacing w:line="240" w:lineRule="auto"/>
              <w:jc w:val="left"/>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highlight w:val="none"/>
              </w:rPr>
              <w:t>四十五、研究和试验发展-098专业实验室、研发（试验）基地</w:t>
            </w:r>
          </w:p>
        </w:tc>
      </w:tr>
      <w:tr w14:paraId="39181B5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1523" w:type="dxa"/>
            <w:noWrap w:val="0"/>
            <w:tcMar>
              <w:top w:w="16" w:type="dxa"/>
              <w:left w:w="16" w:type="dxa"/>
              <w:right w:w="16" w:type="dxa"/>
            </w:tcMar>
            <w:vAlign w:val="center"/>
          </w:tcPr>
          <w:p w14:paraId="7266653A">
            <w:pPr>
              <w:shd w:val="clear"/>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建设性质</w:t>
            </w:r>
          </w:p>
        </w:tc>
        <w:tc>
          <w:tcPr>
            <w:tcW w:w="2701" w:type="dxa"/>
            <w:noWrap w:val="0"/>
            <w:vAlign w:val="center"/>
          </w:tcPr>
          <w:p w14:paraId="3828D423">
            <w:pPr>
              <w:shd w:val="clear"/>
              <w:bidi w:val="0"/>
              <w:spacing w:line="240" w:lineRule="auto"/>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新建（迁建）</w:t>
            </w:r>
          </w:p>
          <w:p w14:paraId="0597C5D0">
            <w:pPr>
              <w:shd w:val="clear"/>
              <w:bidi w:val="0"/>
              <w:spacing w:line="240" w:lineRule="auto"/>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□改建</w:t>
            </w:r>
          </w:p>
          <w:p w14:paraId="7816A45D">
            <w:pPr>
              <w:shd w:val="clear"/>
              <w:bidi w:val="0"/>
              <w:spacing w:line="240" w:lineRule="auto"/>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□扩建</w:t>
            </w:r>
          </w:p>
          <w:p w14:paraId="1C7175E7">
            <w:pPr>
              <w:shd w:val="clear"/>
              <w:bidi w:val="0"/>
              <w:spacing w:line="240" w:lineRule="auto"/>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□技术改造</w:t>
            </w:r>
          </w:p>
        </w:tc>
        <w:tc>
          <w:tcPr>
            <w:tcW w:w="1887" w:type="dxa"/>
            <w:noWrap w:val="0"/>
            <w:vAlign w:val="center"/>
          </w:tcPr>
          <w:p w14:paraId="0BD092C9">
            <w:pPr>
              <w:shd w:val="clear"/>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建设项目</w:t>
            </w:r>
          </w:p>
          <w:p w14:paraId="5DE39576">
            <w:pPr>
              <w:shd w:val="clear"/>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申报情形</w:t>
            </w:r>
          </w:p>
        </w:tc>
        <w:tc>
          <w:tcPr>
            <w:tcW w:w="2759" w:type="dxa"/>
            <w:noWrap w:val="0"/>
            <w:vAlign w:val="center"/>
          </w:tcPr>
          <w:p w14:paraId="0A868627">
            <w:pPr>
              <w:shd w:val="clear"/>
              <w:bidi w:val="0"/>
              <w:spacing w:line="240" w:lineRule="auto"/>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sym w:font="Wingdings 2" w:char="0052"/>
            </w:r>
            <w:r>
              <w:rPr>
                <w:rFonts w:hint="default" w:ascii="Times New Roman" w:hAnsi="Times New Roman" w:eastAsia="宋体" w:cs="Times New Roman"/>
                <w:color w:val="auto"/>
                <w:sz w:val="21"/>
                <w:szCs w:val="21"/>
                <w:highlight w:val="none"/>
              </w:rPr>
              <w:t>首次申报项目</w:t>
            </w:r>
          </w:p>
          <w:p w14:paraId="5E1A65B7">
            <w:pPr>
              <w:shd w:val="clear"/>
              <w:bidi w:val="0"/>
              <w:spacing w:line="240" w:lineRule="auto"/>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不予批准后再次申报项目</w:t>
            </w:r>
          </w:p>
          <w:p w14:paraId="138F624C">
            <w:pPr>
              <w:shd w:val="clear"/>
              <w:bidi w:val="0"/>
              <w:spacing w:line="240" w:lineRule="auto"/>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sym w:font="Wingdings 2" w:char="00A3"/>
            </w:r>
            <w:r>
              <w:rPr>
                <w:rFonts w:hint="default" w:ascii="Times New Roman" w:hAnsi="Times New Roman" w:eastAsia="宋体" w:cs="Times New Roman"/>
                <w:color w:val="auto"/>
                <w:sz w:val="21"/>
                <w:szCs w:val="21"/>
                <w:highlight w:val="none"/>
              </w:rPr>
              <w:t>超五年重新审核项目</w:t>
            </w:r>
          </w:p>
          <w:p w14:paraId="6C7F95DF">
            <w:pPr>
              <w:shd w:val="clear"/>
              <w:bidi w:val="0"/>
              <w:spacing w:line="240" w:lineRule="auto"/>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重大变动重新报批项目</w:t>
            </w:r>
          </w:p>
        </w:tc>
      </w:tr>
      <w:tr w14:paraId="76681FF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1523" w:type="dxa"/>
            <w:noWrap w:val="0"/>
            <w:tcMar>
              <w:top w:w="16" w:type="dxa"/>
              <w:left w:w="16" w:type="dxa"/>
              <w:right w:w="16" w:type="dxa"/>
            </w:tcMar>
            <w:vAlign w:val="center"/>
          </w:tcPr>
          <w:p w14:paraId="7C44A03A">
            <w:pPr>
              <w:shd w:val="clear"/>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项目审批（核准/</w:t>
            </w:r>
          </w:p>
          <w:p w14:paraId="3C2E34E7">
            <w:pPr>
              <w:shd w:val="clear"/>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备案）部门（选填）</w:t>
            </w:r>
          </w:p>
        </w:tc>
        <w:tc>
          <w:tcPr>
            <w:tcW w:w="2701" w:type="dxa"/>
            <w:noWrap w:val="0"/>
            <w:vAlign w:val="center"/>
          </w:tcPr>
          <w:p w14:paraId="4E21D0A1">
            <w:pPr>
              <w:shd w:val="clea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1887" w:type="dxa"/>
            <w:noWrap w:val="0"/>
            <w:vAlign w:val="center"/>
          </w:tcPr>
          <w:p w14:paraId="4A4DB876">
            <w:pPr>
              <w:shd w:val="clear"/>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项目审批（核准/</w:t>
            </w:r>
          </w:p>
          <w:p w14:paraId="692396C3">
            <w:pPr>
              <w:shd w:val="clear"/>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备案）文号（选填）</w:t>
            </w:r>
          </w:p>
        </w:tc>
        <w:tc>
          <w:tcPr>
            <w:tcW w:w="2759" w:type="dxa"/>
            <w:noWrap w:val="0"/>
            <w:vAlign w:val="center"/>
          </w:tcPr>
          <w:p w14:paraId="044F2AE2">
            <w:pPr>
              <w:shd w:val="clea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r>
      <w:tr w14:paraId="56677BB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523" w:type="dxa"/>
            <w:shd w:val="clear" w:color="auto" w:fill="auto"/>
            <w:noWrap w:val="0"/>
            <w:tcMar>
              <w:top w:w="16" w:type="dxa"/>
              <w:left w:w="16" w:type="dxa"/>
              <w:right w:w="16" w:type="dxa"/>
            </w:tcMar>
            <w:vAlign w:val="center"/>
          </w:tcPr>
          <w:p w14:paraId="625CC526">
            <w:pPr>
              <w:shd w:val="clear"/>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总投资（万元）</w:t>
            </w:r>
          </w:p>
        </w:tc>
        <w:tc>
          <w:tcPr>
            <w:tcW w:w="2701" w:type="dxa"/>
            <w:shd w:val="clear" w:color="auto" w:fill="auto"/>
            <w:noWrap w:val="0"/>
            <w:vAlign w:val="center"/>
          </w:tcPr>
          <w:p w14:paraId="5E931D5E">
            <w:pPr>
              <w:shd w:val="clea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100</w:t>
            </w:r>
          </w:p>
        </w:tc>
        <w:tc>
          <w:tcPr>
            <w:tcW w:w="1887" w:type="dxa"/>
            <w:shd w:val="clear" w:color="auto" w:fill="auto"/>
            <w:noWrap w:val="0"/>
            <w:tcMar>
              <w:top w:w="16" w:type="dxa"/>
              <w:left w:w="16" w:type="dxa"/>
              <w:right w:w="16" w:type="dxa"/>
            </w:tcMar>
            <w:vAlign w:val="center"/>
          </w:tcPr>
          <w:p w14:paraId="1D22D34D">
            <w:pPr>
              <w:shd w:val="clear"/>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环保投资（万元）</w:t>
            </w:r>
          </w:p>
        </w:tc>
        <w:tc>
          <w:tcPr>
            <w:tcW w:w="2759" w:type="dxa"/>
            <w:shd w:val="clear" w:color="auto" w:fill="auto"/>
            <w:noWrap w:val="0"/>
            <w:vAlign w:val="center"/>
          </w:tcPr>
          <w:p w14:paraId="5557623E">
            <w:pPr>
              <w:shd w:val="clea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10</w:t>
            </w:r>
          </w:p>
        </w:tc>
      </w:tr>
      <w:tr w14:paraId="7724219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523" w:type="dxa"/>
            <w:shd w:val="clear" w:color="auto" w:fill="auto"/>
            <w:noWrap w:val="0"/>
            <w:tcMar>
              <w:top w:w="16" w:type="dxa"/>
              <w:left w:w="16" w:type="dxa"/>
              <w:right w:w="16" w:type="dxa"/>
            </w:tcMar>
            <w:vAlign w:val="center"/>
          </w:tcPr>
          <w:p w14:paraId="1C860333">
            <w:pPr>
              <w:shd w:val="clear"/>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环保投资占比（%）</w:t>
            </w:r>
          </w:p>
        </w:tc>
        <w:tc>
          <w:tcPr>
            <w:tcW w:w="2701" w:type="dxa"/>
            <w:shd w:val="clear" w:color="auto" w:fill="auto"/>
            <w:noWrap w:val="0"/>
            <w:vAlign w:val="center"/>
          </w:tcPr>
          <w:p w14:paraId="1F4A00F2">
            <w:pPr>
              <w:shd w:val="clea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10</w:t>
            </w:r>
          </w:p>
        </w:tc>
        <w:tc>
          <w:tcPr>
            <w:tcW w:w="1887" w:type="dxa"/>
            <w:shd w:val="clear" w:color="auto" w:fill="auto"/>
            <w:noWrap w:val="0"/>
            <w:tcMar>
              <w:top w:w="16" w:type="dxa"/>
              <w:left w:w="16" w:type="dxa"/>
              <w:right w:w="16" w:type="dxa"/>
            </w:tcMar>
            <w:vAlign w:val="center"/>
          </w:tcPr>
          <w:p w14:paraId="4A6B15E2">
            <w:pPr>
              <w:shd w:val="clear"/>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施工工期</w:t>
            </w:r>
          </w:p>
        </w:tc>
        <w:tc>
          <w:tcPr>
            <w:tcW w:w="2759" w:type="dxa"/>
            <w:shd w:val="clear" w:color="auto" w:fill="auto"/>
            <w:noWrap w:val="0"/>
            <w:vAlign w:val="center"/>
          </w:tcPr>
          <w:p w14:paraId="01B99C8D">
            <w:pPr>
              <w:shd w:val="clea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r>
      <w:tr w14:paraId="44D678C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523" w:type="dxa"/>
            <w:noWrap w:val="0"/>
            <w:tcMar>
              <w:top w:w="16" w:type="dxa"/>
              <w:left w:w="16" w:type="dxa"/>
              <w:right w:w="16" w:type="dxa"/>
            </w:tcMar>
            <w:vAlign w:val="center"/>
          </w:tcPr>
          <w:p w14:paraId="4039C890">
            <w:pPr>
              <w:shd w:val="clear"/>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是否开工建设</w:t>
            </w:r>
          </w:p>
        </w:tc>
        <w:tc>
          <w:tcPr>
            <w:tcW w:w="2701" w:type="dxa"/>
            <w:noWrap w:val="0"/>
            <w:vAlign w:val="center"/>
          </w:tcPr>
          <w:p w14:paraId="1FCE308C">
            <w:pPr>
              <w:shd w:val="clear"/>
              <w:bidi w:val="0"/>
              <w:spacing w:line="240" w:lineRule="auto"/>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sym w:font="Wingdings 2" w:char="0052"/>
            </w:r>
            <w:r>
              <w:rPr>
                <w:rFonts w:hint="default" w:ascii="Times New Roman" w:hAnsi="Times New Roman" w:eastAsia="宋体" w:cs="Times New Roman"/>
                <w:color w:val="auto"/>
                <w:sz w:val="21"/>
                <w:szCs w:val="21"/>
                <w:highlight w:val="none"/>
              </w:rPr>
              <w:t>否</w:t>
            </w:r>
          </w:p>
          <w:p w14:paraId="25327C65">
            <w:pPr>
              <w:shd w:val="clear"/>
              <w:bidi w:val="0"/>
              <w:spacing w:line="240" w:lineRule="auto"/>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sym w:font="Wingdings 2" w:char="00A3"/>
            </w:r>
            <w:r>
              <w:rPr>
                <w:rFonts w:hint="default" w:ascii="Times New Roman" w:hAnsi="Times New Roman" w:eastAsia="宋体" w:cs="Times New Roman"/>
                <w:color w:val="auto"/>
                <w:sz w:val="21"/>
                <w:szCs w:val="21"/>
                <w:highlight w:val="none"/>
              </w:rPr>
              <w:t>是：</w:t>
            </w:r>
          </w:p>
        </w:tc>
        <w:tc>
          <w:tcPr>
            <w:tcW w:w="1887" w:type="dxa"/>
            <w:shd w:val="clear" w:color="auto" w:fill="auto"/>
            <w:noWrap w:val="0"/>
            <w:tcMar>
              <w:top w:w="16" w:type="dxa"/>
              <w:left w:w="16" w:type="dxa"/>
              <w:right w:w="16" w:type="dxa"/>
            </w:tcMar>
            <w:vAlign w:val="center"/>
          </w:tcPr>
          <w:p w14:paraId="53B3DE7B">
            <w:pPr>
              <w:shd w:val="clear"/>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用地（</w:t>
            </w:r>
            <w:r>
              <w:rPr>
                <w:rFonts w:hint="default" w:ascii="Times New Roman" w:hAnsi="Times New Roman" w:eastAsia="宋体" w:cs="Times New Roman"/>
                <w:color w:val="auto"/>
                <w:sz w:val="21"/>
                <w:szCs w:val="21"/>
                <w:highlight w:val="none"/>
                <w:lang w:val="en-US" w:eastAsia="zh-CN"/>
              </w:rPr>
              <w:t>含</w:t>
            </w:r>
            <w:r>
              <w:rPr>
                <w:rFonts w:hint="default" w:ascii="Times New Roman" w:hAnsi="Times New Roman" w:eastAsia="宋体" w:cs="Times New Roman"/>
                <w:color w:val="auto"/>
                <w:sz w:val="21"/>
                <w:szCs w:val="21"/>
                <w:highlight w:val="none"/>
              </w:rPr>
              <w:t>用海）</w:t>
            </w:r>
          </w:p>
          <w:p w14:paraId="6F29B8B7">
            <w:pPr>
              <w:shd w:val="clear"/>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面积（</w:t>
            </w:r>
            <w:r>
              <w:rPr>
                <w:rFonts w:hint="default" w:ascii="Times New Roman" w:hAnsi="Times New Roman" w:cs="Times New Roman"/>
                <w:color w:val="auto"/>
                <w:highlight w:val="none"/>
                <w:lang w:val="en-US" w:eastAsia="zh-CN"/>
              </w:rPr>
              <w:t>㎡</w:t>
            </w:r>
            <w:r>
              <w:rPr>
                <w:rFonts w:hint="default" w:ascii="Times New Roman" w:hAnsi="Times New Roman" w:eastAsia="宋体" w:cs="Times New Roman"/>
                <w:color w:val="auto"/>
                <w:sz w:val="21"/>
                <w:szCs w:val="21"/>
                <w:highlight w:val="none"/>
              </w:rPr>
              <w:t>）</w:t>
            </w:r>
          </w:p>
        </w:tc>
        <w:tc>
          <w:tcPr>
            <w:tcW w:w="2759" w:type="dxa"/>
            <w:shd w:val="clear" w:color="auto" w:fill="auto"/>
            <w:noWrap w:val="0"/>
            <w:vAlign w:val="center"/>
          </w:tcPr>
          <w:p w14:paraId="22F814A0">
            <w:pPr>
              <w:shd w:val="clea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900</w:t>
            </w:r>
          </w:p>
        </w:tc>
      </w:tr>
      <w:tr w14:paraId="714B325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51" w:hRule="atLeast"/>
          <w:jc w:val="center"/>
        </w:trPr>
        <w:tc>
          <w:tcPr>
            <w:tcW w:w="1523" w:type="dxa"/>
            <w:noWrap w:val="0"/>
            <w:vAlign w:val="center"/>
          </w:tcPr>
          <w:p w14:paraId="4621F1A9">
            <w:pPr>
              <w:shd w:val="clear"/>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专项评价设置情况</w:t>
            </w:r>
          </w:p>
        </w:tc>
        <w:tc>
          <w:tcPr>
            <w:tcW w:w="7347" w:type="dxa"/>
            <w:gridSpan w:val="3"/>
            <w:noWrap w:val="0"/>
            <w:vAlign w:val="center"/>
          </w:tcPr>
          <w:p w14:paraId="33C674DC">
            <w:pPr>
              <w:shd w:val="clea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无</w:t>
            </w:r>
          </w:p>
        </w:tc>
      </w:tr>
      <w:tr w14:paraId="4C1175D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99" w:hRule="atLeast"/>
          <w:jc w:val="center"/>
        </w:trPr>
        <w:tc>
          <w:tcPr>
            <w:tcW w:w="1523" w:type="dxa"/>
            <w:noWrap w:val="0"/>
            <w:vAlign w:val="center"/>
          </w:tcPr>
          <w:p w14:paraId="3E6507CD">
            <w:pPr>
              <w:shd w:val="clear"/>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规划情况</w:t>
            </w:r>
          </w:p>
        </w:tc>
        <w:tc>
          <w:tcPr>
            <w:tcW w:w="7347" w:type="dxa"/>
            <w:gridSpan w:val="3"/>
            <w:noWrap w:val="0"/>
            <w:vAlign w:val="center"/>
          </w:tcPr>
          <w:p w14:paraId="6463E0FD">
            <w:pPr>
              <w:spacing w:beforeLines="0" w:afterLine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4"/>
                <w:highlight w:val="none"/>
              </w:rPr>
              <w:t>《中山火炬高技术产业开发区规划》，由国家发展和改革委员会以及原国土资源部审查，于2006年通过审批</w:t>
            </w:r>
          </w:p>
        </w:tc>
      </w:tr>
      <w:tr w14:paraId="30AF7B6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48" w:hRule="atLeast"/>
          <w:jc w:val="center"/>
        </w:trPr>
        <w:tc>
          <w:tcPr>
            <w:tcW w:w="1523" w:type="dxa"/>
            <w:noWrap w:val="0"/>
            <w:vAlign w:val="center"/>
          </w:tcPr>
          <w:p w14:paraId="7AD3C435">
            <w:pPr>
              <w:shd w:val="clear"/>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规划环境影响评价情况</w:t>
            </w:r>
          </w:p>
        </w:tc>
        <w:tc>
          <w:tcPr>
            <w:tcW w:w="7347" w:type="dxa"/>
            <w:gridSpan w:val="3"/>
            <w:noWrap w:val="0"/>
            <w:vAlign w:val="center"/>
          </w:tcPr>
          <w:p w14:paraId="4385EAC5">
            <w:pPr>
              <w:spacing w:beforeLines="0" w:afterLines="0"/>
              <w:jc w:val="center"/>
              <w:rPr>
                <w:rFonts w:hint="default" w:ascii="Times New Roman" w:hAnsi="Times New Roman" w:eastAsia="宋体" w:cs="Times New Roman"/>
                <w:color w:val="auto"/>
                <w:sz w:val="21"/>
                <w:szCs w:val="24"/>
                <w:highlight w:val="none"/>
              </w:rPr>
            </w:pPr>
            <w:r>
              <w:rPr>
                <w:rFonts w:hint="default" w:ascii="Times New Roman" w:hAnsi="Times New Roman" w:eastAsia="宋体" w:cs="Times New Roman"/>
                <w:color w:val="auto"/>
                <w:sz w:val="21"/>
                <w:szCs w:val="24"/>
                <w:highlight w:val="none"/>
              </w:rPr>
              <w:t>《中山火炬高技术产业开发区规划报告书》</w:t>
            </w:r>
          </w:p>
          <w:p w14:paraId="5FBB7743">
            <w:pPr>
              <w:spacing w:beforeLines="0" w:afterLine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4"/>
                <w:highlight w:val="none"/>
              </w:rPr>
              <w:t>中华人民共和国环境保护部关于《中山火炬高技术产业开发区规划报告书》的审查意见，环审﹝2010﹞426号</w:t>
            </w:r>
          </w:p>
        </w:tc>
      </w:tr>
      <w:tr w14:paraId="2FDFFCC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89" w:hRule="atLeast"/>
          <w:jc w:val="center"/>
        </w:trPr>
        <w:tc>
          <w:tcPr>
            <w:tcW w:w="1523" w:type="dxa"/>
            <w:noWrap w:val="0"/>
            <w:vAlign w:val="center"/>
          </w:tcPr>
          <w:p w14:paraId="07B7BCA0">
            <w:pPr>
              <w:shd w:val="clear"/>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规划及规划环境影响评价符合性分析</w:t>
            </w:r>
          </w:p>
        </w:tc>
        <w:tc>
          <w:tcPr>
            <w:tcW w:w="7347" w:type="dxa"/>
            <w:gridSpan w:val="3"/>
            <w:noWrap w:val="0"/>
            <w:vAlign w:val="center"/>
          </w:tcPr>
          <w:p w14:paraId="5EAAE811">
            <w:pPr>
              <w:keepNext w:val="0"/>
              <w:keepLines w:val="0"/>
              <w:pageBreakBefore w:val="0"/>
              <w:widowControl w:val="0"/>
              <w:kinsoku/>
              <w:wordWrap/>
              <w:overflowPunct/>
              <w:topLinePunct w:val="0"/>
              <w:autoSpaceDE/>
              <w:autoSpaceDN/>
              <w:bidi w:val="0"/>
              <w:adjustRightInd/>
              <w:snapToGrid/>
              <w:spacing w:beforeLines="0" w:afterLines="0"/>
              <w:ind w:firstLine="420" w:firstLineChars="200"/>
              <w:jc w:val="left"/>
              <w:textAlignment w:val="auto"/>
              <w:rPr>
                <w:rFonts w:hint="default" w:ascii="Times New Roman" w:hAnsi="Times New Roman" w:eastAsia="宋体" w:cs="Times New Roman"/>
                <w:color w:val="auto"/>
                <w:sz w:val="21"/>
                <w:szCs w:val="24"/>
                <w:highlight w:val="none"/>
              </w:rPr>
            </w:pPr>
            <w:r>
              <w:rPr>
                <w:rFonts w:hint="default" w:ascii="Times New Roman" w:hAnsi="Times New Roman" w:eastAsia="宋体" w:cs="Times New Roman"/>
                <w:color w:val="auto"/>
                <w:sz w:val="21"/>
                <w:szCs w:val="24"/>
                <w:highlight w:val="none"/>
              </w:rPr>
              <w:t>本项目位于</w:t>
            </w:r>
            <w:r>
              <w:rPr>
                <w:rFonts w:hint="default" w:ascii="Times New Roman" w:hAnsi="Times New Roman" w:eastAsia="宋体" w:cs="Times New Roman"/>
                <w:color w:val="auto"/>
                <w:sz w:val="21"/>
                <w:szCs w:val="24"/>
                <w:highlight w:val="none"/>
                <w:lang w:val="en-US" w:eastAsia="zh-CN"/>
              </w:rPr>
              <w:t>中山市火炬开发区沙边路10号新势力工业园A栋厂房八楼801</w:t>
            </w:r>
            <w:r>
              <w:rPr>
                <w:rFonts w:hint="eastAsia" w:cs="Times New Roman"/>
                <w:color w:val="auto"/>
                <w:sz w:val="21"/>
                <w:szCs w:val="24"/>
                <w:highlight w:val="none"/>
                <w:lang w:val="en-US" w:eastAsia="zh-CN"/>
              </w:rPr>
              <w:t>A</w:t>
            </w:r>
            <w:r>
              <w:rPr>
                <w:rFonts w:hint="default" w:ascii="Times New Roman" w:hAnsi="Times New Roman" w:eastAsia="宋体" w:cs="Times New Roman"/>
                <w:color w:val="auto"/>
                <w:sz w:val="21"/>
                <w:szCs w:val="24"/>
                <w:highlight w:val="none"/>
                <w:lang w:val="en-US" w:eastAsia="zh-CN"/>
              </w:rPr>
              <w:t>区</w:t>
            </w:r>
            <w:r>
              <w:rPr>
                <w:rFonts w:hint="default" w:ascii="Times New Roman" w:hAnsi="Times New Roman" w:eastAsia="宋体" w:cs="Times New Roman"/>
                <w:color w:val="auto"/>
                <w:sz w:val="21"/>
                <w:szCs w:val="24"/>
                <w:highlight w:val="none"/>
              </w:rPr>
              <w:t>，属于集中新建区。集中新建区：充分利用规划片区的区位优势。提高土地使用效率，大力发展工业，并配套完善的基础设施和公共服务设施。将集中新建区内的电子信息产业区规划建设成为配套完善的、生态环境优美的现代化高新技术产业园。</w:t>
            </w:r>
          </w:p>
          <w:p w14:paraId="76442415">
            <w:pPr>
              <w:keepNext w:val="0"/>
              <w:keepLines w:val="0"/>
              <w:pageBreakBefore w:val="0"/>
              <w:widowControl w:val="0"/>
              <w:kinsoku/>
              <w:wordWrap/>
              <w:overflowPunct/>
              <w:topLinePunct w:val="0"/>
              <w:autoSpaceDE/>
              <w:autoSpaceDN/>
              <w:bidi w:val="0"/>
              <w:adjustRightInd/>
              <w:snapToGrid/>
              <w:spacing w:beforeLines="0" w:afterLines="0"/>
              <w:ind w:firstLine="420" w:firstLineChars="200"/>
              <w:jc w:val="left"/>
              <w:textAlignment w:val="auto"/>
              <w:rPr>
                <w:rFonts w:hint="default" w:ascii="Times New Roman" w:hAnsi="Times New Roman" w:eastAsia="宋体" w:cs="Times New Roman"/>
                <w:color w:val="auto"/>
                <w:sz w:val="21"/>
                <w:szCs w:val="24"/>
                <w:highlight w:val="none"/>
              </w:rPr>
            </w:pPr>
            <w:r>
              <w:rPr>
                <w:rFonts w:hint="default" w:ascii="Times New Roman" w:hAnsi="Times New Roman" w:eastAsia="宋体" w:cs="Times New Roman"/>
                <w:color w:val="auto"/>
                <w:sz w:val="21"/>
                <w:szCs w:val="24"/>
                <w:highlight w:val="none"/>
              </w:rPr>
              <w:t>根据环境准入条件：开发区定位为高新技术产业，因此开发区禁止对企业生产、居住和公共设施等环境有严重干扰和污染的三类工业入驻，如造纸、制革、电镀、印染、炼油、农药、大中型机械制造工业，基本化学工业、建材工业、冶炼和其他污染严重的企业。鼓励符合开发区产业定位的一类及二类生产企业进驻。</w:t>
            </w:r>
          </w:p>
          <w:p w14:paraId="75162026">
            <w:pPr>
              <w:keepNext w:val="0"/>
              <w:keepLines w:val="0"/>
              <w:pageBreakBefore w:val="0"/>
              <w:widowControl w:val="0"/>
              <w:kinsoku/>
              <w:wordWrap/>
              <w:overflowPunct/>
              <w:topLinePunct w:val="0"/>
              <w:autoSpaceDE/>
              <w:autoSpaceDN/>
              <w:bidi w:val="0"/>
              <w:adjustRightInd/>
              <w:snapToGrid/>
              <w:spacing w:beforeLines="0" w:afterLines="0" w:line="240" w:lineRule="auto"/>
              <w:ind w:firstLine="420" w:firstLineChars="200"/>
              <w:jc w:val="left"/>
              <w:textAlignment w:val="auto"/>
              <w:rPr>
                <w:rFonts w:hint="default" w:ascii="Times New Roman" w:hAnsi="Times New Roman" w:eastAsia="宋体" w:cs="Times New Roman"/>
                <w:color w:val="auto"/>
                <w:sz w:val="21"/>
                <w:szCs w:val="24"/>
                <w:highlight w:val="none"/>
              </w:rPr>
            </w:pPr>
            <w:r>
              <w:rPr>
                <w:rFonts w:hint="default" w:ascii="Times New Roman" w:hAnsi="Times New Roman" w:eastAsia="宋体" w:cs="Times New Roman"/>
                <w:color w:val="auto"/>
                <w:sz w:val="21"/>
                <w:szCs w:val="24"/>
                <w:highlight w:val="none"/>
              </w:rPr>
              <w:t>本项目位于</w:t>
            </w:r>
            <w:r>
              <w:rPr>
                <w:rFonts w:hint="default" w:ascii="Times New Roman" w:hAnsi="Times New Roman" w:eastAsia="宋体" w:cs="Times New Roman"/>
                <w:color w:val="auto"/>
                <w:sz w:val="21"/>
                <w:szCs w:val="24"/>
                <w:highlight w:val="none"/>
                <w:lang w:val="en-US" w:eastAsia="zh-CN"/>
              </w:rPr>
              <w:t>中山市火炬开发区沙边路10号新势力工业园A栋厂房八楼801</w:t>
            </w:r>
            <w:r>
              <w:rPr>
                <w:rFonts w:hint="eastAsia" w:cs="Times New Roman"/>
                <w:color w:val="auto"/>
                <w:sz w:val="21"/>
                <w:szCs w:val="24"/>
                <w:highlight w:val="none"/>
                <w:lang w:val="en-US" w:eastAsia="zh-CN"/>
              </w:rPr>
              <w:t>A</w:t>
            </w:r>
            <w:r>
              <w:rPr>
                <w:rFonts w:hint="default" w:ascii="Times New Roman" w:hAnsi="Times New Roman" w:eastAsia="宋体" w:cs="Times New Roman"/>
                <w:color w:val="auto"/>
                <w:sz w:val="21"/>
                <w:szCs w:val="24"/>
                <w:highlight w:val="none"/>
                <w:lang w:val="en-US" w:eastAsia="zh-CN"/>
              </w:rPr>
              <w:t>区</w:t>
            </w:r>
            <w:r>
              <w:rPr>
                <w:rFonts w:hint="default" w:ascii="Times New Roman" w:hAnsi="Times New Roman" w:eastAsia="宋体" w:cs="Times New Roman"/>
                <w:color w:val="auto"/>
                <w:sz w:val="21"/>
                <w:szCs w:val="24"/>
                <w:highlight w:val="none"/>
              </w:rPr>
              <w:t>，属于集中新建区。本项目主要从事</w:t>
            </w:r>
            <w:r>
              <w:rPr>
                <w:rFonts w:hint="default" w:ascii="Times New Roman" w:hAnsi="Times New Roman" w:eastAsia="宋体" w:cs="Times New Roman"/>
                <w:color w:val="auto"/>
                <w:sz w:val="21"/>
                <w:szCs w:val="24"/>
                <w:highlight w:val="none"/>
                <w:lang w:val="en-US" w:eastAsia="zh-CN"/>
              </w:rPr>
              <w:t>检测服务</w:t>
            </w:r>
            <w:r>
              <w:rPr>
                <w:rFonts w:hint="default" w:ascii="Times New Roman" w:hAnsi="Times New Roman" w:eastAsia="宋体" w:cs="Times New Roman"/>
                <w:color w:val="auto"/>
                <w:sz w:val="21"/>
                <w:szCs w:val="24"/>
                <w:highlight w:val="none"/>
              </w:rPr>
              <w:t>业，</w:t>
            </w:r>
            <w:r>
              <w:rPr>
                <w:rFonts w:hint="default" w:ascii="Times New Roman" w:hAnsi="Times New Roman" w:eastAsia="宋体" w:cs="Times New Roman"/>
                <w:color w:val="auto"/>
                <w:sz w:val="21"/>
                <w:szCs w:val="24"/>
                <w:highlight w:val="none"/>
                <w:lang w:val="en-US" w:eastAsia="zh-CN"/>
              </w:rPr>
              <w:t>不属于有严重干扰和污染的三类工业，本项目入驻符合开发区规划产业结构。</w:t>
            </w:r>
          </w:p>
          <w:p w14:paraId="0CEFC17A">
            <w:pPr>
              <w:keepNext w:val="0"/>
              <w:keepLines w:val="0"/>
              <w:pageBreakBefore w:val="0"/>
              <w:widowControl w:val="0"/>
              <w:kinsoku/>
              <w:wordWrap/>
              <w:overflowPunct/>
              <w:topLinePunct w:val="0"/>
              <w:autoSpaceDE/>
              <w:autoSpaceDN/>
              <w:bidi w:val="0"/>
              <w:adjustRightInd/>
              <w:snapToGrid/>
              <w:spacing w:beforeLines="0" w:afterLines="0" w:line="240" w:lineRule="auto"/>
              <w:ind w:firstLine="420" w:firstLineChars="200"/>
              <w:jc w:val="left"/>
              <w:textAlignment w:val="auto"/>
              <w:rPr>
                <w:rFonts w:hint="default" w:ascii="Times New Roman" w:hAnsi="Times New Roman" w:eastAsia="宋体" w:cs="Times New Roman"/>
                <w:color w:val="auto"/>
                <w:sz w:val="21"/>
                <w:szCs w:val="24"/>
                <w:highlight w:val="none"/>
              </w:rPr>
            </w:pPr>
            <w:r>
              <w:rPr>
                <w:rFonts w:hint="default" w:ascii="Times New Roman" w:hAnsi="Times New Roman" w:eastAsia="宋体" w:cs="Times New Roman"/>
                <w:color w:val="auto"/>
                <w:sz w:val="21"/>
                <w:szCs w:val="24"/>
                <w:highlight w:val="none"/>
              </w:rPr>
              <w:t>规划中包含的近期（一般为五年内）建设项目，在开展环境影响评价时，应重点开展工程分析、水环境影响评价以及污染治理措施的可行性论证，强化环境保护措施的落实。</w:t>
            </w:r>
          </w:p>
          <w:p w14:paraId="4D7E47B5">
            <w:pPr>
              <w:keepNext w:val="0"/>
              <w:keepLines w:val="0"/>
              <w:pageBreakBefore w:val="0"/>
              <w:widowControl w:val="0"/>
              <w:kinsoku/>
              <w:wordWrap/>
              <w:overflowPunct/>
              <w:topLinePunct w:val="0"/>
              <w:autoSpaceDE/>
              <w:autoSpaceDN/>
              <w:bidi w:val="0"/>
              <w:adjustRightInd/>
              <w:snapToGrid/>
              <w:spacing w:beforeLines="0" w:afterLines="0" w:line="240" w:lineRule="auto"/>
              <w:ind w:firstLine="420" w:firstLineChars="200"/>
              <w:jc w:val="left"/>
              <w:textAlignment w:val="auto"/>
              <w:rPr>
                <w:rFonts w:hint="default" w:ascii="Times New Roman" w:hAnsi="Times New Roman" w:eastAsia="宋体" w:cs="Times New Roman"/>
                <w:color w:val="auto"/>
                <w:sz w:val="21"/>
                <w:szCs w:val="24"/>
                <w:highlight w:val="none"/>
                <w:lang w:eastAsia="zh-CN"/>
              </w:rPr>
            </w:pPr>
            <w:r>
              <w:rPr>
                <w:rFonts w:hint="default" w:ascii="Times New Roman" w:hAnsi="Times New Roman" w:eastAsia="宋体" w:cs="Times New Roman"/>
                <w:color w:val="auto"/>
                <w:sz w:val="21"/>
                <w:szCs w:val="24"/>
                <w:highlight w:val="none"/>
              </w:rPr>
              <w:t>本项目产生的生活污水经化粪池预处理后经市政管网排入中山市珍家山污水处理有限公司处理达标后排入石岐河</w:t>
            </w:r>
            <w:r>
              <w:rPr>
                <w:rFonts w:hint="eastAsia" w:cs="Times New Roman"/>
                <w:color w:val="auto"/>
                <w:sz w:val="21"/>
                <w:szCs w:val="24"/>
                <w:highlight w:val="none"/>
                <w:lang w:eastAsia="zh-CN"/>
              </w:rPr>
              <w:t>，</w:t>
            </w:r>
            <w:r>
              <w:rPr>
                <w:rFonts w:hint="default" w:ascii="Times New Roman" w:hAnsi="Times New Roman" w:eastAsia="宋体" w:cs="Times New Roman"/>
                <w:b w:val="0"/>
                <w:bCs/>
                <w:color w:val="auto"/>
                <w:spacing w:val="-10"/>
                <w:sz w:val="21"/>
                <w:szCs w:val="21"/>
                <w:highlight w:val="none"/>
                <w:lang w:val="en-US" w:eastAsia="zh-CN"/>
              </w:rPr>
              <w:t>超声波废水、手工清洗废水、水样废水及</w:t>
            </w:r>
            <w:r>
              <w:rPr>
                <w:rFonts w:hint="eastAsia" w:ascii="Times New Roman" w:cs="Times New Roman"/>
                <w:b w:val="0"/>
                <w:bCs/>
                <w:color w:val="auto"/>
                <w:spacing w:val="-10"/>
                <w:sz w:val="21"/>
                <w:szCs w:val="21"/>
                <w:highlight w:val="none"/>
                <w:lang w:val="en-US" w:eastAsia="zh-CN"/>
              </w:rPr>
              <w:t>喷淋废水定期交由有废水处理能力的公司转移处理；</w:t>
            </w:r>
            <w:r>
              <w:rPr>
                <w:rFonts w:hint="default" w:ascii="Times New Roman" w:hAnsi="Times New Roman" w:eastAsia="宋体" w:cs="Times New Roman"/>
                <w:color w:val="auto"/>
                <w:sz w:val="21"/>
                <w:szCs w:val="24"/>
                <w:highlight w:val="none"/>
                <w:lang w:val="en-US" w:eastAsia="zh-CN"/>
              </w:rPr>
              <w:t>项目酸雾废气经通风柜收集后，通过碱液喷淋塔处理后经G1排气筒排放；项目有机废气、粉尘废气一起经密闭车间+通风柜收集后，汇入到1套</w:t>
            </w:r>
            <w:r>
              <w:rPr>
                <w:rFonts w:hint="eastAsia" w:cs="Times New Roman"/>
                <w:color w:val="auto"/>
                <w:sz w:val="21"/>
                <w:szCs w:val="24"/>
                <w:highlight w:val="none"/>
                <w:lang w:val="en-US" w:eastAsia="zh-CN"/>
              </w:rPr>
              <w:t>单</w:t>
            </w:r>
            <w:r>
              <w:rPr>
                <w:rFonts w:hint="default" w:ascii="Times New Roman" w:hAnsi="Times New Roman" w:eastAsia="宋体" w:cs="Times New Roman"/>
                <w:color w:val="auto"/>
                <w:sz w:val="21"/>
                <w:szCs w:val="24"/>
                <w:highlight w:val="none"/>
                <w:lang w:val="en-US" w:eastAsia="zh-CN"/>
              </w:rPr>
              <w:t>级活性炭吸附装置进行处理后经G2排气筒排放</w:t>
            </w:r>
            <w:r>
              <w:rPr>
                <w:rFonts w:hint="default" w:ascii="Times New Roman" w:hAnsi="Times New Roman" w:eastAsia="宋体" w:cs="Times New Roman"/>
                <w:color w:val="auto"/>
                <w:sz w:val="21"/>
                <w:szCs w:val="24"/>
                <w:highlight w:val="none"/>
              </w:rPr>
              <w:t>；本项目生活垃圾交环卫部门统一清运、一般工业固废收集后暂存于项目一般工业固废暂存间，交有一般工业固废处理能力的单位处理、危险废物收集后暂存于项目的危险废物暂存间，定期交由具有相关危险废物经营许可证的单位处理；本项目对噪声源采取适当隔音、降噪措施。本项目废气、废水、固废和噪声的排放及处置，符合开发区环境管理要求</w:t>
            </w:r>
            <w:r>
              <w:rPr>
                <w:rFonts w:hint="default" w:ascii="Times New Roman" w:hAnsi="Times New Roman" w:eastAsia="宋体" w:cs="Times New Roman"/>
                <w:color w:val="auto"/>
                <w:sz w:val="21"/>
                <w:szCs w:val="24"/>
                <w:highlight w:val="none"/>
                <w:lang w:eastAsia="zh-CN"/>
              </w:rPr>
              <w:t>。</w:t>
            </w:r>
          </w:p>
          <w:p w14:paraId="5276FF65">
            <w:pPr>
              <w:keepNext w:val="0"/>
              <w:keepLines w:val="0"/>
              <w:pageBreakBefore w:val="0"/>
              <w:widowControl w:val="0"/>
              <w:kinsoku/>
              <w:wordWrap/>
              <w:overflowPunct/>
              <w:topLinePunct w:val="0"/>
              <w:autoSpaceDE/>
              <w:autoSpaceDN/>
              <w:bidi w:val="0"/>
              <w:adjustRightInd/>
              <w:snapToGrid/>
              <w:spacing w:beforeLines="0" w:afterLines="0" w:line="240" w:lineRule="auto"/>
              <w:ind w:firstLine="420" w:firstLineChars="200"/>
              <w:jc w:val="lef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4"/>
                <w:highlight w:val="none"/>
              </w:rPr>
              <w:t>综上，本项目与《中山火炬高技术产业开发区区域环境影响报告书》相符。</w:t>
            </w:r>
          </w:p>
        </w:tc>
      </w:tr>
    </w:tbl>
    <w:p w14:paraId="72DDA3F1">
      <w:pPr>
        <w:shd w:val="clear"/>
        <w:spacing w:line="360" w:lineRule="auto"/>
        <w:jc w:val="center"/>
        <w:outlineLvl w:val="0"/>
        <w:rPr>
          <w:rFonts w:hint="default" w:ascii="Times New Roman" w:hAnsi="Times New Roman" w:eastAsia="宋体" w:cs="Times New Roman"/>
          <w:color w:val="auto"/>
          <w:kern w:val="0"/>
          <w:szCs w:val="21"/>
          <w:highlight w:val="none"/>
          <w:lang w:val="en-US" w:eastAsia="zh-CN"/>
        </w:rPr>
        <w:sectPr>
          <w:footerReference r:id="rId6" w:type="default"/>
          <w:pgSz w:w="11906" w:h="16839"/>
          <w:pgMar w:top="1431" w:right="1418" w:bottom="1185" w:left="1482" w:header="0" w:footer="922" w:gutter="0"/>
          <w:pgNumType w:fmt="decimal" w:start="1"/>
          <w:cols w:space="720" w:num="1"/>
        </w:sectPr>
      </w:pPr>
      <w:bookmarkStart w:id="2" w:name="_Toc22326"/>
      <w:bookmarkStart w:id="3" w:name="_Toc14019"/>
      <w:bookmarkStart w:id="4" w:name="_Toc8255"/>
    </w:p>
    <w:tbl>
      <w:tblPr>
        <w:tblStyle w:val="34"/>
        <w:tblW w:w="8996" w:type="dxa"/>
        <w:tblInd w:w="6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95"/>
        <w:gridCol w:w="8601"/>
      </w:tblGrid>
      <w:tr w14:paraId="0FB4E3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95" w:type="dxa"/>
            <w:noWrap w:val="0"/>
            <w:vAlign w:val="center"/>
          </w:tcPr>
          <w:p w14:paraId="0E1B6C3E">
            <w:pPr>
              <w:shd w:val="clear"/>
              <w:bidi w:val="0"/>
              <w:spacing w:line="240" w:lineRule="auto"/>
              <w:rPr>
                <w:rFonts w:hint="default" w:ascii="Times New Roman" w:hAnsi="Times New Roman" w:eastAsia="宋体" w:cs="Times New Roman"/>
                <w:color w:val="auto"/>
                <w:highlight w:val="none"/>
                <w:lang w:val="en-US" w:eastAsia="zh-CN"/>
              </w:rPr>
            </w:pPr>
            <w:bookmarkStart w:id="5" w:name="_Toc15559"/>
            <w:r>
              <w:rPr>
                <w:rFonts w:hint="default" w:ascii="Times New Roman" w:hAnsi="Times New Roman" w:eastAsia="宋体" w:cs="Times New Roman"/>
                <w:color w:val="auto"/>
                <w:highlight w:val="none"/>
                <w:lang w:val="en-US" w:eastAsia="zh-CN"/>
              </w:rPr>
              <w:t>其他符合性分析</w:t>
            </w:r>
            <w:bookmarkEnd w:id="2"/>
            <w:bookmarkEnd w:id="3"/>
            <w:bookmarkEnd w:id="4"/>
            <w:bookmarkEnd w:id="5"/>
          </w:p>
        </w:tc>
        <w:tc>
          <w:tcPr>
            <w:tcW w:w="8601" w:type="dxa"/>
            <w:noWrap w:val="0"/>
            <w:vAlign w:val="top"/>
          </w:tcPr>
          <w:p w14:paraId="64FE21F6">
            <w:pPr>
              <w:keepNext/>
              <w:keepLines/>
              <w:pageBreakBefore w:val="0"/>
              <w:widowControl w:val="0"/>
              <w:numPr>
                <w:ilvl w:val="0"/>
                <w:numId w:val="0"/>
              </w:numPr>
              <w:suppressLineNumbers w:val="0"/>
              <w:shd w:val="clear"/>
              <w:kinsoku/>
              <w:wordWrap/>
              <w:overflowPunct/>
              <w:topLinePunct w:val="0"/>
              <w:autoSpaceDE/>
              <w:autoSpaceDN/>
              <w:bidi w:val="0"/>
              <w:adjustRightInd/>
              <w:snapToGrid/>
              <w:spacing w:before="0" w:beforeAutospacing="0" w:after="0" w:afterAutospacing="0" w:line="360" w:lineRule="auto"/>
              <w:ind w:left="420" w:leftChars="0" w:right="0" w:rightChars="0" w:hanging="420" w:firstLineChars="0"/>
              <w:jc w:val="center"/>
              <w:textAlignment w:val="baseline"/>
              <w:outlineLvl w:val="9"/>
              <w:rPr>
                <w:rFonts w:hint="default" w:ascii="Times New Roman" w:hAnsi="Times New Roman" w:eastAsia="宋体" w:cs="Times New Roman"/>
                <w:b/>
                <w:color w:val="auto"/>
                <w:kern w:val="2"/>
                <w:sz w:val="24"/>
                <w:szCs w:val="24"/>
                <w:highlight w:val="none"/>
                <w:lang w:val="en-US" w:eastAsia="zh-CN" w:bidi="ar-SA"/>
              </w:rPr>
            </w:pPr>
            <w:r>
              <w:rPr>
                <w:rFonts w:hint="default" w:ascii="Times New Roman" w:hAnsi="Times New Roman" w:eastAsia="宋体" w:cs="Times New Roman"/>
                <w:b/>
                <w:color w:val="auto"/>
                <w:kern w:val="2"/>
                <w:sz w:val="24"/>
                <w:szCs w:val="24"/>
                <w:highlight w:val="none"/>
                <w:lang w:val="en-US" w:eastAsia="zh-CN" w:bidi="ar-SA"/>
              </w:rPr>
              <w:t>表1相符性分析一览表</w:t>
            </w:r>
          </w:p>
          <w:tbl>
            <w:tblPr>
              <w:tblStyle w:val="33"/>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446"/>
              <w:gridCol w:w="1432"/>
              <w:gridCol w:w="3502"/>
              <w:gridCol w:w="2331"/>
              <w:gridCol w:w="664"/>
            </w:tblGrid>
            <w:tr w14:paraId="69620AA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62" w:hRule="atLeast"/>
              </w:trPr>
              <w:tc>
                <w:tcPr>
                  <w:tcW w:w="266" w:type="pct"/>
                  <w:noWrap w:val="0"/>
                  <w:vAlign w:val="center"/>
                </w:tcPr>
                <w:p w14:paraId="104FBCA5">
                  <w:pPr>
                    <w:shd w:val="clear"/>
                    <w:bidi w:val="0"/>
                    <w:spacing w:line="240" w:lineRule="auto"/>
                    <w:jc w:val="center"/>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序号</w:t>
                  </w:r>
                </w:p>
              </w:tc>
              <w:tc>
                <w:tcPr>
                  <w:tcW w:w="854" w:type="pct"/>
                  <w:noWrap w:val="0"/>
                  <w:vAlign w:val="center"/>
                </w:tcPr>
                <w:p w14:paraId="64FA47C6">
                  <w:pPr>
                    <w:shd w:val="clear"/>
                    <w:bidi w:val="0"/>
                    <w:spacing w:line="240" w:lineRule="auto"/>
                    <w:jc w:val="center"/>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rPr>
                    <w:t>产业、准入政策名称</w:t>
                  </w:r>
                </w:p>
              </w:tc>
              <w:tc>
                <w:tcPr>
                  <w:tcW w:w="2090" w:type="pct"/>
                  <w:noWrap w:val="0"/>
                  <w:vAlign w:val="center"/>
                </w:tcPr>
                <w:p w14:paraId="17784C30">
                  <w:pPr>
                    <w:shd w:val="clear"/>
                    <w:bidi w:val="0"/>
                    <w:spacing w:line="240" w:lineRule="auto"/>
                    <w:jc w:val="center"/>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rPr>
                    <w:t>涉及条款</w:t>
                  </w:r>
                </w:p>
              </w:tc>
              <w:tc>
                <w:tcPr>
                  <w:tcW w:w="1391" w:type="pct"/>
                  <w:noWrap w:val="0"/>
                  <w:vAlign w:val="center"/>
                </w:tcPr>
                <w:p w14:paraId="34611BF5">
                  <w:pPr>
                    <w:shd w:val="clear"/>
                    <w:bidi w:val="0"/>
                    <w:spacing w:line="240" w:lineRule="auto"/>
                    <w:jc w:val="center"/>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rPr>
                    <w:t>项目建设情况</w:t>
                  </w:r>
                </w:p>
              </w:tc>
              <w:tc>
                <w:tcPr>
                  <w:tcW w:w="396" w:type="pct"/>
                  <w:noWrap w:val="0"/>
                  <w:vAlign w:val="center"/>
                </w:tcPr>
                <w:p w14:paraId="5496E228">
                  <w:pPr>
                    <w:shd w:val="clear"/>
                    <w:bidi w:val="0"/>
                    <w:spacing w:line="240" w:lineRule="auto"/>
                    <w:jc w:val="center"/>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rPr>
                    <w:t>相符性判定</w:t>
                  </w:r>
                </w:p>
              </w:tc>
            </w:tr>
            <w:tr w14:paraId="1AAFFC7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07" w:hRule="atLeast"/>
              </w:trPr>
              <w:tc>
                <w:tcPr>
                  <w:tcW w:w="266" w:type="pct"/>
                  <w:noWrap w:val="0"/>
                  <w:vAlign w:val="center"/>
                </w:tcPr>
                <w:p w14:paraId="2DC32BE7">
                  <w:pPr>
                    <w:shd w:val="clear"/>
                    <w:bidi w:val="0"/>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w:t>
                  </w:r>
                </w:p>
              </w:tc>
              <w:tc>
                <w:tcPr>
                  <w:tcW w:w="854" w:type="pct"/>
                  <w:noWrap w:val="0"/>
                  <w:vAlign w:val="center"/>
                </w:tcPr>
                <w:p w14:paraId="5632E0D4">
                  <w:pPr>
                    <w:shd w:val="clear"/>
                    <w:bidi w:val="0"/>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HYPERLINK "file:///D:\\微信\\WeChat%20Files\\wxid_1606796060012\\com_caislabs_ebk\\K管理政策\\名录-目录-名单\\产业结构调整指导目录(发改令第40号2005-12-2).htm" \t "main" \o "产业结构调整指导目录(发改令第40号2005-12-2)"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产业结构调整指导目录</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（20</w:t>
                  </w:r>
                  <w:r>
                    <w:rPr>
                      <w:rFonts w:hint="default" w:ascii="Times New Roman" w:hAnsi="Times New Roman" w:eastAsia="宋体" w:cs="Times New Roman"/>
                      <w:color w:val="auto"/>
                      <w:highlight w:val="none"/>
                      <w:lang w:val="en-US" w:eastAsia="zh-CN"/>
                    </w:rPr>
                    <w:t>24</w:t>
                  </w:r>
                  <w:r>
                    <w:rPr>
                      <w:rFonts w:hint="default" w:ascii="Times New Roman" w:hAnsi="Times New Roman" w:eastAsia="宋体" w:cs="Times New Roman"/>
                      <w:color w:val="auto"/>
                      <w:highlight w:val="none"/>
                    </w:rPr>
                    <w:t>年本）》</w:t>
                  </w:r>
                </w:p>
              </w:tc>
              <w:tc>
                <w:tcPr>
                  <w:tcW w:w="2090" w:type="pct"/>
                  <w:noWrap w:val="0"/>
                  <w:vAlign w:val="center"/>
                </w:tcPr>
                <w:p w14:paraId="63768CDB">
                  <w:pPr>
                    <w:shd w:val="clear"/>
                    <w:bidi w:val="0"/>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c>
                <w:tcPr>
                  <w:tcW w:w="1391" w:type="pct"/>
                  <w:noWrap w:val="0"/>
                  <w:vAlign w:val="center"/>
                </w:tcPr>
                <w:p w14:paraId="16496496">
                  <w:pPr>
                    <w:shd w:val="clear"/>
                    <w:bidi w:val="0"/>
                    <w:spacing w:line="240" w:lineRule="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项目生产工艺和生产的产品均不属于规定的限制类和淘汰类。</w:t>
                  </w:r>
                </w:p>
              </w:tc>
              <w:tc>
                <w:tcPr>
                  <w:tcW w:w="396" w:type="pct"/>
                  <w:noWrap w:val="0"/>
                  <w:vAlign w:val="center"/>
                </w:tcPr>
                <w:p w14:paraId="122F89E6">
                  <w:pPr>
                    <w:shd w:val="clear"/>
                    <w:bidi w:val="0"/>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符合</w:t>
                  </w:r>
                </w:p>
              </w:tc>
            </w:tr>
            <w:tr w14:paraId="2A7BA5D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190" w:hRule="atLeast"/>
              </w:trPr>
              <w:tc>
                <w:tcPr>
                  <w:tcW w:w="266" w:type="pct"/>
                  <w:noWrap w:val="0"/>
                  <w:vAlign w:val="center"/>
                </w:tcPr>
                <w:p w14:paraId="7C9EED15">
                  <w:pPr>
                    <w:shd w:val="clear"/>
                    <w:bidi w:val="0"/>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2</w:t>
                  </w:r>
                </w:p>
              </w:tc>
              <w:tc>
                <w:tcPr>
                  <w:tcW w:w="854" w:type="pct"/>
                  <w:noWrap w:val="0"/>
                  <w:vAlign w:val="center"/>
                </w:tcPr>
                <w:p w14:paraId="0E096A7F">
                  <w:pPr>
                    <w:shd w:val="clear"/>
                    <w:bidi w:val="0"/>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《市场准入负面清单（202</w:t>
                  </w:r>
                  <w:r>
                    <w:rPr>
                      <w:rFonts w:hint="default" w:ascii="Times New Roman" w:hAnsi="Times New Roman" w:cs="Times New Roman"/>
                      <w:color w:val="auto"/>
                      <w:highlight w:val="none"/>
                      <w:lang w:val="en-US" w:eastAsia="zh-CN"/>
                    </w:rPr>
                    <w:t>5</w:t>
                  </w:r>
                  <w:r>
                    <w:rPr>
                      <w:rFonts w:hint="default" w:ascii="Times New Roman" w:hAnsi="Times New Roman" w:eastAsia="宋体" w:cs="Times New Roman"/>
                      <w:color w:val="auto"/>
                      <w:highlight w:val="none"/>
                    </w:rPr>
                    <w:t>年版）》</w:t>
                  </w:r>
                </w:p>
              </w:tc>
              <w:tc>
                <w:tcPr>
                  <w:tcW w:w="2090" w:type="pct"/>
                  <w:noWrap w:val="0"/>
                  <w:vAlign w:val="center"/>
                </w:tcPr>
                <w:p w14:paraId="6AB9F1EE">
                  <w:pPr>
                    <w:shd w:val="clear"/>
                    <w:bidi w:val="0"/>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c>
                <w:tcPr>
                  <w:tcW w:w="1391" w:type="pct"/>
                  <w:noWrap w:val="0"/>
                  <w:vAlign w:val="center"/>
                </w:tcPr>
                <w:p w14:paraId="01881CBB">
                  <w:pPr>
                    <w:shd w:val="clear"/>
                    <w:bidi w:val="0"/>
                    <w:spacing w:line="240" w:lineRule="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本项目为M7452检测服务，不属于禁止准入类和许可准入类，属于负面清单以外的行业。</w:t>
                  </w:r>
                </w:p>
              </w:tc>
              <w:tc>
                <w:tcPr>
                  <w:tcW w:w="396" w:type="pct"/>
                  <w:noWrap w:val="0"/>
                  <w:vAlign w:val="center"/>
                </w:tcPr>
                <w:p w14:paraId="6D0EFD8D">
                  <w:pPr>
                    <w:shd w:val="clear"/>
                    <w:bidi w:val="0"/>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符合</w:t>
                  </w:r>
                </w:p>
              </w:tc>
            </w:tr>
            <w:tr w14:paraId="764007A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66" w:type="pct"/>
                  <w:noWrap w:val="0"/>
                  <w:vAlign w:val="center"/>
                </w:tcPr>
                <w:p w14:paraId="5A9B93A8">
                  <w:pPr>
                    <w:shd w:val="clear"/>
                    <w:bidi w:val="0"/>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w:t>
                  </w:r>
                </w:p>
              </w:tc>
              <w:tc>
                <w:tcPr>
                  <w:tcW w:w="854" w:type="pct"/>
                  <w:noWrap w:val="0"/>
                  <w:vAlign w:val="center"/>
                </w:tcPr>
                <w:p w14:paraId="2A8A0F22">
                  <w:pPr>
                    <w:shd w:val="clear"/>
                    <w:bidi w:val="0"/>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eastAsia="zh-CN"/>
                    </w:rPr>
                    <w:t>《广东省坚决遏制</w:t>
                  </w:r>
                  <w:r>
                    <w:rPr>
                      <w:rFonts w:hint="default" w:ascii="Times New Roman" w:hAnsi="Times New Roman" w:eastAsia="宋体" w:cs="Times New Roman"/>
                      <w:color w:val="auto"/>
                      <w:highlight w:val="none"/>
                      <w:lang w:val="en-US" w:eastAsia="zh-CN"/>
                    </w:rPr>
                    <w:t>“两高”</w:t>
                  </w:r>
                  <w:r>
                    <w:rPr>
                      <w:rFonts w:hint="default" w:ascii="Times New Roman" w:hAnsi="Times New Roman" w:eastAsia="宋体" w:cs="Times New Roman"/>
                      <w:color w:val="auto"/>
                      <w:highlight w:val="none"/>
                      <w:lang w:eastAsia="zh-CN"/>
                    </w:rPr>
                    <w:t>项目盲目发展实施方案》</w:t>
                  </w:r>
                </w:p>
              </w:tc>
              <w:tc>
                <w:tcPr>
                  <w:tcW w:w="2090" w:type="pct"/>
                  <w:noWrap w:val="0"/>
                  <w:vAlign w:val="center"/>
                </w:tcPr>
                <w:p w14:paraId="3880AE1E">
                  <w:pPr>
                    <w:shd w:val="clear"/>
                    <w:bidi w:val="0"/>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严控重点区域“两高”项目。严禁在经规划环评审查的产业园区以外区域，新建及扩建石化、化工、有色金属冶炼、平板玻璃项目。珠三角核心区域禁止新建、扩建水泥、平板玻璃、化学制浆、生皮制革以及国家规划外的钢铁、原油加工等项目；禁止新建、扩建燃煤火电机组和企业自备电站，推进现有服役期满燃煤火电机组有序退出。对未完成上年度能耗强度下降目标，或能耗强度下降目标形势严峻、用能空间不足的地区，实行“两高”项目缓批限批或能耗减量替代。对超过重点污染物排放总量控制指标或未完成环境质量改善目标的区域，执行更严格的排放总量控制要求。</w:t>
                  </w:r>
                </w:p>
              </w:tc>
              <w:tc>
                <w:tcPr>
                  <w:tcW w:w="1391" w:type="pct"/>
                  <w:noWrap w:val="0"/>
                  <w:vAlign w:val="center"/>
                </w:tcPr>
                <w:p w14:paraId="3F722CB9">
                  <w:pPr>
                    <w:shd w:val="clear"/>
                    <w:bidi w:val="0"/>
                    <w:spacing w:line="240" w:lineRule="auto"/>
                    <w:jc w:val="center"/>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lang w:val="en-US" w:eastAsia="zh-CN"/>
                    </w:rPr>
                    <w:t>本项目属于M7452检测服务，不属于“两高”项目类别。</w:t>
                  </w:r>
                </w:p>
              </w:tc>
              <w:tc>
                <w:tcPr>
                  <w:tcW w:w="396" w:type="pct"/>
                  <w:noWrap w:val="0"/>
                  <w:vAlign w:val="center"/>
                </w:tcPr>
                <w:p w14:paraId="0E8DE87D">
                  <w:pPr>
                    <w:shd w:val="clear"/>
                    <w:bidi w:val="0"/>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符合</w:t>
                  </w:r>
                </w:p>
              </w:tc>
            </w:tr>
            <w:tr w14:paraId="44C35BE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66" w:type="pct"/>
                  <w:vMerge w:val="restart"/>
                  <w:noWrap w:val="0"/>
                  <w:vAlign w:val="center"/>
                </w:tcPr>
                <w:p w14:paraId="753D3662">
                  <w:pPr>
                    <w:shd w:val="clear"/>
                    <w:bidi w:val="0"/>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w:t>
                  </w:r>
                </w:p>
              </w:tc>
              <w:tc>
                <w:tcPr>
                  <w:tcW w:w="854" w:type="pct"/>
                  <w:vMerge w:val="restart"/>
                  <w:noWrap w:val="0"/>
                  <w:vAlign w:val="center"/>
                </w:tcPr>
                <w:p w14:paraId="7CA5A3E2">
                  <w:pPr>
                    <w:shd w:val="clear"/>
                    <w:bidi w:val="0"/>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中山市生态环境局关于印发《中山市涉挥发性有机物项目环保管理规定》的通知</w:t>
                  </w:r>
                </w:p>
                <w:p w14:paraId="638785BD">
                  <w:pPr>
                    <w:shd w:val="clear"/>
                    <w:bidi w:val="0"/>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中环规字〔2021〕1号</w:t>
                  </w:r>
                  <w:r>
                    <w:rPr>
                      <w:rFonts w:hint="default" w:ascii="Times New Roman" w:hAnsi="Times New Roman" w:eastAsia="宋体" w:cs="Times New Roman"/>
                      <w:color w:val="auto"/>
                      <w:highlight w:val="none"/>
                      <w:lang w:eastAsia="zh-CN"/>
                    </w:rPr>
                    <w:t>】</w:t>
                  </w:r>
                </w:p>
              </w:tc>
              <w:tc>
                <w:tcPr>
                  <w:tcW w:w="2090" w:type="pct"/>
                  <w:noWrap w:val="0"/>
                  <w:vAlign w:val="center"/>
                </w:tcPr>
                <w:p w14:paraId="79ABDA8A">
                  <w:pPr>
                    <w:shd w:val="clear"/>
                    <w:bidi w:val="0"/>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第四条</w:t>
                  </w:r>
                  <w:r>
                    <w:rPr>
                      <w:rFonts w:hint="default" w:ascii="Times New Roman" w:hAnsi="Times New Roman" w:eastAsia="宋体" w:cs="Times New Roman"/>
                      <w:color w:val="auto"/>
                      <w:highlight w:val="none"/>
                    </w:rPr>
                    <w:t>中山市大气重点区域（东区、西区、南区、石岐街道）不</w:t>
                  </w:r>
                  <w:r>
                    <w:rPr>
                      <w:rFonts w:hint="default" w:ascii="Times New Roman" w:hAnsi="Times New Roman" w:eastAsia="宋体" w:cs="Times New Roman"/>
                      <w:color w:val="auto"/>
                      <w:highlight w:val="none"/>
                      <w:lang w:val="en-US" w:eastAsia="zh-CN"/>
                    </w:rPr>
                    <w:t>再</w:t>
                  </w:r>
                  <w:r>
                    <w:rPr>
                      <w:rFonts w:hint="default" w:ascii="Times New Roman" w:hAnsi="Times New Roman" w:eastAsia="宋体" w:cs="Times New Roman"/>
                      <w:color w:val="auto"/>
                      <w:highlight w:val="none"/>
                    </w:rPr>
                    <w:t>审批（或备案）新建、扩建涉总VOCs产排工业项目</w:t>
                  </w:r>
                  <w:r>
                    <w:rPr>
                      <w:rFonts w:hint="default" w:ascii="Times New Roman" w:hAnsi="Times New Roman" w:eastAsia="宋体" w:cs="Times New Roman"/>
                      <w:color w:val="auto"/>
                      <w:highlight w:val="none"/>
                      <w:lang w:eastAsia="zh-CN"/>
                    </w:rPr>
                    <w:t>。</w:t>
                  </w:r>
                </w:p>
              </w:tc>
              <w:tc>
                <w:tcPr>
                  <w:tcW w:w="1391" w:type="pct"/>
                  <w:noWrap w:val="0"/>
                  <w:vAlign w:val="center"/>
                </w:tcPr>
                <w:p w14:paraId="58F32071">
                  <w:pPr>
                    <w:shd w:val="clear"/>
                    <w:bidi w:val="0"/>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本项目位于</w:t>
                  </w:r>
                  <w:r>
                    <w:rPr>
                      <w:rFonts w:hint="eastAsia" w:cs="Times New Roman"/>
                      <w:color w:val="auto"/>
                      <w:highlight w:val="none"/>
                      <w:lang w:val="en-US" w:eastAsia="zh-CN"/>
                    </w:rPr>
                    <w:t>中山市火炬开发区</w:t>
                  </w:r>
                  <w:r>
                    <w:rPr>
                      <w:rFonts w:hint="default" w:ascii="Times New Roman" w:hAnsi="Times New Roman" w:eastAsia="宋体" w:cs="Times New Roman"/>
                      <w:color w:val="auto"/>
                      <w:highlight w:val="none"/>
                    </w:rPr>
                    <w:t>，不属于中山市大气重点区域。</w:t>
                  </w:r>
                </w:p>
              </w:tc>
              <w:tc>
                <w:tcPr>
                  <w:tcW w:w="396" w:type="pct"/>
                  <w:vMerge w:val="restart"/>
                  <w:noWrap w:val="0"/>
                  <w:vAlign w:val="center"/>
                </w:tcPr>
                <w:p w14:paraId="528831A2">
                  <w:pPr>
                    <w:shd w:val="clear"/>
                    <w:bidi w:val="0"/>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符合</w:t>
                  </w:r>
                </w:p>
              </w:tc>
            </w:tr>
            <w:tr w14:paraId="02FB7AF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66" w:type="pct"/>
                  <w:vMerge w:val="continue"/>
                  <w:noWrap w:val="0"/>
                  <w:vAlign w:val="center"/>
                </w:tcPr>
                <w:p w14:paraId="2C85AD62">
                  <w:pPr>
                    <w:shd w:val="clear"/>
                    <w:bidi w:val="0"/>
                    <w:spacing w:line="240" w:lineRule="auto"/>
                    <w:rPr>
                      <w:rFonts w:hint="default" w:ascii="Times New Roman" w:hAnsi="Times New Roman" w:eastAsia="宋体" w:cs="Times New Roman"/>
                      <w:color w:val="auto"/>
                      <w:highlight w:val="none"/>
                      <w:lang w:val="en-US" w:eastAsia="zh-CN"/>
                    </w:rPr>
                  </w:pPr>
                </w:p>
              </w:tc>
              <w:tc>
                <w:tcPr>
                  <w:tcW w:w="854" w:type="pct"/>
                  <w:vMerge w:val="continue"/>
                  <w:noWrap w:val="0"/>
                  <w:vAlign w:val="center"/>
                </w:tcPr>
                <w:p w14:paraId="1455DB1A">
                  <w:pPr>
                    <w:shd w:val="clear"/>
                    <w:bidi w:val="0"/>
                    <w:spacing w:line="240" w:lineRule="auto"/>
                    <w:rPr>
                      <w:rFonts w:hint="default" w:ascii="Times New Roman" w:hAnsi="Times New Roman" w:eastAsia="宋体" w:cs="Times New Roman"/>
                      <w:color w:val="auto"/>
                      <w:highlight w:val="none"/>
                    </w:rPr>
                  </w:pPr>
                </w:p>
              </w:tc>
              <w:tc>
                <w:tcPr>
                  <w:tcW w:w="2090" w:type="pct"/>
                  <w:noWrap w:val="0"/>
                  <w:vAlign w:val="center"/>
                </w:tcPr>
                <w:p w14:paraId="61B54CCF">
                  <w:pPr>
                    <w:shd w:val="clear"/>
                    <w:bidi w:val="0"/>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第五条</w:t>
                  </w:r>
                  <w:r>
                    <w:rPr>
                      <w:rFonts w:hint="default" w:ascii="Times New Roman" w:hAnsi="Times New Roman" w:eastAsia="宋体" w:cs="Times New Roman"/>
                      <w:color w:val="auto"/>
                      <w:highlight w:val="none"/>
                    </w:rPr>
                    <w:t>全市范围内原则上不再审批或备案新建、扩建</w:t>
                  </w:r>
                  <w:r>
                    <w:rPr>
                      <w:rFonts w:hint="default" w:ascii="Times New Roman" w:hAnsi="Times New Roman" w:eastAsia="宋体" w:cs="Times New Roman"/>
                      <w:color w:val="auto"/>
                      <w:highlight w:val="none"/>
                      <w:lang w:eastAsia="zh-CN"/>
                    </w:rPr>
                    <w:t>涉及</w:t>
                  </w:r>
                  <w:r>
                    <w:rPr>
                      <w:rFonts w:hint="default" w:ascii="Times New Roman" w:hAnsi="Times New Roman" w:eastAsia="宋体" w:cs="Times New Roman"/>
                      <w:color w:val="auto"/>
                      <w:highlight w:val="none"/>
                    </w:rPr>
                    <w:t>使用非低（无）VOCs涂料、油墨、胶粘剂原辅材料的工业类项目</w:t>
                  </w:r>
                  <w:r>
                    <w:rPr>
                      <w:rFonts w:hint="default" w:ascii="Times New Roman" w:hAnsi="Times New Roman" w:eastAsia="宋体" w:cs="Times New Roman"/>
                      <w:color w:val="auto"/>
                      <w:highlight w:val="none"/>
                      <w:lang w:eastAsia="zh-CN"/>
                    </w:rPr>
                    <w:t>。</w:t>
                  </w:r>
                </w:p>
              </w:tc>
              <w:tc>
                <w:tcPr>
                  <w:tcW w:w="1391" w:type="pct"/>
                  <w:noWrap w:val="0"/>
                  <w:vAlign w:val="center"/>
                </w:tcPr>
                <w:p w14:paraId="7C686426">
                  <w:pPr>
                    <w:shd w:val="clear"/>
                    <w:bidi w:val="0"/>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本项目不使用非低（无）VOCs涂料、油墨、胶粘剂。</w:t>
                  </w:r>
                </w:p>
              </w:tc>
              <w:tc>
                <w:tcPr>
                  <w:tcW w:w="396" w:type="pct"/>
                  <w:vMerge w:val="continue"/>
                  <w:noWrap w:val="0"/>
                  <w:vAlign w:val="center"/>
                </w:tcPr>
                <w:p w14:paraId="69FF664F">
                  <w:pPr>
                    <w:shd w:val="clear"/>
                    <w:bidi w:val="0"/>
                    <w:spacing w:line="240" w:lineRule="auto"/>
                    <w:rPr>
                      <w:rFonts w:hint="default" w:ascii="Times New Roman" w:hAnsi="Times New Roman" w:eastAsia="宋体" w:cs="Times New Roman"/>
                      <w:color w:val="auto"/>
                      <w:highlight w:val="none"/>
                      <w:lang w:val="en-US" w:eastAsia="zh-CN"/>
                    </w:rPr>
                  </w:pPr>
                </w:p>
              </w:tc>
            </w:tr>
            <w:tr w14:paraId="0B0AB4C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821" w:hRule="atLeast"/>
              </w:trPr>
              <w:tc>
                <w:tcPr>
                  <w:tcW w:w="266" w:type="pct"/>
                  <w:vMerge w:val="continue"/>
                  <w:noWrap w:val="0"/>
                  <w:vAlign w:val="center"/>
                </w:tcPr>
                <w:p w14:paraId="5720C1D2">
                  <w:pPr>
                    <w:shd w:val="clear"/>
                    <w:bidi w:val="0"/>
                    <w:spacing w:line="240" w:lineRule="auto"/>
                    <w:rPr>
                      <w:rFonts w:hint="default" w:ascii="Times New Roman" w:hAnsi="Times New Roman" w:eastAsia="宋体" w:cs="Times New Roman"/>
                      <w:color w:val="auto"/>
                      <w:highlight w:val="none"/>
                      <w:lang w:val="en-US" w:eastAsia="zh-CN"/>
                    </w:rPr>
                  </w:pPr>
                </w:p>
              </w:tc>
              <w:tc>
                <w:tcPr>
                  <w:tcW w:w="854" w:type="pct"/>
                  <w:vMerge w:val="continue"/>
                  <w:noWrap w:val="0"/>
                  <w:vAlign w:val="center"/>
                </w:tcPr>
                <w:p w14:paraId="4897E71E">
                  <w:pPr>
                    <w:shd w:val="clear"/>
                    <w:bidi w:val="0"/>
                    <w:spacing w:line="240" w:lineRule="auto"/>
                    <w:rPr>
                      <w:rFonts w:hint="default" w:ascii="Times New Roman" w:hAnsi="Times New Roman" w:eastAsia="宋体" w:cs="Times New Roman"/>
                      <w:color w:val="auto"/>
                      <w:highlight w:val="none"/>
                    </w:rPr>
                  </w:pPr>
                </w:p>
              </w:tc>
              <w:tc>
                <w:tcPr>
                  <w:tcW w:w="2090" w:type="pct"/>
                  <w:noWrap w:val="0"/>
                  <w:vAlign w:val="center"/>
                </w:tcPr>
                <w:p w14:paraId="6FE19E2E">
                  <w:pPr>
                    <w:shd w:val="clear"/>
                    <w:bidi w:val="0"/>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szCs w:val="21"/>
                      <w:highlight w:val="none"/>
                      <w:lang w:val="en-US" w:eastAsia="zh-CN"/>
                    </w:rPr>
                    <w:t>第十条</w:t>
                  </w:r>
                  <w:r>
                    <w:rPr>
                      <w:rFonts w:hint="default" w:ascii="Times New Roman" w:hAnsi="Times New Roman" w:eastAsia="宋体" w:cs="Times New Roman"/>
                      <w:color w:val="auto"/>
                      <w:szCs w:val="21"/>
                      <w:highlight w:val="none"/>
                    </w:rPr>
                    <w:t>VOCs废气遵循“应收尽收、分质收集”的原则，收集效率不应低于90%。由于技术可行性等因素，确实达不到90%的，需在环评报告充分论述并确定收集效率要求。科学设计废气收集系统，将无组织排放转变为有组织排放进行控制。采用全密闭集气罩或密闭空间的，除行业有特殊要求外，应保持微负压状态，并根据相关规范合理设置通风量。采用局部集气罩的，距集气罩开口面最远处的VOCs无组织排放位置，控制风速应不低于0.3米/秒。有行业要求的按相关规定执行。</w:t>
                  </w:r>
                </w:p>
              </w:tc>
              <w:tc>
                <w:tcPr>
                  <w:tcW w:w="1391" w:type="pct"/>
                  <w:vMerge w:val="restart"/>
                  <w:noWrap w:val="0"/>
                  <w:vAlign w:val="center"/>
                </w:tcPr>
                <w:p w14:paraId="49AD3872">
                  <w:pPr>
                    <w:shd w:val="clear"/>
                    <w:bidi w:val="0"/>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项目</w:t>
                  </w:r>
                  <w:r>
                    <w:rPr>
                      <w:rFonts w:hint="default" w:ascii="Times New Roman" w:hAnsi="Times New Roman" w:eastAsia="宋体" w:cs="Times New Roman"/>
                      <w:color w:val="auto"/>
                      <w:highlight w:val="none"/>
                      <w:lang w:val="en-US" w:eastAsia="zh-CN"/>
                    </w:rPr>
                    <w:t>有机废气经密闭车间+通风柜收集后汇入到1套</w:t>
                  </w:r>
                  <w:r>
                    <w:rPr>
                      <w:rFonts w:hint="eastAsia" w:cs="Times New Roman"/>
                      <w:color w:val="auto"/>
                      <w:highlight w:val="none"/>
                      <w:lang w:val="en-US" w:eastAsia="zh-CN"/>
                    </w:rPr>
                    <w:t>单级</w:t>
                  </w:r>
                  <w:r>
                    <w:rPr>
                      <w:rFonts w:hint="default" w:ascii="Times New Roman" w:hAnsi="Times New Roman" w:eastAsia="宋体" w:cs="Times New Roman"/>
                      <w:color w:val="auto"/>
                      <w:highlight w:val="none"/>
                      <w:lang w:val="en-US" w:eastAsia="zh-CN"/>
                    </w:rPr>
                    <w:t>活性炭吸附装置进行处理后经</w:t>
                  </w:r>
                  <w:r>
                    <w:rPr>
                      <w:rFonts w:hint="eastAsia" w:cs="Times New Roman"/>
                      <w:color w:val="auto"/>
                      <w:highlight w:val="none"/>
                      <w:lang w:val="en-US" w:eastAsia="zh-CN"/>
                    </w:rPr>
                    <w:t>G2</w:t>
                  </w:r>
                  <w:r>
                    <w:rPr>
                      <w:rFonts w:hint="default" w:ascii="Times New Roman" w:hAnsi="Times New Roman" w:eastAsia="宋体" w:cs="Times New Roman"/>
                      <w:color w:val="auto"/>
                      <w:highlight w:val="none"/>
                      <w:lang w:val="en-US" w:eastAsia="zh-CN"/>
                    </w:rPr>
                    <w:t>排气筒</w:t>
                  </w:r>
                  <w:r>
                    <w:rPr>
                      <w:rFonts w:hint="eastAsia" w:cs="Times New Roman"/>
                      <w:color w:val="auto"/>
                      <w:highlight w:val="none"/>
                      <w:lang w:val="en-US" w:eastAsia="zh-CN"/>
                    </w:rPr>
                    <w:t>排放</w:t>
                  </w:r>
                  <w:r>
                    <w:rPr>
                      <w:rFonts w:hint="default" w:ascii="Times New Roman" w:hAnsi="Times New Roman" w:eastAsia="宋体" w:cs="Times New Roman"/>
                      <w:color w:val="auto"/>
                      <w:highlight w:val="none"/>
                    </w:rPr>
                    <w:t>，</w:t>
                  </w:r>
                  <w:r>
                    <w:rPr>
                      <w:rFonts w:hint="eastAsia" w:ascii="Times New Roman" w:hAnsi="Times New Roman" w:cs="Times New Roman"/>
                      <w:color w:val="auto"/>
                      <w:highlight w:val="none"/>
                      <w:lang w:val="en-US" w:eastAsia="zh-CN"/>
                    </w:rPr>
                    <w:t>收集效率取值90%，</w:t>
                  </w:r>
                  <w:r>
                    <w:rPr>
                      <w:rFonts w:hint="default" w:ascii="Times New Roman" w:hAnsi="Times New Roman" w:eastAsia="宋体" w:cs="Times New Roman"/>
                      <w:color w:val="auto"/>
                      <w:highlight w:val="none"/>
                    </w:rPr>
                    <w:t>由于本项目的VOCs的产生浓度不高，因此处理效率以</w:t>
                  </w:r>
                  <w:r>
                    <w:rPr>
                      <w:rFonts w:hint="eastAsia" w:cs="Times New Roman"/>
                      <w:color w:val="auto"/>
                      <w:highlight w:val="none"/>
                      <w:lang w:val="en-US" w:eastAsia="zh-CN"/>
                    </w:rPr>
                    <w:t>60</w:t>
                  </w:r>
                  <w:r>
                    <w:rPr>
                      <w:rFonts w:hint="default" w:ascii="Times New Roman" w:hAnsi="Times New Roman" w:eastAsia="宋体" w:cs="Times New Roman"/>
                      <w:color w:val="auto"/>
                      <w:highlight w:val="none"/>
                    </w:rPr>
                    <w:t>%计算。</w:t>
                  </w:r>
                </w:p>
              </w:tc>
              <w:tc>
                <w:tcPr>
                  <w:tcW w:w="396" w:type="pct"/>
                  <w:vMerge w:val="continue"/>
                  <w:tcBorders>
                    <w:bottom w:val="single" w:color="auto" w:sz="4" w:space="0"/>
                  </w:tcBorders>
                  <w:noWrap w:val="0"/>
                  <w:vAlign w:val="center"/>
                </w:tcPr>
                <w:p w14:paraId="324A1885">
                  <w:pPr>
                    <w:shd w:val="clear"/>
                    <w:bidi w:val="0"/>
                    <w:spacing w:line="240" w:lineRule="auto"/>
                    <w:rPr>
                      <w:rFonts w:hint="default" w:ascii="Times New Roman" w:hAnsi="Times New Roman" w:eastAsia="宋体" w:cs="Times New Roman"/>
                      <w:color w:val="auto"/>
                      <w:highlight w:val="none"/>
                      <w:lang w:val="en-US" w:eastAsia="zh-CN"/>
                    </w:rPr>
                  </w:pPr>
                </w:p>
              </w:tc>
            </w:tr>
            <w:tr w14:paraId="400406C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641" w:hRule="atLeast"/>
              </w:trPr>
              <w:tc>
                <w:tcPr>
                  <w:tcW w:w="266" w:type="pct"/>
                  <w:vMerge w:val="continue"/>
                  <w:noWrap w:val="0"/>
                  <w:vAlign w:val="center"/>
                </w:tcPr>
                <w:p w14:paraId="6CD5AE5B">
                  <w:pPr>
                    <w:shd w:val="clear"/>
                    <w:bidi w:val="0"/>
                    <w:spacing w:line="240" w:lineRule="auto"/>
                    <w:rPr>
                      <w:rFonts w:hint="default" w:ascii="Times New Roman" w:hAnsi="Times New Roman" w:eastAsia="宋体" w:cs="Times New Roman"/>
                      <w:color w:val="auto"/>
                      <w:highlight w:val="none"/>
                      <w:lang w:val="en-US" w:eastAsia="zh-CN"/>
                    </w:rPr>
                  </w:pPr>
                </w:p>
              </w:tc>
              <w:tc>
                <w:tcPr>
                  <w:tcW w:w="854" w:type="pct"/>
                  <w:vMerge w:val="continue"/>
                  <w:noWrap w:val="0"/>
                  <w:vAlign w:val="center"/>
                </w:tcPr>
                <w:p w14:paraId="56F94348">
                  <w:pPr>
                    <w:shd w:val="clear"/>
                    <w:bidi w:val="0"/>
                    <w:spacing w:line="240" w:lineRule="auto"/>
                    <w:rPr>
                      <w:rFonts w:hint="default" w:ascii="Times New Roman" w:hAnsi="Times New Roman" w:eastAsia="宋体" w:cs="Times New Roman"/>
                      <w:color w:val="auto"/>
                      <w:highlight w:val="none"/>
                    </w:rPr>
                  </w:pPr>
                </w:p>
              </w:tc>
              <w:tc>
                <w:tcPr>
                  <w:tcW w:w="2090" w:type="pct"/>
                  <w:noWrap w:val="0"/>
                  <w:vAlign w:val="center"/>
                </w:tcPr>
                <w:p w14:paraId="31EACF78">
                  <w:pPr>
                    <w:shd w:val="clear"/>
                    <w:bidi w:val="0"/>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第十三条</w:t>
                  </w:r>
                  <w:r>
                    <w:rPr>
                      <w:rFonts w:hint="default" w:ascii="Times New Roman" w:hAnsi="Times New Roman" w:eastAsia="宋体" w:cs="Times New Roman"/>
                      <w:color w:val="auto"/>
                      <w:highlight w:val="none"/>
                    </w:rPr>
                    <w:t>涉VOCs产排企业应建设适宜、合理、高效的治污设施，VOCs废气总净化效率不应低于90%。由于技术可行性等因素，确实达不到90%的，需在环评报告中充分论述并确定处理效率要求。</w:t>
                  </w:r>
                </w:p>
              </w:tc>
              <w:tc>
                <w:tcPr>
                  <w:tcW w:w="1391" w:type="pct"/>
                  <w:vMerge w:val="continue"/>
                  <w:noWrap w:val="0"/>
                  <w:vAlign w:val="center"/>
                </w:tcPr>
                <w:p w14:paraId="3D29806D">
                  <w:pPr>
                    <w:shd w:val="clear"/>
                    <w:bidi w:val="0"/>
                    <w:spacing w:line="240" w:lineRule="auto"/>
                    <w:rPr>
                      <w:rFonts w:hint="default" w:ascii="Times New Roman" w:hAnsi="Times New Roman" w:eastAsia="宋体" w:cs="Times New Roman"/>
                      <w:color w:val="auto"/>
                      <w:highlight w:val="none"/>
                    </w:rPr>
                  </w:pPr>
                </w:p>
              </w:tc>
              <w:tc>
                <w:tcPr>
                  <w:tcW w:w="396" w:type="pct"/>
                  <w:vMerge w:val="continue"/>
                  <w:tcBorders>
                    <w:bottom w:val="single" w:color="auto" w:sz="4" w:space="0"/>
                  </w:tcBorders>
                  <w:noWrap w:val="0"/>
                  <w:vAlign w:val="center"/>
                </w:tcPr>
                <w:p w14:paraId="2F130B51">
                  <w:pPr>
                    <w:shd w:val="clear"/>
                    <w:bidi w:val="0"/>
                    <w:spacing w:line="240" w:lineRule="auto"/>
                    <w:rPr>
                      <w:rFonts w:hint="default" w:ascii="Times New Roman" w:hAnsi="Times New Roman" w:eastAsia="宋体" w:cs="Times New Roman"/>
                      <w:color w:val="auto"/>
                      <w:highlight w:val="none"/>
                      <w:lang w:val="en-US" w:eastAsia="zh-CN"/>
                    </w:rPr>
                  </w:pPr>
                </w:p>
              </w:tc>
            </w:tr>
            <w:tr w14:paraId="4DD454D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66" w:type="pct"/>
                  <w:vMerge w:val="restart"/>
                  <w:noWrap w:val="0"/>
                  <w:vAlign w:val="center"/>
                </w:tcPr>
                <w:p w14:paraId="6299151D">
                  <w:pPr>
                    <w:shd w:val="clear"/>
                    <w:bidi w:val="0"/>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w:t>
                  </w:r>
                </w:p>
              </w:tc>
              <w:tc>
                <w:tcPr>
                  <w:tcW w:w="854" w:type="pct"/>
                  <w:vMerge w:val="restart"/>
                  <w:noWrap w:val="0"/>
                  <w:vAlign w:val="center"/>
                </w:tcPr>
                <w:p w14:paraId="252F34CC">
                  <w:pPr>
                    <w:shd w:val="clear"/>
                    <w:bidi w:val="0"/>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广东省地方标准《固定污染源挥发性有机物综合排放标准》（DB44/2367—2022）</w:t>
                  </w:r>
                </w:p>
              </w:tc>
              <w:tc>
                <w:tcPr>
                  <w:tcW w:w="2090" w:type="pct"/>
                  <w:noWrap w:val="0"/>
                  <w:vAlign w:val="center"/>
                </w:tcPr>
                <w:p w14:paraId="56CF63E7">
                  <w:pPr>
                    <w:shd w:val="clear"/>
                    <w:bidi w:val="0"/>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VOCs物料应储存于密闭的容器、包装袋、储罐、储库、料仓中。盛装VOCs物料的容器或包装袋应存放于室内，或存于设置有雨棚、遮阳和防渗设施的专用场地。盛装VOCs物料的容器或包装袋在非取用状态时应加盖、封口，保持密闭。</w:t>
                  </w:r>
                </w:p>
              </w:tc>
              <w:tc>
                <w:tcPr>
                  <w:tcW w:w="1391" w:type="pct"/>
                  <w:tcBorders>
                    <w:right w:val="single" w:color="auto" w:sz="4" w:space="0"/>
                  </w:tcBorders>
                  <w:noWrap w:val="0"/>
                  <w:vAlign w:val="center"/>
                </w:tcPr>
                <w:p w14:paraId="3A46689C">
                  <w:pPr>
                    <w:pStyle w:val="63"/>
                    <w:spacing w:line="240" w:lineRule="auto"/>
                    <w:jc w:val="center"/>
                    <w:rPr>
                      <w:rFonts w:hint="default" w:ascii="Times New Roman" w:hAnsi="Times New Roman" w:eastAsia="宋体" w:cs="Times New Roman"/>
                      <w:color w:val="auto"/>
                      <w:highlight w:val="none"/>
                    </w:rPr>
                  </w:pPr>
                  <w:r>
                    <w:rPr>
                      <w:rFonts w:hint="default" w:ascii="Times New Roman" w:hAnsi="Times New Roman" w:cs="Times New Roman"/>
                      <w:color w:val="auto"/>
                      <w:szCs w:val="21"/>
                      <w:highlight w:val="none"/>
                    </w:rPr>
                    <w:t>项目所使用的液体物料均采用密闭容器储存，固体物料均采用密闭容器储存，</w:t>
                  </w:r>
                  <w:r>
                    <w:rPr>
                      <w:rFonts w:hint="default" w:ascii="Times New Roman" w:hAnsi="Times New Roman" w:cs="Times New Roman"/>
                      <w:color w:val="auto"/>
                      <w:szCs w:val="21"/>
                      <w:highlight w:val="none"/>
                      <w:lang w:val="en-US"/>
                    </w:rPr>
                    <w:t>危险废物</w:t>
                  </w:r>
                  <w:r>
                    <w:rPr>
                      <w:rFonts w:hint="default" w:ascii="Times New Roman" w:hAnsi="Times New Roman" w:cs="Times New Roman"/>
                      <w:color w:val="auto"/>
                      <w:szCs w:val="21"/>
                      <w:highlight w:val="none"/>
                    </w:rPr>
                    <w:t>均采用密闭容器储存，</w:t>
                  </w:r>
                  <w:r>
                    <w:rPr>
                      <w:rFonts w:hint="default" w:ascii="Times New Roman" w:hAnsi="Times New Roman" w:eastAsia="宋体" w:cs="Times New Roman"/>
                      <w:color w:val="auto"/>
                      <w:highlight w:val="none"/>
                    </w:rPr>
                    <w:t>存放在设置有</w:t>
                  </w:r>
                  <w:r>
                    <w:rPr>
                      <w:rFonts w:hint="default" w:ascii="Times New Roman" w:hAnsi="Times New Roman" w:eastAsia="宋体" w:cs="Times New Roman"/>
                      <w:color w:val="auto"/>
                      <w:highlight w:val="none"/>
                      <w:lang w:val="en-US" w:eastAsia="zh-CN"/>
                    </w:rPr>
                    <w:t>防风防雨、</w:t>
                  </w:r>
                  <w:r>
                    <w:rPr>
                      <w:rFonts w:hint="default" w:ascii="Times New Roman" w:hAnsi="Times New Roman" w:eastAsia="宋体" w:cs="Times New Roman"/>
                      <w:color w:val="auto"/>
                      <w:highlight w:val="none"/>
                    </w:rPr>
                    <w:t>遮阳和防渗设施的专用场地。</w:t>
                  </w:r>
                </w:p>
              </w:tc>
              <w:tc>
                <w:tcPr>
                  <w:tcW w:w="396" w:type="pct"/>
                  <w:vMerge w:val="restart"/>
                  <w:tcBorders>
                    <w:top w:val="single" w:color="auto" w:sz="4" w:space="0"/>
                    <w:left w:val="single" w:color="auto" w:sz="4" w:space="0"/>
                    <w:right w:val="single" w:color="auto" w:sz="4" w:space="0"/>
                  </w:tcBorders>
                  <w:noWrap w:val="0"/>
                  <w:vAlign w:val="center"/>
                </w:tcPr>
                <w:p w14:paraId="5BA854BE">
                  <w:pPr>
                    <w:shd w:val="clear"/>
                    <w:bidi w:val="0"/>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符合</w:t>
                  </w:r>
                </w:p>
              </w:tc>
            </w:tr>
            <w:tr w14:paraId="6050383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66" w:type="pct"/>
                  <w:vMerge w:val="continue"/>
                  <w:noWrap w:val="0"/>
                  <w:vAlign w:val="center"/>
                </w:tcPr>
                <w:p w14:paraId="30D77B42">
                  <w:pPr>
                    <w:shd w:val="clear"/>
                    <w:bidi w:val="0"/>
                    <w:spacing w:line="240" w:lineRule="auto"/>
                    <w:rPr>
                      <w:rFonts w:hint="default" w:ascii="Times New Roman" w:hAnsi="Times New Roman" w:eastAsia="宋体" w:cs="Times New Roman"/>
                      <w:color w:val="auto"/>
                      <w:highlight w:val="none"/>
                      <w:lang w:val="en-US" w:eastAsia="zh-CN"/>
                    </w:rPr>
                  </w:pPr>
                </w:p>
              </w:tc>
              <w:tc>
                <w:tcPr>
                  <w:tcW w:w="854" w:type="pct"/>
                  <w:vMerge w:val="continue"/>
                  <w:noWrap w:val="0"/>
                  <w:vAlign w:val="center"/>
                </w:tcPr>
                <w:p w14:paraId="0936F180">
                  <w:pPr>
                    <w:shd w:val="clear"/>
                    <w:bidi w:val="0"/>
                    <w:spacing w:line="240" w:lineRule="auto"/>
                    <w:rPr>
                      <w:rFonts w:hint="default" w:ascii="Times New Roman" w:hAnsi="Times New Roman" w:eastAsia="宋体" w:cs="Times New Roman"/>
                      <w:color w:val="auto"/>
                      <w:highlight w:val="none"/>
                    </w:rPr>
                  </w:pPr>
                </w:p>
              </w:tc>
              <w:tc>
                <w:tcPr>
                  <w:tcW w:w="3502" w:type="dxa"/>
                  <w:noWrap w:val="0"/>
                  <w:vAlign w:val="center"/>
                </w:tcPr>
                <w:p w14:paraId="293EA597">
                  <w:pPr>
                    <w:pStyle w:val="63"/>
                    <w:spacing w:line="240" w:lineRule="auto"/>
                    <w:jc w:val="left"/>
                    <w:rPr>
                      <w:rFonts w:hint="default" w:ascii="Times New Roman" w:hAnsi="Times New Roman" w:eastAsia="宋体" w:cs="Times New Roman"/>
                      <w:color w:val="auto"/>
                      <w:highlight w:val="none"/>
                    </w:rPr>
                  </w:pPr>
                  <w:r>
                    <w:rPr>
                      <w:rFonts w:hint="default" w:ascii="Times New Roman" w:hAnsi="Times New Roman" w:eastAsia="宋体" w:cs="Times New Roman"/>
                      <w:color w:val="auto"/>
                      <w:szCs w:val="21"/>
                      <w:highlight w:val="none"/>
                    </w:rPr>
                    <w:t>VOCs物料转移和输送无组织排放控制要求：①液态VOCs物料应采用密闭管道输送。采用非管道输送方式转移液态VOCs物料时应采用密闭容器、罐车。②粉状、</w:t>
                  </w:r>
                  <w:r>
                    <w:rPr>
                      <w:rFonts w:hint="default" w:ascii="Times New Roman" w:hAnsi="Times New Roman" w:eastAsia="宋体" w:cs="Times New Roman"/>
                      <w:color w:val="auto"/>
                      <w:szCs w:val="21"/>
                      <w:highlight w:val="none"/>
                      <w:lang w:eastAsia="zh-CN"/>
                    </w:rPr>
                    <w:t>粒状</w:t>
                  </w:r>
                  <w:r>
                    <w:rPr>
                      <w:rFonts w:hint="default" w:ascii="Times New Roman" w:hAnsi="Times New Roman" w:eastAsia="宋体" w:cs="Times New Roman"/>
                      <w:color w:val="auto"/>
                      <w:szCs w:val="21"/>
                      <w:highlight w:val="none"/>
                    </w:rPr>
                    <w:t>VOCs物料应采用气力输送设备、管状带式输送机、螺旋输送机等密闭输送方式，或者采用密闭的包装袋、容器或罐车进行物料转移。</w:t>
                  </w:r>
                </w:p>
              </w:tc>
              <w:tc>
                <w:tcPr>
                  <w:tcW w:w="2331" w:type="dxa"/>
                  <w:tcBorders>
                    <w:right w:val="single" w:color="auto" w:sz="4" w:space="0"/>
                  </w:tcBorders>
                  <w:noWrap w:val="0"/>
                  <w:vAlign w:val="center"/>
                </w:tcPr>
                <w:p w14:paraId="580C95EA">
                  <w:pPr>
                    <w:pStyle w:val="63"/>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szCs w:val="21"/>
                      <w:highlight w:val="none"/>
                    </w:rPr>
                    <w:t>项目所使用的液体VOCs物料均采用密闭容器进行物料转移，粒状、粉状VOCs物料采用密闭的包装袋、容器进行物料转移，</w:t>
                  </w:r>
                  <w:r>
                    <w:rPr>
                      <w:rFonts w:hint="default" w:ascii="Times New Roman" w:hAnsi="Times New Roman" w:eastAsia="宋体" w:cs="Times New Roman"/>
                      <w:color w:val="auto"/>
                      <w:szCs w:val="21"/>
                      <w:highlight w:val="none"/>
                      <w:lang w:val="en-US"/>
                    </w:rPr>
                    <w:t>危险废物</w:t>
                  </w:r>
                  <w:r>
                    <w:rPr>
                      <w:rFonts w:hint="default" w:ascii="Times New Roman" w:hAnsi="Times New Roman" w:eastAsia="宋体" w:cs="Times New Roman"/>
                      <w:color w:val="auto"/>
                      <w:szCs w:val="21"/>
                      <w:highlight w:val="none"/>
                    </w:rPr>
                    <w:t>均采用密闭容器进行物料转移</w:t>
                  </w:r>
                  <w:r>
                    <w:rPr>
                      <w:rFonts w:hint="default" w:ascii="Times New Roman" w:hAnsi="Times New Roman" w:eastAsia="宋体" w:cs="Times New Roman"/>
                      <w:color w:val="auto"/>
                      <w:szCs w:val="21"/>
                      <w:highlight w:val="none"/>
                      <w:lang w:eastAsia="zh-CN"/>
                    </w:rPr>
                    <w:t>。</w:t>
                  </w:r>
                </w:p>
              </w:tc>
              <w:tc>
                <w:tcPr>
                  <w:tcW w:w="396" w:type="pct"/>
                  <w:vMerge w:val="continue"/>
                  <w:tcBorders>
                    <w:left w:val="single" w:color="auto" w:sz="4" w:space="0"/>
                    <w:right w:val="single" w:color="auto" w:sz="4" w:space="0"/>
                  </w:tcBorders>
                  <w:noWrap w:val="0"/>
                  <w:vAlign w:val="center"/>
                </w:tcPr>
                <w:p w14:paraId="315CE2D6">
                  <w:pPr>
                    <w:shd w:val="clear"/>
                    <w:bidi w:val="0"/>
                    <w:spacing w:line="240" w:lineRule="auto"/>
                    <w:rPr>
                      <w:rFonts w:hint="default" w:ascii="Times New Roman" w:hAnsi="Times New Roman" w:eastAsia="宋体" w:cs="Times New Roman"/>
                      <w:color w:val="auto"/>
                      <w:highlight w:val="none"/>
                      <w:lang w:val="en-US" w:eastAsia="zh-CN"/>
                    </w:rPr>
                  </w:pPr>
                </w:p>
              </w:tc>
            </w:tr>
            <w:tr w14:paraId="7403C1A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66" w:type="pct"/>
                  <w:vMerge w:val="continue"/>
                  <w:noWrap w:val="0"/>
                  <w:vAlign w:val="center"/>
                </w:tcPr>
                <w:p w14:paraId="02E6755F">
                  <w:pPr>
                    <w:shd w:val="clear"/>
                    <w:bidi w:val="0"/>
                    <w:spacing w:line="240" w:lineRule="auto"/>
                    <w:rPr>
                      <w:rFonts w:hint="default" w:ascii="Times New Roman" w:hAnsi="Times New Roman" w:eastAsia="宋体" w:cs="Times New Roman"/>
                      <w:color w:val="auto"/>
                      <w:highlight w:val="none"/>
                      <w:lang w:val="en-US" w:eastAsia="zh-CN"/>
                    </w:rPr>
                  </w:pPr>
                </w:p>
              </w:tc>
              <w:tc>
                <w:tcPr>
                  <w:tcW w:w="854" w:type="pct"/>
                  <w:vMerge w:val="continue"/>
                  <w:noWrap w:val="0"/>
                  <w:vAlign w:val="center"/>
                </w:tcPr>
                <w:p w14:paraId="039BC7DF">
                  <w:pPr>
                    <w:shd w:val="clear"/>
                    <w:bidi w:val="0"/>
                    <w:spacing w:line="240" w:lineRule="auto"/>
                    <w:rPr>
                      <w:rFonts w:hint="default" w:ascii="Times New Roman" w:hAnsi="Times New Roman" w:eastAsia="宋体" w:cs="Times New Roman"/>
                      <w:color w:val="auto"/>
                      <w:highlight w:val="none"/>
                    </w:rPr>
                  </w:pPr>
                </w:p>
              </w:tc>
              <w:tc>
                <w:tcPr>
                  <w:tcW w:w="2090" w:type="pct"/>
                  <w:noWrap w:val="0"/>
                  <w:vAlign w:val="center"/>
                </w:tcPr>
                <w:p w14:paraId="4F871F73">
                  <w:pPr>
                    <w:shd w:val="clear"/>
                    <w:bidi w:val="0"/>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废气收集系统的输送管道应当密闭。废气收集系统应当在负压下运行，若处于正压状态，应当对输送管道组件的密封点进行泄漏检测，泄漏检测值不应当超过500μmol/mol，亦不应当有感官可察觉排放。泄漏检测频次、修复与记录的要求按5.5规定执行。</w:t>
                  </w:r>
                </w:p>
              </w:tc>
              <w:tc>
                <w:tcPr>
                  <w:tcW w:w="1391" w:type="pct"/>
                  <w:tcBorders>
                    <w:right w:val="single" w:color="auto" w:sz="4" w:space="0"/>
                  </w:tcBorders>
                  <w:noWrap w:val="0"/>
                  <w:vAlign w:val="center"/>
                </w:tcPr>
                <w:p w14:paraId="2AE6E0D6">
                  <w:pPr>
                    <w:shd w:val="clear"/>
                    <w:bidi w:val="0"/>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建设单位定期安排检查输送管道泄漏情况，如发生泄漏现象，将按照要求进行修复与记录</w:t>
                  </w:r>
                  <w:r>
                    <w:rPr>
                      <w:rFonts w:hint="default" w:ascii="Times New Roman" w:hAnsi="Times New Roman" w:eastAsia="宋体" w:cs="Times New Roman"/>
                      <w:color w:val="auto"/>
                      <w:highlight w:val="none"/>
                      <w:lang w:eastAsia="zh-CN"/>
                    </w:rPr>
                    <w:t>。</w:t>
                  </w:r>
                </w:p>
              </w:tc>
              <w:tc>
                <w:tcPr>
                  <w:tcW w:w="396" w:type="pct"/>
                  <w:vMerge w:val="continue"/>
                  <w:tcBorders>
                    <w:left w:val="single" w:color="auto" w:sz="4" w:space="0"/>
                    <w:right w:val="single" w:color="auto" w:sz="4" w:space="0"/>
                  </w:tcBorders>
                  <w:noWrap w:val="0"/>
                  <w:vAlign w:val="center"/>
                </w:tcPr>
                <w:p w14:paraId="1ABFA247">
                  <w:pPr>
                    <w:shd w:val="clear"/>
                    <w:bidi w:val="0"/>
                    <w:spacing w:line="240" w:lineRule="auto"/>
                    <w:rPr>
                      <w:rFonts w:hint="default" w:ascii="Times New Roman" w:hAnsi="Times New Roman" w:eastAsia="宋体" w:cs="Times New Roman"/>
                      <w:color w:val="auto"/>
                      <w:highlight w:val="none"/>
                      <w:lang w:val="en-US" w:eastAsia="zh-CN"/>
                    </w:rPr>
                  </w:pPr>
                </w:p>
              </w:tc>
            </w:tr>
            <w:tr w14:paraId="14B79C4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317" w:hRule="atLeast"/>
              </w:trPr>
              <w:tc>
                <w:tcPr>
                  <w:tcW w:w="266" w:type="pct"/>
                  <w:vMerge w:val="continue"/>
                  <w:noWrap w:val="0"/>
                  <w:vAlign w:val="center"/>
                </w:tcPr>
                <w:p w14:paraId="307D7220">
                  <w:pPr>
                    <w:shd w:val="clear"/>
                    <w:bidi w:val="0"/>
                    <w:spacing w:line="240" w:lineRule="auto"/>
                    <w:rPr>
                      <w:rFonts w:hint="default" w:ascii="Times New Roman" w:hAnsi="Times New Roman" w:eastAsia="宋体" w:cs="Times New Roman"/>
                      <w:color w:val="auto"/>
                      <w:highlight w:val="none"/>
                      <w:lang w:val="en-US" w:eastAsia="zh-CN"/>
                    </w:rPr>
                  </w:pPr>
                </w:p>
              </w:tc>
              <w:tc>
                <w:tcPr>
                  <w:tcW w:w="854" w:type="pct"/>
                  <w:vMerge w:val="continue"/>
                  <w:noWrap w:val="0"/>
                  <w:vAlign w:val="center"/>
                </w:tcPr>
                <w:p w14:paraId="2AD397E6">
                  <w:pPr>
                    <w:shd w:val="clear"/>
                    <w:bidi w:val="0"/>
                    <w:spacing w:line="240" w:lineRule="auto"/>
                    <w:rPr>
                      <w:rFonts w:hint="default" w:ascii="Times New Roman" w:hAnsi="Times New Roman" w:eastAsia="宋体" w:cs="Times New Roman"/>
                      <w:color w:val="auto"/>
                      <w:highlight w:val="none"/>
                    </w:rPr>
                  </w:pPr>
                </w:p>
              </w:tc>
              <w:tc>
                <w:tcPr>
                  <w:tcW w:w="2090" w:type="pct"/>
                  <w:noWrap w:val="0"/>
                  <w:vAlign w:val="center"/>
                </w:tcPr>
                <w:p w14:paraId="513B89A5">
                  <w:pPr>
                    <w:shd w:val="clear"/>
                    <w:bidi w:val="0"/>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企业边界及周边VOCs监控要求执行GB16297或相关行业排放标准的规定。</w:t>
                  </w:r>
                </w:p>
              </w:tc>
              <w:tc>
                <w:tcPr>
                  <w:tcW w:w="1391" w:type="pct"/>
                  <w:vMerge w:val="restart"/>
                  <w:tcBorders>
                    <w:right w:val="single" w:color="auto" w:sz="4" w:space="0"/>
                  </w:tcBorders>
                  <w:noWrap w:val="0"/>
                  <w:vAlign w:val="center"/>
                </w:tcPr>
                <w:p w14:paraId="761B03F3">
                  <w:pPr>
                    <w:keepNext w:val="0"/>
                    <w:keepLines w:val="0"/>
                    <w:pageBreakBefore w:val="0"/>
                    <w:widowControl/>
                    <w:suppressLineNumbers w:val="0"/>
                    <w:kinsoku/>
                    <w:wordWrap w:val="0"/>
                    <w:overflowPunct/>
                    <w:topLinePunct w:val="0"/>
                    <w:autoSpaceDE/>
                    <w:autoSpaceDN/>
                    <w:bidi w:val="0"/>
                    <w:adjustRightInd/>
                    <w:snapToGrid/>
                    <w:jc w:val="left"/>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企业设置环境监测计划，项目建设完成后根据</w:t>
                  </w:r>
                  <w:r>
                    <w:rPr>
                      <w:rFonts w:hint="eastAsia" w:ascii="宋体" w:hAnsi="宋体" w:eastAsia="宋体" w:cs="宋体"/>
                      <w:color w:val="auto"/>
                      <w:kern w:val="0"/>
                      <w:sz w:val="21"/>
                      <w:szCs w:val="21"/>
                      <w:highlight w:val="none"/>
                      <w:lang w:val="en-US" w:eastAsia="zh-CN" w:bidi="ar"/>
                    </w:rPr>
                    <w:t>《排污单位自行监测技术指南总则》（</w:t>
                  </w:r>
                  <w:r>
                    <w:rPr>
                      <w:rFonts w:hint="default" w:ascii="Times New Roman" w:hAnsi="Times New Roman" w:eastAsia="宋体" w:cs="Times New Roman"/>
                      <w:color w:val="auto"/>
                      <w:kern w:val="0"/>
                      <w:sz w:val="21"/>
                      <w:szCs w:val="21"/>
                      <w:highlight w:val="none"/>
                      <w:lang w:val="en-US" w:eastAsia="zh-CN" w:bidi="ar"/>
                    </w:rPr>
                    <w:t>HJ1207-2021</w:t>
                  </w:r>
                  <w:r>
                    <w:rPr>
                      <w:rFonts w:hint="eastAsia" w:ascii="宋体" w:hAnsi="宋体" w:eastAsia="宋体" w:cs="宋体"/>
                      <w:color w:val="auto"/>
                      <w:kern w:val="0"/>
                      <w:sz w:val="21"/>
                      <w:szCs w:val="21"/>
                      <w:highlight w:val="none"/>
                      <w:lang w:val="en-US" w:eastAsia="zh-CN" w:bidi="ar"/>
                    </w:rPr>
                    <w:t>）</w:t>
                  </w:r>
                  <w:bookmarkStart w:id="22" w:name="_GoBack"/>
                  <w:bookmarkEnd w:id="22"/>
                  <w:r>
                    <w:rPr>
                      <w:rFonts w:hint="default" w:ascii="Times New Roman" w:hAnsi="Times New Roman" w:eastAsia="宋体" w:cs="Times New Roman"/>
                      <w:color w:val="auto"/>
                      <w:highlight w:val="none"/>
                      <w:lang w:val="en-US" w:eastAsia="zh-CN"/>
                    </w:rPr>
                    <w:t>中规定的监测分析方法对废气污染源进行日常例行监测，故符合要求</w:t>
                  </w:r>
                  <w:r>
                    <w:rPr>
                      <w:rFonts w:hint="default" w:ascii="Times New Roman" w:hAnsi="Times New Roman" w:eastAsia="宋体" w:cs="Times New Roman"/>
                      <w:color w:val="auto"/>
                      <w:highlight w:val="none"/>
                    </w:rPr>
                    <w:t>。</w:t>
                  </w:r>
                </w:p>
              </w:tc>
              <w:tc>
                <w:tcPr>
                  <w:tcW w:w="396" w:type="pct"/>
                  <w:vMerge w:val="continue"/>
                  <w:tcBorders>
                    <w:left w:val="single" w:color="auto" w:sz="4" w:space="0"/>
                    <w:right w:val="single" w:color="auto" w:sz="4" w:space="0"/>
                  </w:tcBorders>
                  <w:noWrap w:val="0"/>
                  <w:vAlign w:val="center"/>
                </w:tcPr>
                <w:p w14:paraId="6E542296">
                  <w:pPr>
                    <w:shd w:val="clear"/>
                    <w:bidi w:val="0"/>
                    <w:spacing w:line="240" w:lineRule="auto"/>
                    <w:rPr>
                      <w:rFonts w:hint="default" w:ascii="Times New Roman" w:hAnsi="Times New Roman" w:eastAsia="宋体" w:cs="Times New Roman"/>
                      <w:color w:val="auto"/>
                      <w:highlight w:val="none"/>
                      <w:lang w:val="en-US" w:eastAsia="zh-CN"/>
                    </w:rPr>
                  </w:pPr>
                </w:p>
              </w:tc>
            </w:tr>
            <w:tr w14:paraId="4A44AA4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79" w:hRule="atLeast"/>
              </w:trPr>
              <w:tc>
                <w:tcPr>
                  <w:tcW w:w="266" w:type="pct"/>
                  <w:vMerge w:val="continue"/>
                  <w:noWrap w:val="0"/>
                  <w:vAlign w:val="center"/>
                </w:tcPr>
                <w:p w14:paraId="0FC40B9D">
                  <w:pPr>
                    <w:shd w:val="clear"/>
                    <w:bidi w:val="0"/>
                    <w:spacing w:line="240" w:lineRule="auto"/>
                    <w:rPr>
                      <w:rFonts w:hint="default" w:ascii="Times New Roman" w:hAnsi="Times New Roman" w:eastAsia="宋体" w:cs="Times New Roman"/>
                      <w:color w:val="auto"/>
                      <w:highlight w:val="none"/>
                      <w:lang w:val="en-US" w:eastAsia="zh-CN"/>
                    </w:rPr>
                  </w:pPr>
                </w:p>
              </w:tc>
              <w:tc>
                <w:tcPr>
                  <w:tcW w:w="854" w:type="pct"/>
                  <w:vMerge w:val="continue"/>
                  <w:noWrap w:val="0"/>
                  <w:vAlign w:val="center"/>
                </w:tcPr>
                <w:p w14:paraId="0FD81A6C">
                  <w:pPr>
                    <w:shd w:val="clear"/>
                    <w:bidi w:val="0"/>
                    <w:spacing w:line="240" w:lineRule="auto"/>
                    <w:rPr>
                      <w:rFonts w:hint="default" w:ascii="Times New Roman" w:hAnsi="Times New Roman" w:eastAsia="宋体" w:cs="Times New Roman"/>
                      <w:color w:val="auto"/>
                      <w:highlight w:val="none"/>
                    </w:rPr>
                  </w:pPr>
                </w:p>
              </w:tc>
              <w:tc>
                <w:tcPr>
                  <w:tcW w:w="2090" w:type="pct"/>
                  <w:noWrap w:val="0"/>
                  <w:vAlign w:val="center"/>
                </w:tcPr>
                <w:p w14:paraId="21739FB8">
                  <w:pPr>
                    <w:shd w:val="clear"/>
                    <w:bidi w:val="0"/>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企业应按照有关法律、《环境监测管理办法》和HJ819等规定，建立企业监测制度，制订监测方案，对污染物排放状况及对周边环境质量的影响开展自行监测，保存原始监测记录，并公布监测结果。</w:t>
                  </w:r>
                </w:p>
              </w:tc>
              <w:tc>
                <w:tcPr>
                  <w:tcW w:w="1391" w:type="pct"/>
                  <w:vMerge w:val="continue"/>
                  <w:tcBorders>
                    <w:right w:val="single" w:color="auto" w:sz="4" w:space="0"/>
                  </w:tcBorders>
                  <w:noWrap w:val="0"/>
                  <w:vAlign w:val="center"/>
                </w:tcPr>
                <w:p w14:paraId="2D857B86">
                  <w:pPr>
                    <w:shd w:val="clear"/>
                    <w:bidi w:val="0"/>
                    <w:spacing w:line="240" w:lineRule="auto"/>
                    <w:rPr>
                      <w:rFonts w:hint="default" w:ascii="Times New Roman" w:hAnsi="Times New Roman" w:eastAsia="宋体" w:cs="Times New Roman"/>
                      <w:color w:val="auto"/>
                      <w:highlight w:val="none"/>
                    </w:rPr>
                  </w:pPr>
                </w:p>
              </w:tc>
              <w:tc>
                <w:tcPr>
                  <w:tcW w:w="396" w:type="pct"/>
                  <w:vMerge w:val="continue"/>
                  <w:tcBorders>
                    <w:left w:val="single" w:color="auto" w:sz="4" w:space="0"/>
                    <w:bottom w:val="single" w:color="auto" w:sz="4" w:space="0"/>
                    <w:right w:val="single" w:color="auto" w:sz="4" w:space="0"/>
                  </w:tcBorders>
                  <w:noWrap w:val="0"/>
                  <w:vAlign w:val="center"/>
                </w:tcPr>
                <w:p w14:paraId="168CDB60">
                  <w:pPr>
                    <w:shd w:val="clear"/>
                    <w:bidi w:val="0"/>
                    <w:spacing w:line="240" w:lineRule="auto"/>
                    <w:rPr>
                      <w:rFonts w:hint="default" w:ascii="Times New Roman" w:hAnsi="Times New Roman" w:eastAsia="宋体" w:cs="Times New Roman"/>
                      <w:color w:val="auto"/>
                      <w:highlight w:val="none"/>
                      <w:lang w:val="en-US" w:eastAsia="zh-CN"/>
                    </w:rPr>
                  </w:pPr>
                </w:p>
              </w:tc>
            </w:tr>
            <w:tr w14:paraId="06E6ADE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5" w:hRule="atLeast"/>
              </w:trPr>
              <w:tc>
                <w:tcPr>
                  <w:tcW w:w="266" w:type="pct"/>
                  <w:vMerge w:val="restart"/>
                  <w:noWrap w:val="0"/>
                  <w:vAlign w:val="center"/>
                </w:tcPr>
                <w:p w14:paraId="680C8348">
                  <w:pPr>
                    <w:shd w:val="clear"/>
                    <w:bidi w:val="0"/>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6</w:t>
                  </w:r>
                </w:p>
              </w:tc>
              <w:tc>
                <w:tcPr>
                  <w:tcW w:w="854" w:type="pct"/>
                  <w:vMerge w:val="restart"/>
                  <w:noWrap w:val="0"/>
                  <w:vAlign w:val="center"/>
                </w:tcPr>
                <w:p w14:paraId="41215137">
                  <w:pPr>
                    <w:keepNext w:val="0"/>
                    <w:keepLines w:val="0"/>
                    <w:pageBreakBefore w:val="0"/>
                    <w:widowControl/>
                    <w:suppressLineNumbers w:val="0"/>
                    <w:kinsoku/>
                    <w:wordWrap w:val="0"/>
                    <w:overflowPunct/>
                    <w:topLinePunct w:val="0"/>
                    <w:autoSpaceDE w:val="0"/>
                    <w:autoSpaceDN w:val="0"/>
                    <w:bidi w:val="0"/>
                    <w:adjustRightInd w:val="0"/>
                    <w:snapToGrid w:val="0"/>
                    <w:spacing w:line="240" w:lineRule="auto"/>
                    <w:jc w:val="left"/>
                    <w:textAlignment w:val="baseline"/>
                    <w:rPr>
                      <w:rFonts w:hint="default" w:ascii="Times New Roman" w:hAnsi="Times New Roman" w:eastAsia="宋体" w:cs="Times New Roman"/>
                      <w:color w:val="auto"/>
                      <w:highlight w:val="none"/>
                      <w:lang w:val="en-US"/>
                    </w:rPr>
                  </w:pPr>
                  <w:r>
                    <w:rPr>
                      <w:rFonts w:hint="default" w:ascii="Times New Roman" w:hAnsi="Times New Roman" w:eastAsia="宋体" w:cs="Times New Roman"/>
                      <w:color w:val="auto"/>
                      <w:kern w:val="0"/>
                      <w:sz w:val="21"/>
                      <w:szCs w:val="21"/>
                      <w:highlight w:val="none"/>
                      <w:lang w:val="en-US" w:eastAsia="zh-CN" w:bidi="ar"/>
                    </w:rPr>
                    <w:t>与中山市“三线一单”生态环境分区管控方案相符性分析-中山火炬高技术产业开发区重点管控单元，环境管控单元编码：ZH44200020021</w:t>
                  </w:r>
                </w:p>
              </w:tc>
              <w:tc>
                <w:tcPr>
                  <w:tcW w:w="2090" w:type="pct"/>
                  <w:noWrap w:val="0"/>
                  <w:vAlign w:val="center"/>
                </w:tcPr>
                <w:p w14:paraId="21010259">
                  <w:pPr>
                    <w:keepNext w:val="0"/>
                    <w:keepLines w:val="0"/>
                    <w:pageBreakBefore w:val="0"/>
                    <w:widowControl/>
                    <w:suppressLineNumbers w:val="0"/>
                    <w:kinsoku/>
                    <w:wordWrap w:val="0"/>
                    <w:overflowPunct/>
                    <w:topLinePunct w:val="0"/>
                    <w:autoSpaceDE w:val="0"/>
                    <w:autoSpaceDN w:val="0"/>
                    <w:bidi w:val="0"/>
                    <w:adjustRightInd w:val="0"/>
                    <w:snapToGrid w:val="0"/>
                    <w:spacing w:line="240" w:lineRule="auto"/>
                    <w:jc w:val="left"/>
                    <w:textAlignment w:val="baseline"/>
                    <w:rPr>
                      <w:rFonts w:hint="default" w:ascii="Times New Roman" w:hAnsi="Times New Roman" w:eastAsia="宋体" w:cs="Times New Roman"/>
                      <w:color w:val="auto"/>
                      <w:highlight w:val="none"/>
                    </w:rPr>
                  </w:pPr>
                  <w:r>
                    <w:rPr>
                      <w:rFonts w:hint="default" w:ascii="Times New Roman" w:hAnsi="Times New Roman" w:eastAsia="宋体" w:cs="Times New Roman"/>
                      <w:color w:val="auto"/>
                      <w:sz w:val="21"/>
                      <w:szCs w:val="21"/>
                      <w:highlight w:val="none"/>
                    </w:rPr>
                    <w:t>1-1.【产业/鼓励引导类】集中新建区和政策区一鼓励发展健康医药、智能装备、光电信息、检验检测、数字创意等战略性新兴产业。政策区二主要引进健康医药、装备制造及机器人、新一代信息技术、现代服务业和未来产业（X）</w:t>
                  </w:r>
                </w:p>
              </w:tc>
              <w:tc>
                <w:tcPr>
                  <w:tcW w:w="1391" w:type="pct"/>
                  <w:tcBorders>
                    <w:right w:val="single" w:color="auto" w:sz="4" w:space="0"/>
                  </w:tcBorders>
                  <w:noWrap w:val="0"/>
                  <w:vAlign w:val="center"/>
                </w:tcPr>
                <w:p w14:paraId="107907BB">
                  <w:pPr>
                    <w:keepNext w:val="0"/>
                    <w:keepLines w:val="0"/>
                    <w:widowControl/>
                    <w:suppressLineNumbers w:val="0"/>
                    <w:jc w:val="left"/>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kern w:val="0"/>
                      <w:sz w:val="21"/>
                      <w:szCs w:val="21"/>
                      <w:highlight w:val="none"/>
                      <w:lang w:val="en-US" w:eastAsia="zh-CN" w:bidi="ar"/>
                    </w:rPr>
                    <w:t>项目属于M7452检测服务，主要从事环境检测技术服务，属于产业鼓励引导类。</w:t>
                  </w:r>
                </w:p>
              </w:tc>
              <w:tc>
                <w:tcPr>
                  <w:tcW w:w="396" w:type="pct"/>
                  <w:vMerge w:val="restart"/>
                  <w:tcBorders>
                    <w:top w:val="single" w:color="auto" w:sz="4" w:space="0"/>
                    <w:left w:val="single" w:color="auto" w:sz="4" w:space="0"/>
                    <w:right w:val="single" w:color="auto" w:sz="4" w:space="0"/>
                  </w:tcBorders>
                  <w:noWrap w:val="0"/>
                  <w:vAlign w:val="center"/>
                </w:tcPr>
                <w:p w14:paraId="54A6550B">
                  <w:pPr>
                    <w:shd w:val="clear"/>
                    <w:bidi w:val="0"/>
                    <w:spacing w:line="240" w:lineRule="auto"/>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highlight w:val="none"/>
                      <w:lang w:val="en-US" w:eastAsia="zh-CN"/>
                    </w:rPr>
                    <w:t>符合</w:t>
                  </w:r>
                </w:p>
              </w:tc>
            </w:tr>
            <w:tr w14:paraId="6E0E388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5" w:hRule="atLeast"/>
              </w:trPr>
              <w:tc>
                <w:tcPr>
                  <w:tcW w:w="266" w:type="pct"/>
                  <w:vMerge w:val="continue"/>
                  <w:noWrap w:val="0"/>
                  <w:vAlign w:val="center"/>
                </w:tcPr>
                <w:p w14:paraId="4E3E0C3F">
                  <w:pPr>
                    <w:keepNext w:val="0"/>
                    <w:keepLines w:val="0"/>
                    <w:widowControl/>
                    <w:suppressLineNumbers w:val="0"/>
                    <w:shd w:val="clear"/>
                    <w:spacing w:line="240" w:lineRule="auto"/>
                    <w:jc w:val="left"/>
                    <w:rPr>
                      <w:rFonts w:hint="default" w:ascii="Times New Roman" w:hAnsi="Times New Roman" w:cs="Times New Roman"/>
                      <w:color w:val="auto"/>
                      <w:highlight w:val="none"/>
                    </w:rPr>
                  </w:pPr>
                </w:p>
              </w:tc>
              <w:tc>
                <w:tcPr>
                  <w:tcW w:w="854" w:type="pct"/>
                  <w:vMerge w:val="continue"/>
                  <w:noWrap w:val="0"/>
                  <w:vAlign w:val="center"/>
                </w:tcPr>
                <w:p w14:paraId="09E3C9D2">
                  <w:pPr>
                    <w:keepNext w:val="0"/>
                    <w:keepLines w:val="0"/>
                    <w:pageBreakBefore w:val="0"/>
                    <w:widowControl/>
                    <w:suppressLineNumbers w:val="0"/>
                    <w:kinsoku/>
                    <w:wordWrap w:val="0"/>
                    <w:overflowPunct/>
                    <w:topLinePunct w:val="0"/>
                    <w:autoSpaceDE w:val="0"/>
                    <w:autoSpaceDN w:val="0"/>
                    <w:bidi w:val="0"/>
                    <w:adjustRightInd w:val="0"/>
                    <w:snapToGrid w:val="0"/>
                    <w:spacing w:line="240" w:lineRule="auto"/>
                    <w:jc w:val="left"/>
                    <w:textAlignment w:val="baseline"/>
                    <w:rPr>
                      <w:rFonts w:hint="default" w:ascii="Times New Roman" w:hAnsi="Times New Roman" w:cs="Times New Roman"/>
                      <w:color w:val="auto"/>
                      <w:highlight w:val="none"/>
                    </w:rPr>
                  </w:pPr>
                </w:p>
              </w:tc>
              <w:tc>
                <w:tcPr>
                  <w:tcW w:w="2090" w:type="pct"/>
                  <w:noWrap w:val="0"/>
                  <w:vAlign w:val="center"/>
                </w:tcPr>
                <w:p w14:paraId="70D68470">
                  <w:pPr>
                    <w:keepNext w:val="0"/>
                    <w:keepLines w:val="0"/>
                    <w:pageBreakBefore w:val="0"/>
                    <w:widowControl/>
                    <w:suppressLineNumbers w:val="0"/>
                    <w:kinsoku/>
                    <w:wordWrap w:val="0"/>
                    <w:overflowPunct/>
                    <w:topLinePunct w:val="0"/>
                    <w:autoSpaceDE w:val="0"/>
                    <w:autoSpaceDN w:val="0"/>
                    <w:bidi w:val="0"/>
                    <w:adjustRightInd w:val="0"/>
                    <w:snapToGrid w:val="0"/>
                    <w:spacing w:line="240" w:lineRule="auto"/>
                    <w:jc w:val="left"/>
                    <w:textAlignment w:val="baseline"/>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1-2.【产业/禁止类】禁止建设炼油石化、炼钢炼铁、水泥熟料、平板玻璃、焦炭、有色冶炼、化学制浆、生皮制革、陶瓷（特种陶瓷除外）、铅酸蓄电池项目。原则上不再审批新建固体废物处理处置项目。</w:t>
                  </w:r>
                </w:p>
              </w:tc>
              <w:tc>
                <w:tcPr>
                  <w:tcW w:w="1391" w:type="pct"/>
                  <w:tcBorders>
                    <w:right w:val="single" w:color="auto" w:sz="4" w:space="0"/>
                  </w:tcBorders>
                  <w:noWrap w:val="0"/>
                  <w:vAlign w:val="center"/>
                </w:tcPr>
                <w:p w14:paraId="44AB35ED">
                  <w:pPr>
                    <w:keepNext w:val="0"/>
                    <w:keepLines w:val="0"/>
                    <w:widowControl/>
                    <w:suppressLineNumbers w:val="0"/>
                    <w:jc w:val="left"/>
                    <w:rPr>
                      <w:rFonts w:hint="default" w:ascii="Times New Roman" w:hAnsi="Times New Roman" w:eastAsia="宋体" w:cs="Times New Roman"/>
                      <w:color w:val="auto"/>
                      <w:kern w:val="0"/>
                      <w:sz w:val="21"/>
                      <w:szCs w:val="21"/>
                      <w:highlight w:val="none"/>
                      <w:lang w:val="en-US" w:eastAsia="zh-CN" w:bidi="ar"/>
                    </w:rPr>
                  </w:pPr>
                  <w:r>
                    <w:rPr>
                      <w:rFonts w:hint="eastAsia" w:ascii="宋体" w:hAnsi="宋体" w:eastAsia="宋体" w:cs="宋体"/>
                      <w:color w:val="auto"/>
                      <w:kern w:val="0"/>
                      <w:sz w:val="21"/>
                      <w:szCs w:val="21"/>
                      <w:highlight w:val="none"/>
                      <w:lang w:val="en-US" w:eastAsia="zh-CN" w:bidi="ar"/>
                    </w:rPr>
                    <w:t>本项目</w:t>
                  </w:r>
                  <w:r>
                    <w:rPr>
                      <w:rFonts w:hint="default" w:ascii="Times New Roman" w:hAnsi="Times New Roman" w:eastAsia="宋体" w:cs="Times New Roman"/>
                      <w:color w:val="auto"/>
                      <w:kern w:val="0"/>
                      <w:sz w:val="21"/>
                      <w:szCs w:val="21"/>
                      <w:highlight w:val="none"/>
                      <w:lang w:val="en-US" w:eastAsia="zh-CN" w:bidi="ar"/>
                    </w:rPr>
                    <w:t>属于M7452检测服务</w:t>
                  </w:r>
                  <w:r>
                    <w:rPr>
                      <w:rFonts w:hint="eastAsia" w:ascii="Times New Roman" w:hAnsi="Times New Roman" w:eastAsia="宋体" w:cs="Times New Roman"/>
                      <w:color w:val="auto"/>
                      <w:kern w:val="0"/>
                      <w:sz w:val="21"/>
                      <w:szCs w:val="21"/>
                      <w:highlight w:val="none"/>
                      <w:lang w:val="en-US" w:eastAsia="zh-CN" w:bidi="ar"/>
                    </w:rPr>
                    <w:t>业，</w:t>
                  </w:r>
                  <w:r>
                    <w:rPr>
                      <w:rFonts w:hint="eastAsia" w:ascii="宋体" w:hAnsi="宋体" w:eastAsia="宋体" w:cs="宋体"/>
                      <w:color w:val="auto"/>
                      <w:kern w:val="0"/>
                      <w:sz w:val="21"/>
                      <w:szCs w:val="21"/>
                      <w:highlight w:val="none"/>
                      <w:lang w:val="en-US" w:eastAsia="zh-CN" w:bidi="ar"/>
                    </w:rPr>
                    <w:t>不属于产业禁止类。</w:t>
                  </w:r>
                </w:p>
              </w:tc>
              <w:tc>
                <w:tcPr>
                  <w:tcW w:w="396" w:type="pct"/>
                  <w:vMerge w:val="continue"/>
                  <w:tcBorders>
                    <w:left w:val="single" w:color="auto" w:sz="4" w:space="0"/>
                    <w:right w:val="single" w:color="auto" w:sz="4" w:space="0"/>
                  </w:tcBorders>
                  <w:noWrap w:val="0"/>
                  <w:vAlign w:val="center"/>
                </w:tcPr>
                <w:p w14:paraId="5B8A2D33">
                  <w:pPr>
                    <w:keepNext w:val="0"/>
                    <w:keepLines w:val="0"/>
                    <w:widowControl/>
                    <w:suppressLineNumbers w:val="0"/>
                    <w:shd w:val="clear"/>
                    <w:spacing w:line="240" w:lineRule="auto"/>
                    <w:jc w:val="left"/>
                    <w:rPr>
                      <w:rFonts w:hint="default" w:ascii="Times New Roman" w:hAnsi="Times New Roman" w:eastAsia="宋体" w:cs="Times New Roman"/>
                      <w:color w:val="auto"/>
                      <w:kern w:val="0"/>
                      <w:sz w:val="21"/>
                      <w:szCs w:val="21"/>
                      <w:highlight w:val="none"/>
                      <w:lang w:val="en-US" w:eastAsia="zh-CN" w:bidi="ar"/>
                    </w:rPr>
                  </w:pPr>
                </w:p>
              </w:tc>
            </w:tr>
            <w:tr w14:paraId="7C58A9D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5" w:hRule="atLeast"/>
              </w:trPr>
              <w:tc>
                <w:tcPr>
                  <w:tcW w:w="266" w:type="pct"/>
                  <w:vMerge w:val="continue"/>
                  <w:noWrap w:val="0"/>
                  <w:vAlign w:val="center"/>
                </w:tcPr>
                <w:p w14:paraId="00A22086">
                  <w:pPr>
                    <w:keepNext w:val="0"/>
                    <w:keepLines w:val="0"/>
                    <w:widowControl/>
                    <w:suppressLineNumbers w:val="0"/>
                    <w:shd w:val="clear"/>
                    <w:spacing w:line="240" w:lineRule="auto"/>
                    <w:jc w:val="left"/>
                    <w:rPr>
                      <w:rFonts w:hint="default" w:ascii="Times New Roman" w:hAnsi="Times New Roman" w:eastAsia="宋体" w:cs="Times New Roman"/>
                      <w:color w:val="auto"/>
                      <w:kern w:val="0"/>
                      <w:sz w:val="21"/>
                      <w:szCs w:val="21"/>
                      <w:highlight w:val="none"/>
                      <w:lang w:val="en-US" w:eastAsia="zh-CN" w:bidi="ar"/>
                    </w:rPr>
                  </w:pPr>
                </w:p>
              </w:tc>
              <w:tc>
                <w:tcPr>
                  <w:tcW w:w="854" w:type="pct"/>
                  <w:vMerge w:val="continue"/>
                  <w:noWrap w:val="0"/>
                  <w:vAlign w:val="center"/>
                </w:tcPr>
                <w:p w14:paraId="7FBD243A">
                  <w:pPr>
                    <w:keepNext w:val="0"/>
                    <w:keepLines w:val="0"/>
                    <w:pageBreakBefore w:val="0"/>
                    <w:widowControl/>
                    <w:suppressLineNumbers w:val="0"/>
                    <w:kinsoku/>
                    <w:wordWrap w:val="0"/>
                    <w:overflowPunct/>
                    <w:topLinePunct w:val="0"/>
                    <w:autoSpaceDE w:val="0"/>
                    <w:autoSpaceDN w:val="0"/>
                    <w:bidi w:val="0"/>
                    <w:adjustRightInd w:val="0"/>
                    <w:snapToGrid w:val="0"/>
                    <w:spacing w:line="240" w:lineRule="auto"/>
                    <w:jc w:val="left"/>
                    <w:textAlignment w:val="baseline"/>
                    <w:rPr>
                      <w:rFonts w:hint="default" w:ascii="Times New Roman" w:hAnsi="Times New Roman" w:eastAsia="宋体" w:cs="Times New Roman"/>
                      <w:color w:val="auto"/>
                      <w:kern w:val="0"/>
                      <w:sz w:val="21"/>
                      <w:szCs w:val="21"/>
                      <w:highlight w:val="none"/>
                      <w:lang w:val="en-US" w:eastAsia="zh-CN" w:bidi="ar"/>
                    </w:rPr>
                  </w:pPr>
                </w:p>
              </w:tc>
              <w:tc>
                <w:tcPr>
                  <w:tcW w:w="2090" w:type="pct"/>
                  <w:noWrap w:val="0"/>
                  <w:vAlign w:val="center"/>
                </w:tcPr>
                <w:p w14:paraId="3F111EAC">
                  <w:pPr>
                    <w:keepNext w:val="0"/>
                    <w:keepLines w:val="0"/>
                    <w:pageBreakBefore w:val="0"/>
                    <w:widowControl/>
                    <w:suppressLineNumbers w:val="0"/>
                    <w:kinsoku/>
                    <w:wordWrap w:val="0"/>
                    <w:overflowPunct/>
                    <w:topLinePunct w:val="0"/>
                    <w:autoSpaceDE w:val="0"/>
                    <w:autoSpaceDN w:val="0"/>
                    <w:bidi w:val="0"/>
                    <w:adjustRightInd w:val="0"/>
                    <w:snapToGrid w:val="0"/>
                    <w:spacing w:line="240" w:lineRule="auto"/>
                    <w:jc w:val="left"/>
                    <w:textAlignment w:val="baseline"/>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1-3.【生态/禁止类】单元内中山翠湖地方级湿地公园范围实施严格管控，按照《广东省湿地公园管理暂行办法》及其他有关法律法规进行管理。湿地公园范围内禁止下列行为：开矿、采石、修坟以及生产性放牧等；从事房地产、度假村、高尔夫球场等任何不符合主体功能定位的建设项目和开发活动；法律法规禁止的活动或者行为。</w:t>
                  </w:r>
                </w:p>
              </w:tc>
              <w:tc>
                <w:tcPr>
                  <w:tcW w:w="1391" w:type="pct"/>
                  <w:tcBorders>
                    <w:right w:val="single" w:color="auto" w:sz="4" w:space="0"/>
                  </w:tcBorders>
                  <w:noWrap w:val="0"/>
                  <w:vAlign w:val="center"/>
                </w:tcPr>
                <w:p w14:paraId="2DF2E3D0">
                  <w:pPr>
                    <w:keepNext w:val="0"/>
                    <w:keepLines w:val="0"/>
                    <w:widowControl/>
                    <w:suppressLineNumbers w:val="0"/>
                    <w:shd w:val="clear"/>
                    <w:spacing w:line="240" w:lineRule="auto"/>
                    <w:jc w:val="left"/>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本项目不位于中山翠湖地方级湿地公园范围内。</w:t>
                  </w:r>
                </w:p>
              </w:tc>
              <w:tc>
                <w:tcPr>
                  <w:tcW w:w="396" w:type="pct"/>
                  <w:vMerge w:val="continue"/>
                  <w:tcBorders>
                    <w:left w:val="single" w:color="auto" w:sz="4" w:space="0"/>
                    <w:right w:val="single" w:color="auto" w:sz="4" w:space="0"/>
                  </w:tcBorders>
                  <w:noWrap w:val="0"/>
                  <w:vAlign w:val="center"/>
                </w:tcPr>
                <w:p w14:paraId="05148113">
                  <w:pPr>
                    <w:keepNext w:val="0"/>
                    <w:keepLines w:val="0"/>
                    <w:widowControl/>
                    <w:suppressLineNumbers w:val="0"/>
                    <w:shd w:val="clear"/>
                    <w:spacing w:line="240" w:lineRule="auto"/>
                    <w:jc w:val="left"/>
                    <w:rPr>
                      <w:rFonts w:hint="default" w:ascii="Times New Roman" w:hAnsi="Times New Roman" w:eastAsia="宋体" w:cs="Times New Roman"/>
                      <w:color w:val="auto"/>
                      <w:kern w:val="0"/>
                      <w:sz w:val="21"/>
                      <w:szCs w:val="21"/>
                      <w:highlight w:val="none"/>
                      <w:lang w:val="en-US" w:eastAsia="zh-CN" w:bidi="ar"/>
                    </w:rPr>
                  </w:pPr>
                </w:p>
              </w:tc>
            </w:tr>
            <w:tr w14:paraId="44A3470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5" w:hRule="atLeast"/>
              </w:trPr>
              <w:tc>
                <w:tcPr>
                  <w:tcW w:w="266" w:type="pct"/>
                  <w:vMerge w:val="continue"/>
                  <w:noWrap w:val="0"/>
                  <w:vAlign w:val="center"/>
                </w:tcPr>
                <w:p w14:paraId="3622E8E3">
                  <w:pPr>
                    <w:keepNext w:val="0"/>
                    <w:keepLines w:val="0"/>
                    <w:widowControl/>
                    <w:suppressLineNumbers w:val="0"/>
                    <w:shd w:val="clear"/>
                    <w:spacing w:line="240" w:lineRule="auto"/>
                    <w:jc w:val="left"/>
                    <w:rPr>
                      <w:rFonts w:hint="default" w:ascii="Times New Roman" w:hAnsi="Times New Roman" w:eastAsia="宋体" w:cs="Times New Roman"/>
                      <w:color w:val="auto"/>
                      <w:kern w:val="0"/>
                      <w:sz w:val="21"/>
                      <w:szCs w:val="21"/>
                      <w:highlight w:val="none"/>
                      <w:lang w:val="en-US" w:eastAsia="zh-CN" w:bidi="ar"/>
                    </w:rPr>
                  </w:pPr>
                </w:p>
              </w:tc>
              <w:tc>
                <w:tcPr>
                  <w:tcW w:w="854" w:type="pct"/>
                  <w:vMerge w:val="continue"/>
                  <w:noWrap w:val="0"/>
                  <w:vAlign w:val="center"/>
                </w:tcPr>
                <w:p w14:paraId="526BCBE9">
                  <w:pPr>
                    <w:keepNext w:val="0"/>
                    <w:keepLines w:val="0"/>
                    <w:pageBreakBefore w:val="0"/>
                    <w:widowControl/>
                    <w:suppressLineNumbers w:val="0"/>
                    <w:kinsoku/>
                    <w:wordWrap w:val="0"/>
                    <w:overflowPunct/>
                    <w:topLinePunct w:val="0"/>
                    <w:autoSpaceDE w:val="0"/>
                    <w:autoSpaceDN w:val="0"/>
                    <w:bidi w:val="0"/>
                    <w:adjustRightInd w:val="0"/>
                    <w:snapToGrid w:val="0"/>
                    <w:spacing w:line="240" w:lineRule="auto"/>
                    <w:jc w:val="left"/>
                    <w:textAlignment w:val="baseline"/>
                    <w:rPr>
                      <w:rFonts w:hint="default" w:ascii="Times New Roman" w:hAnsi="Times New Roman" w:eastAsia="宋体" w:cs="Times New Roman"/>
                      <w:color w:val="auto"/>
                      <w:kern w:val="0"/>
                      <w:sz w:val="21"/>
                      <w:szCs w:val="21"/>
                      <w:highlight w:val="none"/>
                      <w:lang w:val="en-US" w:eastAsia="zh-CN" w:bidi="ar"/>
                    </w:rPr>
                  </w:pPr>
                </w:p>
              </w:tc>
              <w:tc>
                <w:tcPr>
                  <w:tcW w:w="2090" w:type="pct"/>
                  <w:noWrap w:val="0"/>
                  <w:vAlign w:val="center"/>
                </w:tcPr>
                <w:p w14:paraId="7D0F90EC">
                  <w:pPr>
                    <w:keepNext w:val="0"/>
                    <w:keepLines w:val="0"/>
                    <w:pageBreakBefore w:val="0"/>
                    <w:widowControl/>
                    <w:suppressLineNumbers w:val="0"/>
                    <w:kinsoku/>
                    <w:wordWrap w:val="0"/>
                    <w:overflowPunct/>
                    <w:topLinePunct w:val="0"/>
                    <w:autoSpaceDE w:val="0"/>
                    <w:autoSpaceDN w:val="0"/>
                    <w:bidi w:val="0"/>
                    <w:adjustRightInd w:val="0"/>
                    <w:snapToGrid w:val="0"/>
                    <w:spacing w:line="240" w:lineRule="auto"/>
                    <w:jc w:val="left"/>
                    <w:textAlignment w:val="baseline"/>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1-4.【生态/综合类】加强对生态空间的保护，生态保护红线严格按照国家、省有关要求进行管控。</w:t>
                  </w:r>
                </w:p>
              </w:tc>
              <w:tc>
                <w:tcPr>
                  <w:tcW w:w="1391" w:type="pct"/>
                  <w:tcBorders>
                    <w:right w:val="single" w:color="auto" w:sz="4" w:space="0"/>
                  </w:tcBorders>
                  <w:noWrap w:val="0"/>
                  <w:vAlign w:val="center"/>
                </w:tcPr>
                <w:p w14:paraId="593C360D">
                  <w:pPr>
                    <w:keepNext w:val="0"/>
                    <w:keepLines w:val="0"/>
                    <w:widowControl/>
                    <w:suppressLineNumbers w:val="0"/>
                    <w:shd w:val="clear"/>
                    <w:spacing w:line="240" w:lineRule="auto"/>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项目不在生态保护红线</w:t>
                  </w:r>
                </w:p>
                <w:p w14:paraId="2135733F">
                  <w:pPr>
                    <w:keepNext w:val="0"/>
                    <w:keepLines w:val="0"/>
                    <w:widowControl/>
                    <w:suppressLineNumbers w:val="0"/>
                    <w:shd w:val="clear"/>
                    <w:spacing w:line="240" w:lineRule="auto"/>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范围内。</w:t>
                  </w:r>
                </w:p>
              </w:tc>
              <w:tc>
                <w:tcPr>
                  <w:tcW w:w="396" w:type="pct"/>
                  <w:vMerge w:val="continue"/>
                  <w:tcBorders>
                    <w:left w:val="single" w:color="auto" w:sz="4" w:space="0"/>
                    <w:right w:val="single" w:color="auto" w:sz="4" w:space="0"/>
                  </w:tcBorders>
                  <w:noWrap w:val="0"/>
                  <w:vAlign w:val="center"/>
                </w:tcPr>
                <w:p w14:paraId="7AF6E3FB">
                  <w:pPr>
                    <w:keepNext w:val="0"/>
                    <w:keepLines w:val="0"/>
                    <w:widowControl/>
                    <w:suppressLineNumbers w:val="0"/>
                    <w:shd w:val="clear"/>
                    <w:spacing w:line="240" w:lineRule="auto"/>
                    <w:jc w:val="left"/>
                    <w:rPr>
                      <w:rFonts w:hint="default" w:ascii="Times New Roman" w:hAnsi="Times New Roman" w:eastAsia="宋体" w:cs="Times New Roman"/>
                      <w:color w:val="auto"/>
                      <w:kern w:val="0"/>
                      <w:sz w:val="21"/>
                      <w:szCs w:val="21"/>
                      <w:highlight w:val="none"/>
                      <w:lang w:val="en-US" w:eastAsia="zh-CN" w:bidi="ar"/>
                    </w:rPr>
                  </w:pPr>
                </w:p>
              </w:tc>
            </w:tr>
            <w:tr w14:paraId="2F5523D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5" w:hRule="atLeast"/>
              </w:trPr>
              <w:tc>
                <w:tcPr>
                  <w:tcW w:w="266" w:type="pct"/>
                  <w:vMerge w:val="continue"/>
                  <w:noWrap w:val="0"/>
                  <w:vAlign w:val="center"/>
                </w:tcPr>
                <w:p w14:paraId="18A39E1F">
                  <w:pPr>
                    <w:keepNext w:val="0"/>
                    <w:keepLines w:val="0"/>
                    <w:widowControl/>
                    <w:suppressLineNumbers w:val="0"/>
                    <w:shd w:val="clear"/>
                    <w:spacing w:line="240" w:lineRule="auto"/>
                    <w:jc w:val="left"/>
                    <w:rPr>
                      <w:rFonts w:hint="default" w:ascii="Times New Roman" w:hAnsi="Times New Roman" w:eastAsia="宋体" w:cs="Times New Roman"/>
                      <w:color w:val="auto"/>
                      <w:kern w:val="0"/>
                      <w:sz w:val="21"/>
                      <w:szCs w:val="21"/>
                      <w:highlight w:val="none"/>
                      <w:lang w:val="en-US" w:eastAsia="zh-CN" w:bidi="ar"/>
                    </w:rPr>
                  </w:pPr>
                </w:p>
              </w:tc>
              <w:tc>
                <w:tcPr>
                  <w:tcW w:w="854" w:type="pct"/>
                  <w:vMerge w:val="continue"/>
                  <w:noWrap w:val="0"/>
                  <w:vAlign w:val="center"/>
                </w:tcPr>
                <w:p w14:paraId="352A9486">
                  <w:pPr>
                    <w:keepNext w:val="0"/>
                    <w:keepLines w:val="0"/>
                    <w:pageBreakBefore w:val="0"/>
                    <w:widowControl/>
                    <w:suppressLineNumbers w:val="0"/>
                    <w:kinsoku/>
                    <w:wordWrap w:val="0"/>
                    <w:overflowPunct/>
                    <w:topLinePunct w:val="0"/>
                    <w:autoSpaceDE w:val="0"/>
                    <w:autoSpaceDN w:val="0"/>
                    <w:bidi w:val="0"/>
                    <w:adjustRightInd w:val="0"/>
                    <w:snapToGrid w:val="0"/>
                    <w:spacing w:line="240" w:lineRule="auto"/>
                    <w:jc w:val="left"/>
                    <w:textAlignment w:val="baseline"/>
                    <w:rPr>
                      <w:rFonts w:hint="default" w:ascii="Times New Roman" w:hAnsi="Times New Roman" w:eastAsia="宋体" w:cs="Times New Roman"/>
                      <w:color w:val="auto"/>
                      <w:kern w:val="0"/>
                      <w:sz w:val="21"/>
                      <w:szCs w:val="21"/>
                      <w:highlight w:val="none"/>
                      <w:lang w:val="en-US" w:eastAsia="zh-CN" w:bidi="ar"/>
                    </w:rPr>
                  </w:pPr>
                </w:p>
              </w:tc>
              <w:tc>
                <w:tcPr>
                  <w:tcW w:w="2090" w:type="pct"/>
                  <w:noWrap w:val="0"/>
                  <w:vAlign w:val="center"/>
                </w:tcPr>
                <w:p w14:paraId="5C4630BA">
                  <w:pPr>
                    <w:keepNext w:val="0"/>
                    <w:keepLines w:val="0"/>
                    <w:pageBreakBefore w:val="0"/>
                    <w:widowControl/>
                    <w:suppressLineNumbers w:val="0"/>
                    <w:kinsoku/>
                    <w:wordWrap w:val="0"/>
                    <w:overflowPunct/>
                    <w:topLinePunct w:val="0"/>
                    <w:autoSpaceDE w:val="0"/>
                    <w:autoSpaceDN w:val="0"/>
                    <w:bidi w:val="0"/>
                    <w:adjustRightInd w:val="0"/>
                    <w:snapToGrid w:val="0"/>
                    <w:spacing w:line="240" w:lineRule="auto"/>
                    <w:jc w:val="left"/>
                    <w:textAlignment w:val="baseline"/>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1-5.【水/禁止类】岐江河流域依法关停无法达到污染物排放标准又拒不进入定点园区的重污染企业。</w:t>
                  </w:r>
                </w:p>
              </w:tc>
              <w:tc>
                <w:tcPr>
                  <w:tcW w:w="1391" w:type="pct"/>
                  <w:tcBorders>
                    <w:right w:val="single" w:color="auto" w:sz="4" w:space="0"/>
                  </w:tcBorders>
                  <w:noWrap w:val="0"/>
                  <w:vAlign w:val="center"/>
                </w:tcPr>
                <w:p w14:paraId="7122558B">
                  <w:pPr>
                    <w:keepNext w:val="0"/>
                    <w:keepLines w:val="0"/>
                    <w:widowControl/>
                    <w:suppressLineNumbers w:val="0"/>
                    <w:shd w:val="clear"/>
                    <w:spacing w:line="240" w:lineRule="auto"/>
                    <w:jc w:val="both"/>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本项目生活污水处理达标后经市政管网排入中山市珍家山污水处理有限公司集中治理排放。</w:t>
                  </w:r>
                </w:p>
              </w:tc>
              <w:tc>
                <w:tcPr>
                  <w:tcW w:w="396" w:type="pct"/>
                  <w:vMerge w:val="continue"/>
                  <w:tcBorders>
                    <w:left w:val="single" w:color="auto" w:sz="4" w:space="0"/>
                    <w:right w:val="single" w:color="auto" w:sz="4" w:space="0"/>
                  </w:tcBorders>
                  <w:noWrap w:val="0"/>
                  <w:vAlign w:val="center"/>
                </w:tcPr>
                <w:p w14:paraId="5E03BBED">
                  <w:pPr>
                    <w:keepNext w:val="0"/>
                    <w:keepLines w:val="0"/>
                    <w:widowControl/>
                    <w:suppressLineNumbers w:val="0"/>
                    <w:shd w:val="clear"/>
                    <w:spacing w:line="240" w:lineRule="auto"/>
                    <w:jc w:val="left"/>
                    <w:rPr>
                      <w:rFonts w:hint="default" w:ascii="Times New Roman" w:hAnsi="Times New Roman" w:eastAsia="宋体" w:cs="Times New Roman"/>
                      <w:color w:val="auto"/>
                      <w:kern w:val="0"/>
                      <w:sz w:val="21"/>
                      <w:szCs w:val="21"/>
                      <w:highlight w:val="none"/>
                      <w:lang w:val="en-US" w:eastAsia="zh-CN" w:bidi="ar"/>
                    </w:rPr>
                  </w:pPr>
                </w:p>
              </w:tc>
            </w:tr>
            <w:tr w14:paraId="0476FCD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5" w:hRule="atLeast"/>
              </w:trPr>
              <w:tc>
                <w:tcPr>
                  <w:tcW w:w="266" w:type="pct"/>
                  <w:vMerge w:val="continue"/>
                  <w:noWrap w:val="0"/>
                  <w:vAlign w:val="center"/>
                </w:tcPr>
                <w:p w14:paraId="132A70AC">
                  <w:pPr>
                    <w:keepNext w:val="0"/>
                    <w:keepLines w:val="0"/>
                    <w:widowControl/>
                    <w:suppressLineNumbers w:val="0"/>
                    <w:shd w:val="clear"/>
                    <w:spacing w:line="240" w:lineRule="auto"/>
                    <w:jc w:val="left"/>
                    <w:rPr>
                      <w:rFonts w:hint="default" w:ascii="Times New Roman" w:hAnsi="Times New Roman" w:eastAsia="宋体" w:cs="Times New Roman"/>
                      <w:color w:val="auto"/>
                      <w:kern w:val="0"/>
                      <w:sz w:val="21"/>
                      <w:szCs w:val="21"/>
                      <w:highlight w:val="none"/>
                      <w:lang w:val="en-US" w:eastAsia="zh-CN" w:bidi="ar"/>
                    </w:rPr>
                  </w:pPr>
                </w:p>
              </w:tc>
              <w:tc>
                <w:tcPr>
                  <w:tcW w:w="854" w:type="pct"/>
                  <w:vMerge w:val="continue"/>
                  <w:noWrap w:val="0"/>
                  <w:vAlign w:val="center"/>
                </w:tcPr>
                <w:p w14:paraId="2883E965">
                  <w:pPr>
                    <w:keepNext w:val="0"/>
                    <w:keepLines w:val="0"/>
                    <w:pageBreakBefore w:val="0"/>
                    <w:widowControl/>
                    <w:suppressLineNumbers w:val="0"/>
                    <w:kinsoku/>
                    <w:wordWrap w:val="0"/>
                    <w:overflowPunct/>
                    <w:topLinePunct w:val="0"/>
                    <w:autoSpaceDE w:val="0"/>
                    <w:autoSpaceDN w:val="0"/>
                    <w:bidi w:val="0"/>
                    <w:adjustRightInd w:val="0"/>
                    <w:snapToGrid w:val="0"/>
                    <w:spacing w:line="240" w:lineRule="auto"/>
                    <w:jc w:val="left"/>
                    <w:textAlignment w:val="baseline"/>
                    <w:rPr>
                      <w:rFonts w:hint="default" w:ascii="Times New Roman" w:hAnsi="Times New Roman" w:eastAsia="宋体" w:cs="Times New Roman"/>
                      <w:color w:val="auto"/>
                      <w:kern w:val="0"/>
                      <w:sz w:val="21"/>
                      <w:szCs w:val="21"/>
                      <w:highlight w:val="none"/>
                      <w:lang w:val="en-US" w:eastAsia="zh-CN" w:bidi="ar"/>
                    </w:rPr>
                  </w:pPr>
                </w:p>
              </w:tc>
              <w:tc>
                <w:tcPr>
                  <w:tcW w:w="2090" w:type="pct"/>
                  <w:noWrap w:val="0"/>
                  <w:vAlign w:val="center"/>
                </w:tcPr>
                <w:p w14:paraId="77B07FE0">
                  <w:pPr>
                    <w:keepNext w:val="0"/>
                    <w:keepLines w:val="0"/>
                    <w:pageBreakBefore w:val="0"/>
                    <w:widowControl/>
                    <w:suppressLineNumbers w:val="0"/>
                    <w:kinsoku/>
                    <w:wordWrap w:val="0"/>
                    <w:overflowPunct/>
                    <w:topLinePunct w:val="0"/>
                    <w:autoSpaceDE w:val="0"/>
                    <w:autoSpaceDN w:val="0"/>
                    <w:bidi w:val="0"/>
                    <w:adjustRightInd w:val="0"/>
                    <w:snapToGrid w:val="0"/>
                    <w:spacing w:line="240" w:lineRule="auto"/>
                    <w:jc w:val="left"/>
                    <w:textAlignment w:val="baseline"/>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1-6.【大气/限制类】原则上不再审批或备案新建、扩建涉使用非低（无）VOCs涂料、油墨、胶粘剂原辅材料的工业类项目，相关豁免情形除外。</w:t>
                  </w:r>
                </w:p>
              </w:tc>
              <w:tc>
                <w:tcPr>
                  <w:tcW w:w="1391" w:type="pct"/>
                  <w:tcBorders>
                    <w:right w:val="single" w:color="auto" w:sz="4" w:space="0"/>
                  </w:tcBorders>
                  <w:noWrap w:val="0"/>
                  <w:vAlign w:val="center"/>
                </w:tcPr>
                <w:p w14:paraId="16F1EA66">
                  <w:pPr>
                    <w:keepNext w:val="0"/>
                    <w:keepLines w:val="0"/>
                    <w:widowControl/>
                    <w:suppressLineNumbers w:val="0"/>
                    <w:shd w:val="clear"/>
                    <w:spacing w:line="240" w:lineRule="auto"/>
                    <w:jc w:val="left"/>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本项目生产过程不使用非低VOCs含量溶剂型涂料、油墨、胶黏剂等原辅材料。</w:t>
                  </w:r>
                </w:p>
              </w:tc>
              <w:tc>
                <w:tcPr>
                  <w:tcW w:w="396" w:type="pct"/>
                  <w:vMerge w:val="continue"/>
                  <w:tcBorders>
                    <w:left w:val="single" w:color="auto" w:sz="4" w:space="0"/>
                    <w:right w:val="single" w:color="auto" w:sz="4" w:space="0"/>
                  </w:tcBorders>
                  <w:noWrap w:val="0"/>
                  <w:vAlign w:val="center"/>
                </w:tcPr>
                <w:p w14:paraId="03266992">
                  <w:pPr>
                    <w:keepNext w:val="0"/>
                    <w:keepLines w:val="0"/>
                    <w:widowControl/>
                    <w:suppressLineNumbers w:val="0"/>
                    <w:shd w:val="clear"/>
                    <w:spacing w:line="240" w:lineRule="auto"/>
                    <w:jc w:val="left"/>
                    <w:rPr>
                      <w:rFonts w:hint="default" w:ascii="Times New Roman" w:hAnsi="Times New Roman" w:eastAsia="宋体" w:cs="Times New Roman"/>
                      <w:color w:val="auto"/>
                      <w:kern w:val="0"/>
                      <w:sz w:val="21"/>
                      <w:szCs w:val="21"/>
                      <w:highlight w:val="none"/>
                      <w:lang w:val="en-US" w:eastAsia="zh-CN" w:bidi="ar"/>
                    </w:rPr>
                  </w:pPr>
                </w:p>
              </w:tc>
            </w:tr>
            <w:tr w14:paraId="688B028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5" w:hRule="atLeast"/>
              </w:trPr>
              <w:tc>
                <w:tcPr>
                  <w:tcW w:w="266" w:type="pct"/>
                  <w:vMerge w:val="continue"/>
                  <w:noWrap w:val="0"/>
                  <w:vAlign w:val="center"/>
                </w:tcPr>
                <w:p w14:paraId="03D6FFE6">
                  <w:pPr>
                    <w:keepNext w:val="0"/>
                    <w:keepLines w:val="0"/>
                    <w:widowControl/>
                    <w:suppressLineNumbers w:val="0"/>
                    <w:shd w:val="clear"/>
                    <w:spacing w:line="240" w:lineRule="auto"/>
                    <w:jc w:val="left"/>
                    <w:rPr>
                      <w:rFonts w:hint="default" w:ascii="Times New Roman" w:hAnsi="Times New Roman" w:eastAsia="宋体" w:cs="Times New Roman"/>
                      <w:color w:val="auto"/>
                      <w:kern w:val="0"/>
                      <w:sz w:val="21"/>
                      <w:szCs w:val="21"/>
                      <w:highlight w:val="none"/>
                      <w:lang w:val="en-US" w:eastAsia="zh-CN" w:bidi="ar"/>
                    </w:rPr>
                  </w:pPr>
                </w:p>
              </w:tc>
              <w:tc>
                <w:tcPr>
                  <w:tcW w:w="854" w:type="pct"/>
                  <w:vMerge w:val="continue"/>
                  <w:noWrap w:val="0"/>
                  <w:vAlign w:val="center"/>
                </w:tcPr>
                <w:p w14:paraId="3AB3D4F0">
                  <w:pPr>
                    <w:keepNext w:val="0"/>
                    <w:keepLines w:val="0"/>
                    <w:pageBreakBefore w:val="0"/>
                    <w:widowControl/>
                    <w:suppressLineNumbers w:val="0"/>
                    <w:kinsoku/>
                    <w:wordWrap w:val="0"/>
                    <w:overflowPunct/>
                    <w:topLinePunct w:val="0"/>
                    <w:autoSpaceDE w:val="0"/>
                    <w:autoSpaceDN w:val="0"/>
                    <w:bidi w:val="0"/>
                    <w:adjustRightInd w:val="0"/>
                    <w:snapToGrid w:val="0"/>
                    <w:spacing w:line="240" w:lineRule="auto"/>
                    <w:jc w:val="left"/>
                    <w:textAlignment w:val="baseline"/>
                    <w:rPr>
                      <w:rFonts w:hint="default" w:ascii="Times New Roman" w:hAnsi="Times New Roman" w:eastAsia="宋体" w:cs="Times New Roman"/>
                      <w:color w:val="auto"/>
                      <w:kern w:val="0"/>
                      <w:sz w:val="21"/>
                      <w:szCs w:val="21"/>
                      <w:highlight w:val="none"/>
                      <w:lang w:val="en-US" w:eastAsia="zh-CN" w:bidi="ar"/>
                    </w:rPr>
                  </w:pPr>
                </w:p>
              </w:tc>
              <w:tc>
                <w:tcPr>
                  <w:tcW w:w="2090" w:type="pct"/>
                  <w:noWrap w:val="0"/>
                  <w:vAlign w:val="center"/>
                </w:tcPr>
                <w:p w14:paraId="2B4CFDF4">
                  <w:pPr>
                    <w:keepNext w:val="0"/>
                    <w:keepLines w:val="0"/>
                    <w:pageBreakBefore w:val="0"/>
                    <w:widowControl/>
                    <w:suppressLineNumbers w:val="0"/>
                    <w:kinsoku/>
                    <w:wordWrap w:val="0"/>
                    <w:overflowPunct/>
                    <w:topLinePunct w:val="0"/>
                    <w:autoSpaceDE w:val="0"/>
                    <w:autoSpaceDN w:val="0"/>
                    <w:bidi w:val="0"/>
                    <w:adjustRightInd w:val="0"/>
                    <w:snapToGrid w:val="0"/>
                    <w:spacing w:line="240" w:lineRule="auto"/>
                    <w:jc w:val="left"/>
                    <w:textAlignment w:val="baseline"/>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1-7.【土壤/限制类】建设用地地块用途变更为住宅、公共管理与公共服务用地时，变更前应当按照规定进行土壤污染状况调查。</w:t>
                  </w:r>
                </w:p>
              </w:tc>
              <w:tc>
                <w:tcPr>
                  <w:tcW w:w="1391" w:type="pct"/>
                  <w:tcBorders>
                    <w:right w:val="single" w:color="auto" w:sz="4" w:space="0"/>
                  </w:tcBorders>
                  <w:noWrap w:val="0"/>
                  <w:vAlign w:val="center"/>
                </w:tcPr>
                <w:p w14:paraId="0E0DB523">
                  <w:pPr>
                    <w:keepNext w:val="0"/>
                    <w:keepLines w:val="0"/>
                    <w:widowControl/>
                    <w:suppressLineNumbers w:val="0"/>
                    <w:shd w:val="clear"/>
                    <w:spacing w:line="240" w:lineRule="auto"/>
                    <w:jc w:val="left"/>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本项目地块类型为工业用地，不涉及建设用地地块用途变化</w:t>
                  </w:r>
                </w:p>
              </w:tc>
              <w:tc>
                <w:tcPr>
                  <w:tcW w:w="396" w:type="pct"/>
                  <w:vMerge w:val="continue"/>
                  <w:tcBorders>
                    <w:left w:val="single" w:color="auto" w:sz="4" w:space="0"/>
                    <w:right w:val="single" w:color="auto" w:sz="4" w:space="0"/>
                  </w:tcBorders>
                  <w:noWrap w:val="0"/>
                  <w:vAlign w:val="center"/>
                </w:tcPr>
                <w:p w14:paraId="3AF5E099">
                  <w:pPr>
                    <w:keepNext w:val="0"/>
                    <w:keepLines w:val="0"/>
                    <w:widowControl/>
                    <w:suppressLineNumbers w:val="0"/>
                    <w:shd w:val="clear"/>
                    <w:spacing w:line="240" w:lineRule="auto"/>
                    <w:jc w:val="left"/>
                    <w:rPr>
                      <w:rFonts w:hint="default" w:ascii="Times New Roman" w:hAnsi="Times New Roman" w:eastAsia="宋体" w:cs="Times New Roman"/>
                      <w:color w:val="auto"/>
                      <w:kern w:val="0"/>
                      <w:sz w:val="21"/>
                      <w:szCs w:val="21"/>
                      <w:highlight w:val="none"/>
                      <w:lang w:val="en-US" w:eastAsia="zh-CN" w:bidi="ar"/>
                    </w:rPr>
                  </w:pPr>
                </w:p>
              </w:tc>
            </w:tr>
            <w:tr w14:paraId="365B885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5" w:hRule="atLeast"/>
              </w:trPr>
              <w:tc>
                <w:tcPr>
                  <w:tcW w:w="266" w:type="pct"/>
                  <w:vMerge w:val="continue"/>
                  <w:noWrap w:val="0"/>
                  <w:vAlign w:val="center"/>
                </w:tcPr>
                <w:p w14:paraId="7EF3A0B7">
                  <w:pPr>
                    <w:keepNext w:val="0"/>
                    <w:keepLines w:val="0"/>
                    <w:widowControl/>
                    <w:suppressLineNumbers w:val="0"/>
                    <w:shd w:val="clear"/>
                    <w:spacing w:line="240" w:lineRule="auto"/>
                    <w:jc w:val="left"/>
                    <w:rPr>
                      <w:rFonts w:hint="default" w:ascii="Times New Roman" w:hAnsi="Times New Roman" w:eastAsia="宋体" w:cs="Times New Roman"/>
                      <w:color w:val="auto"/>
                      <w:kern w:val="0"/>
                      <w:sz w:val="21"/>
                      <w:szCs w:val="21"/>
                      <w:highlight w:val="none"/>
                      <w:lang w:val="en-US" w:eastAsia="zh-CN" w:bidi="ar"/>
                    </w:rPr>
                  </w:pPr>
                </w:p>
              </w:tc>
              <w:tc>
                <w:tcPr>
                  <w:tcW w:w="854" w:type="pct"/>
                  <w:vMerge w:val="continue"/>
                  <w:noWrap w:val="0"/>
                  <w:vAlign w:val="center"/>
                </w:tcPr>
                <w:p w14:paraId="74ADCB03">
                  <w:pPr>
                    <w:keepNext w:val="0"/>
                    <w:keepLines w:val="0"/>
                    <w:pageBreakBefore w:val="0"/>
                    <w:widowControl/>
                    <w:suppressLineNumbers w:val="0"/>
                    <w:kinsoku/>
                    <w:wordWrap w:val="0"/>
                    <w:overflowPunct/>
                    <w:topLinePunct w:val="0"/>
                    <w:autoSpaceDE w:val="0"/>
                    <w:autoSpaceDN w:val="0"/>
                    <w:bidi w:val="0"/>
                    <w:adjustRightInd w:val="0"/>
                    <w:snapToGrid w:val="0"/>
                    <w:spacing w:line="240" w:lineRule="auto"/>
                    <w:jc w:val="left"/>
                    <w:textAlignment w:val="baseline"/>
                    <w:rPr>
                      <w:rFonts w:hint="default" w:ascii="Times New Roman" w:hAnsi="Times New Roman" w:eastAsia="宋体" w:cs="Times New Roman"/>
                      <w:color w:val="auto"/>
                      <w:kern w:val="0"/>
                      <w:sz w:val="21"/>
                      <w:szCs w:val="21"/>
                      <w:highlight w:val="none"/>
                      <w:lang w:val="en-US" w:eastAsia="zh-CN" w:bidi="ar"/>
                    </w:rPr>
                  </w:pPr>
                </w:p>
              </w:tc>
              <w:tc>
                <w:tcPr>
                  <w:tcW w:w="2090" w:type="pct"/>
                  <w:noWrap w:val="0"/>
                  <w:vAlign w:val="center"/>
                </w:tcPr>
                <w:p w14:paraId="0788D97B">
                  <w:pPr>
                    <w:keepNext w:val="0"/>
                    <w:keepLines w:val="0"/>
                    <w:pageBreakBefore w:val="0"/>
                    <w:widowControl/>
                    <w:suppressLineNumbers w:val="0"/>
                    <w:kinsoku/>
                    <w:wordWrap w:val="0"/>
                    <w:overflowPunct/>
                    <w:topLinePunct w:val="0"/>
                    <w:autoSpaceDE w:val="0"/>
                    <w:autoSpaceDN w:val="0"/>
                    <w:bidi w:val="0"/>
                    <w:adjustRightInd w:val="0"/>
                    <w:snapToGrid w:val="0"/>
                    <w:spacing w:line="240" w:lineRule="auto"/>
                    <w:jc w:val="left"/>
                    <w:textAlignment w:val="baseline"/>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2-1.【能源/限制类】①提高资源能源利用效率，推行清洁生产，对于国家已颁布清洁生产标准及清洁生产评价指标体系的行业，新建、改建、扩建项目均要达到行业清洁生产先进水平。②集中供热区域内达到供热条件的企业不再建设分散供热锅炉。③新建锅炉、炉窑只允许使用天然气、液化石油气、电及其它可再生能源。</w:t>
                  </w:r>
                </w:p>
              </w:tc>
              <w:tc>
                <w:tcPr>
                  <w:tcW w:w="1391" w:type="pct"/>
                  <w:tcBorders>
                    <w:right w:val="single" w:color="auto" w:sz="4" w:space="0"/>
                  </w:tcBorders>
                  <w:noWrap w:val="0"/>
                  <w:vAlign w:val="center"/>
                </w:tcPr>
                <w:p w14:paraId="30419E87">
                  <w:pPr>
                    <w:keepNext w:val="0"/>
                    <w:keepLines w:val="0"/>
                    <w:widowControl/>
                    <w:suppressLineNumbers w:val="0"/>
                    <w:shd w:val="clear"/>
                    <w:spacing w:line="240" w:lineRule="auto"/>
                    <w:jc w:val="left"/>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项目仅使用电能作为能源，属于清洁能源</w:t>
                  </w:r>
                  <w:r>
                    <w:rPr>
                      <w:rFonts w:hint="eastAsia" w:cs="Times New Roman"/>
                      <w:color w:val="auto"/>
                      <w:kern w:val="0"/>
                      <w:sz w:val="21"/>
                      <w:szCs w:val="21"/>
                      <w:highlight w:val="none"/>
                      <w:lang w:val="en-US" w:eastAsia="zh-CN" w:bidi="ar"/>
                    </w:rPr>
                    <w:t>。</w:t>
                  </w:r>
                </w:p>
              </w:tc>
              <w:tc>
                <w:tcPr>
                  <w:tcW w:w="396" w:type="pct"/>
                  <w:vMerge w:val="continue"/>
                  <w:tcBorders>
                    <w:left w:val="single" w:color="auto" w:sz="4" w:space="0"/>
                    <w:right w:val="single" w:color="auto" w:sz="4" w:space="0"/>
                  </w:tcBorders>
                  <w:noWrap w:val="0"/>
                  <w:vAlign w:val="center"/>
                </w:tcPr>
                <w:p w14:paraId="61CD0D42">
                  <w:pPr>
                    <w:keepNext w:val="0"/>
                    <w:keepLines w:val="0"/>
                    <w:widowControl/>
                    <w:suppressLineNumbers w:val="0"/>
                    <w:shd w:val="clear"/>
                    <w:spacing w:line="240" w:lineRule="auto"/>
                    <w:jc w:val="left"/>
                    <w:rPr>
                      <w:rFonts w:hint="default" w:ascii="Times New Roman" w:hAnsi="Times New Roman" w:eastAsia="宋体" w:cs="Times New Roman"/>
                      <w:color w:val="auto"/>
                      <w:kern w:val="0"/>
                      <w:sz w:val="21"/>
                      <w:szCs w:val="21"/>
                      <w:highlight w:val="none"/>
                      <w:lang w:val="en-US" w:eastAsia="zh-CN" w:bidi="ar"/>
                    </w:rPr>
                  </w:pPr>
                </w:p>
              </w:tc>
            </w:tr>
            <w:tr w14:paraId="2AA1FB9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5" w:hRule="atLeast"/>
              </w:trPr>
              <w:tc>
                <w:tcPr>
                  <w:tcW w:w="266" w:type="pct"/>
                  <w:vMerge w:val="continue"/>
                  <w:noWrap w:val="0"/>
                  <w:vAlign w:val="center"/>
                </w:tcPr>
                <w:p w14:paraId="3F12B865">
                  <w:pPr>
                    <w:keepNext w:val="0"/>
                    <w:keepLines w:val="0"/>
                    <w:widowControl/>
                    <w:suppressLineNumbers w:val="0"/>
                    <w:shd w:val="clear"/>
                    <w:spacing w:line="240" w:lineRule="auto"/>
                    <w:jc w:val="left"/>
                    <w:rPr>
                      <w:rFonts w:hint="default" w:ascii="Times New Roman" w:hAnsi="Times New Roman" w:eastAsia="宋体" w:cs="Times New Roman"/>
                      <w:color w:val="auto"/>
                      <w:kern w:val="0"/>
                      <w:sz w:val="21"/>
                      <w:szCs w:val="21"/>
                      <w:highlight w:val="none"/>
                      <w:lang w:val="en-US" w:eastAsia="zh-CN" w:bidi="ar"/>
                    </w:rPr>
                  </w:pPr>
                </w:p>
              </w:tc>
              <w:tc>
                <w:tcPr>
                  <w:tcW w:w="854" w:type="pct"/>
                  <w:vMerge w:val="continue"/>
                  <w:noWrap w:val="0"/>
                  <w:vAlign w:val="center"/>
                </w:tcPr>
                <w:p w14:paraId="5C397DEC">
                  <w:pPr>
                    <w:keepNext w:val="0"/>
                    <w:keepLines w:val="0"/>
                    <w:pageBreakBefore w:val="0"/>
                    <w:widowControl/>
                    <w:suppressLineNumbers w:val="0"/>
                    <w:kinsoku/>
                    <w:wordWrap w:val="0"/>
                    <w:overflowPunct/>
                    <w:topLinePunct w:val="0"/>
                    <w:autoSpaceDE w:val="0"/>
                    <w:autoSpaceDN w:val="0"/>
                    <w:bidi w:val="0"/>
                    <w:adjustRightInd w:val="0"/>
                    <w:snapToGrid w:val="0"/>
                    <w:spacing w:line="240" w:lineRule="auto"/>
                    <w:jc w:val="left"/>
                    <w:textAlignment w:val="baseline"/>
                    <w:rPr>
                      <w:rFonts w:hint="default" w:ascii="Times New Roman" w:hAnsi="Times New Roman" w:eastAsia="宋体" w:cs="Times New Roman"/>
                      <w:color w:val="auto"/>
                      <w:kern w:val="0"/>
                      <w:sz w:val="21"/>
                      <w:szCs w:val="21"/>
                      <w:highlight w:val="none"/>
                      <w:lang w:val="en-US" w:eastAsia="zh-CN" w:bidi="ar"/>
                    </w:rPr>
                  </w:pPr>
                </w:p>
              </w:tc>
              <w:tc>
                <w:tcPr>
                  <w:tcW w:w="2090" w:type="pct"/>
                  <w:noWrap w:val="0"/>
                  <w:vAlign w:val="center"/>
                </w:tcPr>
                <w:p w14:paraId="26007F7F">
                  <w:pPr>
                    <w:keepNext w:val="0"/>
                    <w:keepLines w:val="0"/>
                    <w:pageBreakBefore w:val="0"/>
                    <w:widowControl/>
                    <w:suppressLineNumbers w:val="0"/>
                    <w:kinsoku/>
                    <w:wordWrap w:val="0"/>
                    <w:overflowPunct/>
                    <w:topLinePunct w:val="0"/>
                    <w:autoSpaceDE w:val="0"/>
                    <w:autoSpaceDN w:val="0"/>
                    <w:bidi w:val="0"/>
                    <w:adjustRightInd w:val="0"/>
                    <w:snapToGrid w:val="0"/>
                    <w:spacing w:line="240" w:lineRule="auto"/>
                    <w:jc w:val="left"/>
                    <w:textAlignment w:val="baseline"/>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shd w:val="clear"/>
                      <w:lang w:val="en-US" w:eastAsia="zh-CN" w:bidi="ar"/>
                    </w:rPr>
                    <w:t>3-1.【水/限制类】园区内各项水污染物排放</w:t>
                  </w:r>
                  <w:r>
                    <w:rPr>
                      <w:rFonts w:hint="default" w:ascii="Times New Roman" w:hAnsi="Times New Roman" w:eastAsia="宋体" w:cs="Times New Roman"/>
                      <w:color w:val="auto"/>
                      <w:kern w:val="0"/>
                      <w:sz w:val="21"/>
                      <w:szCs w:val="21"/>
                      <w:highlight w:val="none"/>
                      <w:lang w:val="en-US" w:eastAsia="zh-CN" w:bidi="ar"/>
                    </w:rPr>
                    <w:t>总量不得突破批复的总量管控要求，即区域内化学需氧量排放量不得超过2024t/a、氨氮排放量不得超过237t/a。</w:t>
                  </w:r>
                </w:p>
              </w:tc>
              <w:tc>
                <w:tcPr>
                  <w:tcW w:w="1391" w:type="pct"/>
                  <w:vMerge w:val="restart"/>
                  <w:tcBorders>
                    <w:right w:val="single" w:color="auto" w:sz="4" w:space="0"/>
                  </w:tcBorders>
                  <w:noWrap w:val="0"/>
                  <w:vAlign w:val="top"/>
                </w:tcPr>
                <w:p w14:paraId="11626941">
                  <w:pPr>
                    <w:keepNext w:val="0"/>
                    <w:keepLines w:val="0"/>
                    <w:pageBreakBefore w:val="0"/>
                    <w:widowControl/>
                    <w:suppressLineNumbers w:val="0"/>
                    <w:shd w:val="clear"/>
                    <w:kinsoku/>
                    <w:wordWrap/>
                    <w:overflowPunct w:val="0"/>
                    <w:topLinePunct w:val="0"/>
                    <w:autoSpaceDE w:val="0"/>
                    <w:autoSpaceDN w:val="0"/>
                    <w:bidi w:val="0"/>
                    <w:adjustRightInd/>
                    <w:snapToGrid/>
                    <w:spacing w:line="240" w:lineRule="auto"/>
                    <w:jc w:val="both"/>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本项目生活污水经三级化粪池预处理后通过市政管网排入中山市珍家山污水处理有限公司，</w:t>
                  </w:r>
                  <w:r>
                    <w:rPr>
                      <w:rFonts w:hint="eastAsia" w:ascii="宋体" w:hAnsi="宋体" w:eastAsia="宋体" w:cs="宋体"/>
                      <w:color w:val="auto"/>
                      <w:kern w:val="0"/>
                      <w:sz w:val="21"/>
                      <w:szCs w:val="21"/>
                      <w:highlight w:val="none"/>
                      <w:lang w:val="en-US" w:eastAsia="zh-CN" w:bidi="ar"/>
                    </w:rPr>
                    <w:t>项目产生的超声波废水、手工清洗废水、水样废水及喷淋废水收集后交由具有处理能力的废水机构处理，不外排，</w:t>
                  </w:r>
                  <w:r>
                    <w:rPr>
                      <w:rFonts w:hint="default" w:ascii="Times New Roman" w:hAnsi="Times New Roman" w:eastAsia="宋体" w:cs="Times New Roman"/>
                      <w:color w:val="auto"/>
                      <w:kern w:val="0"/>
                      <w:sz w:val="21"/>
                      <w:szCs w:val="21"/>
                      <w:highlight w:val="none"/>
                      <w:lang w:val="en-US" w:eastAsia="zh-CN" w:bidi="ar"/>
                    </w:rPr>
                    <w:t>不涉及废水总量</w:t>
                  </w:r>
                  <w:r>
                    <w:rPr>
                      <w:rFonts w:hint="eastAsia" w:cs="Times New Roman"/>
                      <w:color w:val="auto"/>
                      <w:kern w:val="0"/>
                      <w:sz w:val="21"/>
                      <w:szCs w:val="21"/>
                      <w:highlight w:val="none"/>
                      <w:lang w:val="en-US" w:eastAsia="zh-CN" w:bidi="ar"/>
                    </w:rPr>
                    <w:t>，不</w:t>
                  </w:r>
                  <w:r>
                    <w:rPr>
                      <w:rFonts w:hint="default" w:ascii="Times New Roman" w:hAnsi="Times New Roman" w:eastAsia="宋体" w:cs="Times New Roman"/>
                      <w:color w:val="auto"/>
                      <w:kern w:val="0"/>
                      <w:sz w:val="21"/>
                      <w:szCs w:val="21"/>
                      <w:highlight w:val="none"/>
                      <w:lang w:val="en-US" w:eastAsia="zh-CN" w:bidi="ar"/>
                    </w:rPr>
                    <w:t>会对周围水环境造成太大的影响。</w:t>
                  </w:r>
                </w:p>
              </w:tc>
              <w:tc>
                <w:tcPr>
                  <w:tcW w:w="396" w:type="pct"/>
                  <w:vMerge w:val="continue"/>
                  <w:tcBorders>
                    <w:left w:val="single" w:color="auto" w:sz="4" w:space="0"/>
                    <w:right w:val="single" w:color="auto" w:sz="4" w:space="0"/>
                  </w:tcBorders>
                  <w:noWrap w:val="0"/>
                  <w:vAlign w:val="center"/>
                </w:tcPr>
                <w:p w14:paraId="3F2B29FF">
                  <w:pPr>
                    <w:keepNext w:val="0"/>
                    <w:keepLines w:val="0"/>
                    <w:widowControl/>
                    <w:suppressLineNumbers w:val="0"/>
                    <w:shd w:val="clear"/>
                    <w:spacing w:line="240" w:lineRule="auto"/>
                    <w:jc w:val="left"/>
                    <w:rPr>
                      <w:rFonts w:hint="default" w:ascii="Times New Roman" w:hAnsi="Times New Roman" w:eastAsia="宋体" w:cs="Times New Roman"/>
                      <w:color w:val="auto"/>
                      <w:kern w:val="0"/>
                      <w:sz w:val="21"/>
                      <w:szCs w:val="21"/>
                      <w:highlight w:val="none"/>
                      <w:lang w:val="en-US" w:eastAsia="zh-CN" w:bidi="ar"/>
                    </w:rPr>
                  </w:pPr>
                </w:p>
              </w:tc>
            </w:tr>
            <w:tr w14:paraId="5C20609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5" w:hRule="atLeast"/>
              </w:trPr>
              <w:tc>
                <w:tcPr>
                  <w:tcW w:w="266" w:type="pct"/>
                  <w:vMerge w:val="continue"/>
                  <w:noWrap w:val="0"/>
                  <w:vAlign w:val="center"/>
                </w:tcPr>
                <w:p w14:paraId="23980487">
                  <w:pPr>
                    <w:keepNext w:val="0"/>
                    <w:keepLines w:val="0"/>
                    <w:widowControl/>
                    <w:suppressLineNumbers w:val="0"/>
                    <w:shd w:val="clear"/>
                    <w:spacing w:line="240" w:lineRule="auto"/>
                    <w:jc w:val="left"/>
                    <w:rPr>
                      <w:rFonts w:hint="default" w:ascii="Times New Roman" w:hAnsi="Times New Roman" w:eastAsia="宋体" w:cs="Times New Roman"/>
                      <w:color w:val="auto"/>
                      <w:kern w:val="0"/>
                      <w:sz w:val="21"/>
                      <w:szCs w:val="21"/>
                      <w:highlight w:val="none"/>
                      <w:lang w:val="en-US" w:eastAsia="zh-CN" w:bidi="ar"/>
                    </w:rPr>
                  </w:pPr>
                </w:p>
              </w:tc>
              <w:tc>
                <w:tcPr>
                  <w:tcW w:w="854" w:type="pct"/>
                  <w:vMerge w:val="continue"/>
                  <w:noWrap w:val="0"/>
                  <w:vAlign w:val="center"/>
                </w:tcPr>
                <w:p w14:paraId="4216E089">
                  <w:pPr>
                    <w:keepNext w:val="0"/>
                    <w:keepLines w:val="0"/>
                    <w:pageBreakBefore w:val="0"/>
                    <w:widowControl/>
                    <w:suppressLineNumbers w:val="0"/>
                    <w:kinsoku/>
                    <w:wordWrap w:val="0"/>
                    <w:overflowPunct/>
                    <w:topLinePunct w:val="0"/>
                    <w:autoSpaceDE w:val="0"/>
                    <w:autoSpaceDN w:val="0"/>
                    <w:bidi w:val="0"/>
                    <w:adjustRightInd w:val="0"/>
                    <w:snapToGrid w:val="0"/>
                    <w:spacing w:line="240" w:lineRule="auto"/>
                    <w:jc w:val="left"/>
                    <w:textAlignment w:val="baseline"/>
                    <w:rPr>
                      <w:rFonts w:hint="default" w:ascii="Times New Roman" w:hAnsi="Times New Roman" w:eastAsia="宋体" w:cs="Times New Roman"/>
                      <w:color w:val="auto"/>
                      <w:kern w:val="0"/>
                      <w:sz w:val="21"/>
                      <w:szCs w:val="21"/>
                      <w:highlight w:val="none"/>
                      <w:lang w:val="en-US" w:eastAsia="zh-CN" w:bidi="ar"/>
                    </w:rPr>
                  </w:pPr>
                </w:p>
              </w:tc>
              <w:tc>
                <w:tcPr>
                  <w:tcW w:w="2090" w:type="pct"/>
                  <w:noWrap w:val="0"/>
                  <w:vAlign w:val="center"/>
                </w:tcPr>
                <w:p w14:paraId="0DC34DEA">
                  <w:pPr>
                    <w:keepNext w:val="0"/>
                    <w:keepLines w:val="0"/>
                    <w:pageBreakBefore w:val="0"/>
                    <w:widowControl/>
                    <w:suppressLineNumbers w:val="0"/>
                    <w:kinsoku/>
                    <w:wordWrap w:val="0"/>
                    <w:overflowPunct/>
                    <w:topLinePunct w:val="0"/>
                    <w:autoSpaceDE w:val="0"/>
                    <w:autoSpaceDN w:val="0"/>
                    <w:bidi w:val="0"/>
                    <w:adjustRightInd w:val="0"/>
                    <w:snapToGrid w:val="0"/>
                    <w:spacing w:line="240" w:lineRule="auto"/>
                    <w:jc w:val="left"/>
                    <w:textAlignment w:val="baseline"/>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3-2.【水/综合类】持续提升园区雨污分流，加强污水排放管控，生产企业废水处理达标后排入市政管网进污水处理厂深度处理后排放。</w:t>
                  </w:r>
                </w:p>
              </w:tc>
              <w:tc>
                <w:tcPr>
                  <w:tcW w:w="1391" w:type="pct"/>
                  <w:vMerge w:val="continue"/>
                  <w:tcBorders>
                    <w:right w:val="single" w:color="auto" w:sz="4" w:space="0"/>
                  </w:tcBorders>
                  <w:noWrap w:val="0"/>
                  <w:vAlign w:val="center"/>
                </w:tcPr>
                <w:p w14:paraId="2DF366B3">
                  <w:pPr>
                    <w:keepNext w:val="0"/>
                    <w:keepLines w:val="0"/>
                    <w:widowControl/>
                    <w:suppressLineNumbers w:val="0"/>
                    <w:shd w:val="clear"/>
                    <w:spacing w:line="240" w:lineRule="auto"/>
                    <w:jc w:val="left"/>
                    <w:rPr>
                      <w:rFonts w:hint="default" w:ascii="Times New Roman" w:hAnsi="Times New Roman" w:eastAsia="宋体" w:cs="Times New Roman"/>
                      <w:color w:val="auto"/>
                      <w:kern w:val="0"/>
                      <w:sz w:val="21"/>
                      <w:szCs w:val="21"/>
                      <w:highlight w:val="none"/>
                      <w:lang w:val="en-US" w:eastAsia="zh-CN" w:bidi="ar"/>
                    </w:rPr>
                  </w:pPr>
                </w:p>
              </w:tc>
              <w:tc>
                <w:tcPr>
                  <w:tcW w:w="396" w:type="pct"/>
                  <w:vMerge w:val="continue"/>
                  <w:tcBorders>
                    <w:left w:val="single" w:color="auto" w:sz="4" w:space="0"/>
                    <w:right w:val="single" w:color="auto" w:sz="4" w:space="0"/>
                  </w:tcBorders>
                  <w:noWrap w:val="0"/>
                  <w:vAlign w:val="center"/>
                </w:tcPr>
                <w:p w14:paraId="15106314">
                  <w:pPr>
                    <w:keepNext w:val="0"/>
                    <w:keepLines w:val="0"/>
                    <w:widowControl/>
                    <w:suppressLineNumbers w:val="0"/>
                    <w:shd w:val="clear"/>
                    <w:spacing w:line="240" w:lineRule="auto"/>
                    <w:jc w:val="left"/>
                    <w:rPr>
                      <w:rFonts w:hint="default" w:ascii="Times New Roman" w:hAnsi="Times New Roman" w:eastAsia="宋体" w:cs="Times New Roman"/>
                      <w:color w:val="auto"/>
                      <w:kern w:val="0"/>
                      <w:sz w:val="21"/>
                      <w:szCs w:val="21"/>
                      <w:highlight w:val="none"/>
                      <w:lang w:val="en-US" w:eastAsia="zh-CN" w:bidi="ar"/>
                    </w:rPr>
                  </w:pPr>
                </w:p>
              </w:tc>
            </w:tr>
            <w:tr w14:paraId="4EC0078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5" w:hRule="atLeast"/>
              </w:trPr>
              <w:tc>
                <w:tcPr>
                  <w:tcW w:w="266" w:type="pct"/>
                  <w:vMerge w:val="continue"/>
                  <w:noWrap w:val="0"/>
                  <w:vAlign w:val="center"/>
                </w:tcPr>
                <w:p w14:paraId="3C3EE53E">
                  <w:pPr>
                    <w:keepNext w:val="0"/>
                    <w:keepLines w:val="0"/>
                    <w:widowControl/>
                    <w:suppressLineNumbers w:val="0"/>
                    <w:shd w:val="clear"/>
                    <w:spacing w:line="240" w:lineRule="auto"/>
                    <w:jc w:val="left"/>
                    <w:rPr>
                      <w:rFonts w:hint="default" w:ascii="Times New Roman" w:hAnsi="Times New Roman" w:eastAsia="宋体" w:cs="Times New Roman"/>
                      <w:color w:val="auto"/>
                      <w:kern w:val="0"/>
                      <w:sz w:val="21"/>
                      <w:szCs w:val="21"/>
                      <w:highlight w:val="none"/>
                      <w:lang w:val="en-US" w:eastAsia="zh-CN" w:bidi="ar"/>
                    </w:rPr>
                  </w:pPr>
                </w:p>
              </w:tc>
              <w:tc>
                <w:tcPr>
                  <w:tcW w:w="854" w:type="pct"/>
                  <w:vMerge w:val="continue"/>
                  <w:noWrap w:val="0"/>
                  <w:vAlign w:val="center"/>
                </w:tcPr>
                <w:p w14:paraId="6A27FFB5">
                  <w:pPr>
                    <w:keepNext w:val="0"/>
                    <w:keepLines w:val="0"/>
                    <w:pageBreakBefore w:val="0"/>
                    <w:widowControl/>
                    <w:suppressLineNumbers w:val="0"/>
                    <w:kinsoku/>
                    <w:wordWrap w:val="0"/>
                    <w:overflowPunct/>
                    <w:topLinePunct w:val="0"/>
                    <w:autoSpaceDE w:val="0"/>
                    <w:autoSpaceDN w:val="0"/>
                    <w:bidi w:val="0"/>
                    <w:adjustRightInd w:val="0"/>
                    <w:snapToGrid w:val="0"/>
                    <w:spacing w:line="240" w:lineRule="auto"/>
                    <w:jc w:val="left"/>
                    <w:textAlignment w:val="baseline"/>
                    <w:rPr>
                      <w:rFonts w:hint="default" w:ascii="Times New Roman" w:hAnsi="Times New Roman" w:eastAsia="宋体" w:cs="Times New Roman"/>
                      <w:color w:val="auto"/>
                      <w:kern w:val="0"/>
                      <w:sz w:val="21"/>
                      <w:szCs w:val="21"/>
                      <w:highlight w:val="none"/>
                      <w:lang w:val="en-US" w:eastAsia="zh-CN" w:bidi="ar"/>
                    </w:rPr>
                  </w:pPr>
                </w:p>
              </w:tc>
              <w:tc>
                <w:tcPr>
                  <w:tcW w:w="2090" w:type="pct"/>
                  <w:noWrap w:val="0"/>
                  <w:vAlign w:val="center"/>
                </w:tcPr>
                <w:p w14:paraId="3E29CB5A">
                  <w:pPr>
                    <w:keepNext w:val="0"/>
                    <w:keepLines w:val="0"/>
                    <w:pageBreakBefore w:val="0"/>
                    <w:widowControl/>
                    <w:suppressLineNumbers w:val="0"/>
                    <w:kinsoku/>
                    <w:wordWrap w:val="0"/>
                    <w:overflowPunct/>
                    <w:topLinePunct w:val="0"/>
                    <w:autoSpaceDE w:val="0"/>
                    <w:autoSpaceDN w:val="0"/>
                    <w:bidi w:val="0"/>
                    <w:adjustRightInd w:val="0"/>
                    <w:snapToGrid w:val="0"/>
                    <w:spacing w:line="240" w:lineRule="auto"/>
                    <w:jc w:val="left"/>
                    <w:textAlignment w:val="baseline"/>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3-3.【大气/限制类】①园区内各项大气污染物排放总量不得突破批复的总量管控要求，即区域内二氧化硫排放量不得超过755.38t/a、氮氧化物排放量不得超过638.98t/a、烟粉尘排放量不得超过404.37t/a。②按VOCs综合整治要求，开展园区内VOCs重点企业深度治理工作，严控VOCs排放量。③涉新增挥发性有机物排放的项目实行两倍削减替代。</w:t>
                  </w:r>
                </w:p>
              </w:tc>
              <w:tc>
                <w:tcPr>
                  <w:tcW w:w="1391" w:type="pct"/>
                  <w:tcBorders>
                    <w:right w:val="single" w:color="auto" w:sz="4" w:space="0"/>
                  </w:tcBorders>
                  <w:noWrap w:val="0"/>
                  <w:vAlign w:val="top"/>
                </w:tcPr>
                <w:p w14:paraId="5F2C6276">
                  <w:pPr>
                    <w:keepNext w:val="0"/>
                    <w:keepLines w:val="0"/>
                    <w:widowControl/>
                    <w:suppressLineNumbers w:val="0"/>
                    <w:jc w:val="left"/>
                    <w:rPr>
                      <w:rFonts w:hint="default" w:ascii="Times New Roman" w:hAnsi="Times New Roman" w:eastAsia="宋体" w:cs="Times New Roman"/>
                      <w:color w:val="auto"/>
                      <w:kern w:val="0"/>
                      <w:sz w:val="21"/>
                      <w:szCs w:val="21"/>
                      <w:highlight w:val="none"/>
                      <w:lang w:val="en-US" w:eastAsia="zh-CN" w:bidi="ar"/>
                    </w:rPr>
                  </w:pPr>
                  <w:r>
                    <w:rPr>
                      <w:rFonts w:hint="eastAsia" w:ascii="宋体" w:hAnsi="宋体" w:eastAsia="宋体"/>
                      <w:color w:val="auto"/>
                      <w:sz w:val="21"/>
                      <w:szCs w:val="24"/>
                      <w:highlight w:val="none"/>
                    </w:rPr>
                    <w:t>项目新增挥发性有机物（</w:t>
                  </w:r>
                  <w:r>
                    <w:rPr>
                      <w:rFonts w:hint="eastAsia" w:ascii="宋体" w:hAnsi="宋体"/>
                      <w:color w:val="auto"/>
                      <w:sz w:val="21"/>
                      <w:szCs w:val="24"/>
                      <w:highlight w:val="none"/>
                      <w:lang w:val="en-US" w:eastAsia="zh-CN"/>
                    </w:rPr>
                    <w:t>包含</w:t>
                  </w:r>
                  <w:r>
                    <w:rPr>
                      <w:rFonts w:hint="eastAsia" w:ascii="宋体" w:hAnsi="宋体" w:eastAsia="宋体"/>
                      <w:color w:val="auto"/>
                      <w:sz w:val="21"/>
                      <w:szCs w:val="24"/>
                      <w:highlight w:val="none"/>
                    </w:rPr>
                    <w:t>非甲烷总烃</w:t>
                  </w:r>
                  <w:r>
                    <w:rPr>
                      <w:rFonts w:hint="eastAsia" w:ascii="宋体" w:hAnsi="宋体"/>
                      <w:color w:val="auto"/>
                      <w:sz w:val="21"/>
                      <w:szCs w:val="24"/>
                      <w:highlight w:val="none"/>
                      <w:lang w:eastAsia="zh-CN"/>
                    </w:rPr>
                    <w:t>（</w:t>
                  </w:r>
                  <w:r>
                    <w:rPr>
                      <w:rFonts w:hint="eastAsia" w:ascii="宋体" w:hAnsi="宋体"/>
                      <w:color w:val="auto"/>
                      <w:sz w:val="21"/>
                      <w:szCs w:val="24"/>
                      <w:highlight w:val="none"/>
                      <w:lang w:val="en-US" w:eastAsia="zh-CN"/>
                    </w:rPr>
                    <w:t>TVOC</w:t>
                  </w:r>
                  <w:r>
                    <w:rPr>
                      <w:rFonts w:hint="eastAsia" w:ascii="宋体" w:hAnsi="宋体"/>
                      <w:color w:val="auto"/>
                      <w:sz w:val="21"/>
                      <w:szCs w:val="24"/>
                      <w:highlight w:val="none"/>
                      <w:lang w:eastAsia="zh-CN"/>
                    </w:rPr>
                    <w:t>）、</w:t>
                  </w:r>
                  <w:r>
                    <w:rPr>
                      <w:rFonts w:hint="eastAsia" w:ascii="宋体" w:hAnsi="宋体"/>
                      <w:color w:val="auto"/>
                      <w:sz w:val="21"/>
                      <w:szCs w:val="24"/>
                      <w:highlight w:val="none"/>
                      <w:lang w:val="en-US" w:eastAsia="zh-CN"/>
                    </w:rPr>
                    <w:t>甲醇、甲苯</w:t>
                  </w:r>
                  <w:r>
                    <w:rPr>
                      <w:rFonts w:hint="eastAsia" w:ascii="宋体" w:hAnsi="宋体" w:eastAsia="宋体"/>
                      <w:color w:val="auto"/>
                      <w:sz w:val="21"/>
                      <w:szCs w:val="24"/>
                      <w:highlight w:val="none"/>
                    </w:rPr>
                    <w:t>）</w:t>
                  </w:r>
                  <w:r>
                    <w:rPr>
                      <w:rFonts w:hint="eastAsia" w:ascii="TimesNewRomanPSMT" w:hAnsi="TimesNewRomanPSMT" w:eastAsia="宋体"/>
                      <w:color w:val="auto"/>
                      <w:sz w:val="21"/>
                      <w:szCs w:val="24"/>
                      <w:highlight w:val="none"/>
                      <w:lang w:val="en-US" w:eastAsia="zh-CN"/>
                    </w:rPr>
                    <w:t>3.1703kg</w:t>
                  </w:r>
                  <w:r>
                    <w:rPr>
                      <w:rFonts w:hint="eastAsia" w:ascii="TimesNewRomanPSMT" w:hAnsi="TimesNewRomanPSMT" w:eastAsia="TimesNewRomanPSMT"/>
                      <w:color w:val="auto"/>
                      <w:sz w:val="21"/>
                      <w:szCs w:val="24"/>
                      <w:highlight w:val="none"/>
                    </w:rPr>
                    <w:t>/a</w:t>
                  </w:r>
                  <w:r>
                    <w:rPr>
                      <w:rFonts w:hint="eastAsia" w:ascii="TimesNewRomanPSMT" w:hAnsi="TimesNewRomanPSMT" w:eastAsia="宋体"/>
                      <w:color w:val="auto"/>
                      <w:sz w:val="21"/>
                      <w:szCs w:val="24"/>
                      <w:highlight w:val="none"/>
                      <w:lang w:eastAsia="zh-CN"/>
                    </w:rPr>
                    <w:t>、</w:t>
                  </w:r>
                  <w:r>
                    <w:rPr>
                      <w:rFonts w:hint="default" w:ascii="Times New Roman" w:hAnsi="Times New Roman" w:cs="Times New Roman"/>
                      <w:color w:val="auto"/>
                      <w:szCs w:val="21"/>
                      <w:highlight w:val="none"/>
                    </w:rPr>
                    <w:t>氮氧化物</w:t>
                  </w:r>
                  <w:r>
                    <w:rPr>
                      <w:rFonts w:hint="default" w:ascii="Times New Roman" w:hAnsi="Times New Roman" w:cs="Times New Roman"/>
                      <w:color w:val="auto"/>
                      <w:sz w:val="21"/>
                      <w:szCs w:val="21"/>
                      <w:highlight w:val="none"/>
                      <w:lang w:val="en-US" w:eastAsia="zh-CN"/>
                    </w:rPr>
                    <w:t>0.</w:t>
                  </w:r>
                  <w:r>
                    <w:rPr>
                      <w:rFonts w:hint="eastAsia" w:cs="Times New Roman"/>
                      <w:color w:val="auto"/>
                      <w:sz w:val="21"/>
                      <w:szCs w:val="21"/>
                      <w:highlight w:val="none"/>
                      <w:lang w:val="en-US" w:eastAsia="zh-CN"/>
                    </w:rPr>
                    <w:t>5917kg</w:t>
                  </w:r>
                  <w:r>
                    <w:rPr>
                      <w:rFonts w:hint="default" w:ascii="Times New Roman" w:hAnsi="Times New Roman" w:cs="Times New Roman"/>
                      <w:color w:val="auto"/>
                      <w:szCs w:val="21"/>
                      <w:highlight w:val="none"/>
                    </w:rPr>
                    <w:t>/a</w:t>
                  </w:r>
                  <w:r>
                    <w:rPr>
                      <w:rFonts w:hint="eastAsia" w:ascii="宋体" w:hAnsi="宋体" w:eastAsia="宋体"/>
                      <w:color w:val="auto"/>
                      <w:sz w:val="21"/>
                      <w:szCs w:val="24"/>
                      <w:highlight w:val="none"/>
                    </w:rPr>
                    <w:t>。</w:t>
                  </w:r>
                  <w:r>
                    <w:rPr>
                      <w:rFonts w:hint="eastAsia" w:ascii="宋体" w:hAnsi="宋体" w:eastAsia="宋体" w:cs="宋体"/>
                      <w:color w:val="auto"/>
                      <w:kern w:val="0"/>
                      <w:sz w:val="21"/>
                      <w:szCs w:val="21"/>
                      <w:highlight w:val="none"/>
                      <w:lang w:val="en-US" w:eastAsia="zh-CN" w:bidi="ar"/>
                    </w:rPr>
                    <w:t>根据《中山市主要污染物排放总量控制领导小组办公室关于加强我市重点污染物排放总量指标管理的通知》，由相关管理部门对排放总量指标统一分配</w:t>
                  </w:r>
                  <w:r>
                    <w:rPr>
                      <w:rFonts w:hint="eastAsia" w:ascii="宋体" w:hAnsi="宋体" w:eastAsia="宋体" w:cs="宋体"/>
                      <w:color w:val="auto"/>
                      <w:kern w:val="0"/>
                      <w:sz w:val="20"/>
                      <w:szCs w:val="20"/>
                      <w:highlight w:val="none"/>
                      <w:lang w:val="en-US" w:eastAsia="zh-CN" w:bidi="ar"/>
                    </w:rPr>
                    <w:t>。</w:t>
                  </w:r>
                </w:p>
              </w:tc>
              <w:tc>
                <w:tcPr>
                  <w:tcW w:w="396" w:type="pct"/>
                  <w:vMerge w:val="continue"/>
                  <w:tcBorders>
                    <w:left w:val="single" w:color="auto" w:sz="4" w:space="0"/>
                    <w:right w:val="single" w:color="auto" w:sz="4" w:space="0"/>
                  </w:tcBorders>
                  <w:noWrap w:val="0"/>
                  <w:vAlign w:val="center"/>
                </w:tcPr>
                <w:p w14:paraId="7BE5A9BD">
                  <w:pPr>
                    <w:keepNext w:val="0"/>
                    <w:keepLines w:val="0"/>
                    <w:widowControl/>
                    <w:suppressLineNumbers w:val="0"/>
                    <w:shd w:val="clear"/>
                    <w:spacing w:line="240" w:lineRule="auto"/>
                    <w:jc w:val="left"/>
                    <w:rPr>
                      <w:rFonts w:hint="default" w:ascii="Times New Roman" w:hAnsi="Times New Roman" w:eastAsia="宋体" w:cs="Times New Roman"/>
                      <w:color w:val="auto"/>
                      <w:kern w:val="0"/>
                      <w:sz w:val="21"/>
                      <w:szCs w:val="21"/>
                      <w:highlight w:val="none"/>
                      <w:lang w:val="en-US" w:eastAsia="zh-CN" w:bidi="ar"/>
                    </w:rPr>
                  </w:pPr>
                </w:p>
              </w:tc>
            </w:tr>
            <w:tr w14:paraId="192ECC4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5" w:hRule="atLeast"/>
              </w:trPr>
              <w:tc>
                <w:tcPr>
                  <w:tcW w:w="266" w:type="pct"/>
                  <w:vMerge w:val="continue"/>
                  <w:noWrap w:val="0"/>
                  <w:vAlign w:val="center"/>
                </w:tcPr>
                <w:p w14:paraId="5A78D91B">
                  <w:pPr>
                    <w:keepNext w:val="0"/>
                    <w:keepLines w:val="0"/>
                    <w:widowControl/>
                    <w:suppressLineNumbers w:val="0"/>
                    <w:shd w:val="clear"/>
                    <w:spacing w:line="240" w:lineRule="auto"/>
                    <w:jc w:val="left"/>
                    <w:rPr>
                      <w:rFonts w:hint="default" w:ascii="Times New Roman" w:hAnsi="Times New Roman" w:eastAsia="宋体" w:cs="Times New Roman"/>
                      <w:color w:val="auto"/>
                      <w:kern w:val="0"/>
                      <w:sz w:val="21"/>
                      <w:szCs w:val="21"/>
                      <w:highlight w:val="none"/>
                      <w:lang w:val="en-US" w:eastAsia="zh-CN" w:bidi="ar"/>
                    </w:rPr>
                  </w:pPr>
                </w:p>
              </w:tc>
              <w:tc>
                <w:tcPr>
                  <w:tcW w:w="854" w:type="pct"/>
                  <w:vMerge w:val="continue"/>
                  <w:noWrap w:val="0"/>
                  <w:vAlign w:val="center"/>
                </w:tcPr>
                <w:p w14:paraId="494A3941">
                  <w:pPr>
                    <w:keepNext w:val="0"/>
                    <w:keepLines w:val="0"/>
                    <w:pageBreakBefore w:val="0"/>
                    <w:widowControl/>
                    <w:suppressLineNumbers w:val="0"/>
                    <w:kinsoku/>
                    <w:wordWrap w:val="0"/>
                    <w:overflowPunct/>
                    <w:topLinePunct w:val="0"/>
                    <w:autoSpaceDE w:val="0"/>
                    <w:autoSpaceDN w:val="0"/>
                    <w:bidi w:val="0"/>
                    <w:adjustRightInd w:val="0"/>
                    <w:snapToGrid w:val="0"/>
                    <w:spacing w:line="240" w:lineRule="auto"/>
                    <w:jc w:val="left"/>
                    <w:textAlignment w:val="baseline"/>
                    <w:rPr>
                      <w:rFonts w:hint="default" w:ascii="Times New Roman" w:hAnsi="Times New Roman" w:eastAsia="宋体" w:cs="Times New Roman"/>
                      <w:color w:val="auto"/>
                      <w:kern w:val="0"/>
                      <w:sz w:val="21"/>
                      <w:szCs w:val="21"/>
                      <w:highlight w:val="none"/>
                      <w:lang w:val="en-US" w:eastAsia="zh-CN" w:bidi="ar"/>
                    </w:rPr>
                  </w:pPr>
                </w:p>
              </w:tc>
              <w:tc>
                <w:tcPr>
                  <w:tcW w:w="2090" w:type="pct"/>
                  <w:noWrap w:val="0"/>
                  <w:vAlign w:val="center"/>
                </w:tcPr>
                <w:p w14:paraId="2593E91F">
                  <w:pPr>
                    <w:keepNext w:val="0"/>
                    <w:keepLines w:val="0"/>
                    <w:pageBreakBefore w:val="0"/>
                    <w:widowControl/>
                    <w:suppressLineNumbers w:val="0"/>
                    <w:kinsoku/>
                    <w:wordWrap w:val="0"/>
                    <w:overflowPunct/>
                    <w:topLinePunct w:val="0"/>
                    <w:autoSpaceDE w:val="0"/>
                    <w:autoSpaceDN w:val="0"/>
                    <w:bidi w:val="0"/>
                    <w:adjustRightInd w:val="0"/>
                    <w:snapToGrid w:val="0"/>
                    <w:spacing w:line="240" w:lineRule="auto"/>
                    <w:jc w:val="left"/>
                    <w:textAlignment w:val="baseline"/>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4-1.【土壤/综合类】①土壤环境污染重点监管工业企业应落实《工矿用地土壤环境管理办法（试行）》要求，在项目环评、设计建设、拆除设施、终止经营等环节落实好土壤和地下水污染防治工作。②重点单位建设涉及有毒有害物质的生产装置、储罐和管道，或者建设污水处理池、应急池等存在土壤污染风险的设施，应当按照国家有关标准和规范的要求，设计、建设和安装有关防腐蚀、防泄漏设施和泄漏监测装置，防止有毒有害物质污染土壤和地下水。</w:t>
                  </w:r>
                </w:p>
              </w:tc>
              <w:tc>
                <w:tcPr>
                  <w:tcW w:w="1391" w:type="pct"/>
                  <w:tcBorders>
                    <w:right w:val="single" w:color="auto" w:sz="4" w:space="0"/>
                  </w:tcBorders>
                  <w:noWrap w:val="0"/>
                  <w:vAlign w:val="center"/>
                </w:tcPr>
                <w:p w14:paraId="3C2F23E7">
                  <w:pPr>
                    <w:keepNext w:val="0"/>
                    <w:keepLines w:val="0"/>
                    <w:pageBreakBefore w:val="0"/>
                    <w:widowControl w:val="0"/>
                    <w:shd w:val="clear"/>
                    <w:kinsoku/>
                    <w:wordWrap/>
                    <w:overflowPunct w:val="0"/>
                    <w:topLinePunct w:val="0"/>
                    <w:autoSpaceDE w:val="0"/>
                    <w:autoSpaceDN w:val="0"/>
                    <w:bidi w:val="0"/>
                    <w:adjustRightInd/>
                    <w:snapToGrid/>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建设单位不属于土壤环境污染重点监管工业企业。项目按照要求设计、建设有效防止泄漏消防废水、污染雨水等扩散至外环境的拦截、收集设施，相关设施符合防渗、防漏要求；采取有效风险防范措施</w:t>
                  </w:r>
                  <w:r>
                    <w:rPr>
                      <w:rFonts w:hint="eastAsia" w:cs="Times New Roman"/>
                      <w:color w:val="auto"/>
                      <w:kern w:val="0"/>
                      <w:sz w:val="21"/>
                      <w:szCs w:val="21"/>
                      <w:highlight w:val="none"/>
                      <w:lang w:val="en-US" w:eastAsia="zh-CN" w:bidi="ar"/>
                    </w:rPr>
                    <w:t>。</w:t>
                  </w:r>
                </w:p>
              </w:tc>
              <w:tc>
                <w:tcPr>
                  <w:tcW w:w="396" w:type="pct"/>
                  <w:vMerge w:val="continue"/>
                  <w:tcBorders>
                    <w:left w:val="single" w:color="auto" w:sz="4" w:space="0"/>
                    <w:right w:val="single" w:color="auto" w:sz="4" w:space="0"/>
                  </w:tcBorders>
                  <w:noWrap w:val="0"/>
                  <w:vAlign w:val="center"/>
                </w:tcPr>
                <w:p w14:paraId="2F0E52CA">
                  <w:pPr>
                    <w:keepNext w:val="0"/>
                    <w:keepLines w:val="0"/>
                    <w:widowControl/>
                    <w:suppressLineNumbers w:val="0"/>
                    <w:shd w:val="clear"/>
                    <w:spacing w:line="240" w:lineRule="auto"/>
                    <w:jc w:val="left"/>
                    <w:rPr>
                      <w:rFonts w:hint="default" w:ascii="Times New Roman" w:hAnsi="Times New Roman" w:eastAsia="宋体" w:cs="Times New Roman"/>
                      <w:color w:val="auto"/>
                      <w:kern w:val="0"/>
                      <w:sz w:val="21"/>
                      <w:szCs w:val="21"/>
                      <w:highlight w:val="none"/>
                      <w:lang w:val="en-US" w:eastAsia="zh-CN" w:bidi="ar"/>
                    </w:rPr>
                  </w:pPr>
                </w:p>
              </w:tc>
            </w:tr>
            <w:tr w14:paraId="5EFE1B8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5" w:hRule="atLeast"/>
              </w:trPr>
              <w:tc>
                <w:tcPr>
                  <w:tcW w:w="266" w:type="pct"/>
                  <w:vMerge w:val="continue"/>
                  <w:noWrap w:val="0"/>
                  <w:vAlign w:val="center"/>
                </w:tcPr>
                <w:p w14:paraId="5720AD81">
                  <w:pPr>
                    <w:keepNext w:val="0"/>
                    <w:keepLines w:val="0"/>
                    <w:widowControl/>
                    <w:suppressLineNumbers w:val="0"/>
                    <w:shd w:val="clear"/>
                    <w:spacing w:line="240" w:lineRule="auto"/>
                    <w:jc w:val="left"/>
                    <w:rPr>
                      <w:rFonts w:hint="default" w:ascii="Times New Roman" w:hAnsi="Times New Roman" w:eastAsia="宋体" w:cs="Times New Roman"/>
                      <w:color w:val="auto"/>
                      <w:kern w:val="0"/>
                      <w:sz w:val="21"/>
                      <w:szCs w:val="21"/>
                      <w:highlight w:val="none"/>
                      <w:lang w:val="en-US" w:eastAsia="zh-CN" w:bidi="ar"/>
                    </w:rPr>
                  </w:pPr>
                </w:p>
              </w:tc>
              <w:tc>
                <w:tcPr>
                  <w:tcW w:w="854" w:type="pct"/>
                  <w:vMerge w:val="continue"/>
                  <w:noWrap w:val="0"/>
                  <w:vAlign w:val="center"/>
                </w:tcPr>
                <w:p w14:paraId="3EAABC93">
                  <w:pPr>
                    <w:keepNext w:val="0"/>
                    <w:keepLines w:val="0"/>
                    <w:pageBreakBefore w:val="0"/>
                    <w:widowControl/>
                    <w:suppressLineNumbers w:val="0"/>
                    <w:kinsoku/>
                    <w:wordWrap w:val="0"/>
                    <w:overflowPunct/>
                    <w:topLinePunct w:val="0"/>
                    <w:autoSpaceDE w:val="0"/>
                    <w:autoSpaceDN w:val="0"/>
                    <w:bidi w:val="0"/>
                    <w:adjustRightInd w:val="0"/>
                    <w:snapToGrid w:val="0"/>
                    <w:spacing w:line="240" w:lineRule="auto"/>
                    <w:jc w:val="left"/>
                    <w:textAlignment w:val="baseline"/>
                    <w:rPr>
                      <w:rFonts w:hint="default" w:ascii="Times New Roman" w:hAnsi="Times New Roman" w:eastAsia="宋体" w:cs="Times New Roman"/>
                      <w:color w:val="auto"/>
                      <w:kern w:val="0"/>
                      <w:sz w:val="21"/>
                      <w:szCs w:val="21"/>
                      <w:highlight w:val="none"/>
                      <w:lang w:val="en-US" w:eastAsia="zh-CN" w:bidi="ar"/>
                    </w:rPr>
                  </w:pPr>
                </w:p>
              </w:tc>
              <w:tc>
                <w:tcPr>
                  <w:tcW w:w="2090" w:type="pct"/>
                  <w:noWrap w:val="0"/>
                  <w:vAlign w:val="center"/>
                </w:tcPr>
                <w:p w14:paraId="6F7983E7">
                  <w:pPr>
                    <w:keepNext w:val="0"/>
                    <w:keepLines w:val="0"/>
                    <w:pageBreakBefore w:val="0"/>
                    <w:widowControl/>
                    <w:suppressLineNumbers w:val="0"/>
                    <w:kinsoku/>
                    <w:wordWrap w:val="0"/>
                    <w:overflowPunct/>
                    <w:topLinePunct w:val="0"/>
                    <w:autoSpaceDE w:val="0"/>
                    <w:autoSpaceDN w:val="0"/>
                    <w:bidi w:val="0"/>
                    <w:adjustRightInd w:val="0"/>
                    <w:snapToGrid w:val="0"/>
                    <w:spacing w:line="240" w:lineRule="auto"/>
                    <w:jc w:val="left"/>
                    <w:textAlignment w:val="baseline"/>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4-2.【其他/综合类】生产、使用、储存危险化学品或其他存在环境风险的入园企业应采取有效的风险防范措施，涉及省生态环境厅发布《突发环境事件应急预案备案行业名录（指导性意见）》所属行业类型的企业，应按要求编制突发环境事件应急预案，防止事故废水、危险化学品等直接排入周边水体。</w:t>
                  </w:r>
                </w:p>
              </w:tc>
              <w:tc>
                <w:tcPr>
                  <w:tcW w:w="1391" w:type="pct"/>
                  <w:tcBorders>
                    <w:right w:val="single" w:color="auto" w:sz="4" w:space="0"/>
                  </w:tcBorders>
                  <w:noWrap w:val="0"/>
                  <w:vAlign w:val="center"/>
                </w:tcPr>
                <w:p w14:paraId="11C404F3">
                  <w:pPr>
                    <w:keepNext w:val="0"/>
                    <w:keepLines w:val="0"/>
                    <w:widowControl/>
                    <w:suppressLineNumbers w:val="0"/>
                    <w:jc w:val="left"/>
                    <w:rPr>
                      <w:rFonts w:hint="default" w:ascii="Times New Roman" w:hAnsi="Times New Roman" w:eastAsia="宋体" w:cs="Times New Roman"/>
                      <w:color w:val="auto"/>
                      <w:kern w:val="0"/>
                      <w:sz w:val="21"/>
                      <w:szCs w:val="21"/>
                      <w:highlight w:val="none"/>
                      <w:lang w:val="en-US" w:eastAsia="zh-CN" w:bidi="ar"/>
                    </w:rPr>
                  </w:pPr>
                  <w:r>
                    <w:rPr>
                      <w:rFonts w:hint="eastAsia" w:ascii="宋体" w:hAnsi="宋体" w:eastAsia="宋体" w:cs="宋体"/>
                      <w:color w:val="auto"/>
                      <w:kern w:val="0"/>
                      <w:sz w:val="21"/>
                      <w:szCs w:val="21"/>
                      <w:highlight w:val="none"/>
                      <w:lang w:val="en-US" w:eastAsia="zh-CN" w:bidi="ar"/>
                    </w:rPr>
                    <w:t>本项目不涉及省生态环境厅发布《突发环境事件应急预案备案行业名录（指导性意见）》所属行业类型的企业。但应落实好环境风险措施，进行地面硬化处理、配套拦截措施等。</w:t>
                  </w:r>
                </w:p>
              </w:tc>
              <w:tc>
                <w:tcPr>
                  <w:tcW w:w="396" w:type="pct"/>
                  <w:vMerge w:val="continue"/>
                  <w:tcBorders>
                    <w:left w:val="single" w:color="auto" w:sz="4" w:space="0"/>
                    <w:right w:val="single" w:color="auto" w:sz="4" w:space="0"/>
                  </w:tcBorders>
                  <w:noWrap w:val="0"/>
                  <w:vAlign w:val="center"/>
                </w:tcPr>
                <w:p w14:paraId="5862C821">
                  <w:pPr>
                    <w:keepNext w:val="0"/>
                    <w:keepLines w:val="0"/>
                    <w:widowControl/>
                    <w:suppressLineNumbers w:val="0"/>
                    <w:shd w:val="clear"/>
                    <w:spacing w:line="240" w:lineRule="auto"/>
                    <w:jc w:val="left"/>
                    <w:rPr>
                      <w:rFonts w:hint="default" w:ascii="Times New Roman" w:hAnsi="Times New Roman" w:eastAsia="宋体" w:cs="Times New Roman"/>
                      <w:color w:val="auto"/>
                      <w:kern w:val="0"/>
                      <w:sz w:val="21"/>
                      <w:szCs w:val="21"/>
                      <w:highlight w:val="none"/>
                      <w:lang w:val="en-US" w:eastAsia="zh-CN" w:bidi="ar"/>
                    </w:rPr>
                  </w:pPr>
                </w:p>
              </w:tc>
            </w:tr>
            <w:tr w14:paraId="470FC35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5" w:hRule="atLeast"/>
              </w:trPr>
              <w:tc>
                <w:tcPr>
                  <w:tcW w:w="266" w:type="pct"/>
                  <w:vMerge w:val="continue"/>
                  <w:noWrap w:val="0"/>
                  <w:vAlign w:val="center"/>
                </w:tcPr>
                <w:p w14:paraId="4784E9AB">
                  <w:pPr>
                    <w:keepNext w:val="0"/>
                    <w:keepLines w:val="0"/>
                    <w:widowControl/>
                    <w:suppressLineNumbers w:val="0"/>
                    <w:shd w:val="clear"/>
                    <w:spacing w:line="240" w:lineRule="auto"/>
                    <w:jc w:val="left"/>
                    <w:rPr>
                      <w:rFonts w:hint="default" w:ascii="Times New Roman" w:hAnsi="Times New Roman" w:eastAsia="宋体" w:cs="Times New Roman"/>
                      <w:color w:val="auto"/>
                      <w:kern w:val="0"/>
                      <w:sz w:val="21"/>
                      <w:szCs w:val="21"/>
                      <w:highlight w:val="none"/>
                      <w:lang w:val="en-US" w:eastAsia="zh-CN" w:bidi="ar"/>
                    </w:rPr>
                  </w:pPr>
                </w:p>
              </w:tc>
              <w:tc>
                <w:tcPr>
                  <w:tcW w:w="854" w:type="pct"/>
                  <w:vMerge w:val="continue"/>
                  <w:noWrap w:val="0"/>
                  <w:vAlign w:val="center"/>
                </w:tcPr>
                <w:p w14:paraId="13300044">
                  <w:pPr>
                    <w:keepNext w:val="0"/>
                    <w:keepLines w:val="0"/>
                    <w:pageBreakBefore w:val="0"/>
                    <w:widowControl/>
                    <w:suppressLineNumbers w:val="0"/>
                    <w:kinsoku/>
                    <w:wordWrap w:val="0"/>
                    <w:overflowPunct/>
                    <w:topLinePunct w:val="0"/>
                    <w:autoSpaceDE w:val="0"/>
                    <w:autoSpaceDN w:val="0"/>
                    <w:bidi w:val="0"/>
                    <w:adjustRightInd w:val="0"/>
                    <w:snapToGrid w:val="0"/>
                    <w:spacing w:line="240" w:lineRule="auto"/>
                    <w:jc w:val="left"/>
                    <w:textAlignment w:val="baseline"/>
                    <w:rPr>
                      <w:rFonts w:hint="default" w:ascii="Times New Roman" w:hAnsi="Times New Roman" w:eastAsia="宋体" w:cs="Times New Roman"/>
                      <w:color w:val="auto"/>
                      <w:kern w:val="0"/>
                      <w:sz w:val="21"/>
                      <w:szCs w:val="21"/>
                      <w:highlight w:val="none"/>
                      <w:lang w:val="en-US" w:eastAsia="zh-CN" w:bidi="ar"/>
                    </w:rPr>
                  </w:pPr>
                </w:p>
              </w:tc>
              <w:tc>
                <w:tcPr>
                  <w:tcW w:w="2090" w:type="pct"/>
                  <w:noWrap w:val="0"/>
                  <w:vAlign w:val="center"/>
                </w:tcPr>
                <w:p w14:paraId="2DFB4DC9">
                  <w:pPr>
                    <w:keepNext w:val="0"/>
                    <w:keepLines w:val="0"/>
                    <w:pageBreakBefore w:val="0"/>
                    <w:widowControl/>
                    <w:suppressLineNumbers w:val="0"/>
                    <w:kinsoku/>
                    <w:wordWrap w:val="0"/>
                    <w:overflowPunct/>
                    <w:topLinePunct w:val="0"/>
                    <w:autoSpaceDE w:val="0"/>
                    <w:autoSpaceDN w:val="0"/>
                    <w:bidi w:val="0"/>
                    <w:adjustRightInd w:val="0"/>
                    <w:snapToGrid w:val="0"/>
                    <w:spacing w:line="240" w:lineRule="auto"/>
                    <w:jc w:val="left"/>
                    <w:textAlignment w:val="baseline"/>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4-3.【风险/综合类】建立企业、园区、生态环境部门三级环境风险防控联动体系，建立事故应急体系，落实有效的事故风险防范和应急措施，成立应急组织机构，加强环境应急管理，定期开展应急演练，提高区域环境风险防范能力。</w:t>
                  </w:r>
                </w:p>
              </w:tc>
              <w:tc>
                <w:tcPr>
                  <w:tcW w:w="1391" w:type="pct"/>
                  <w:tcBorders>
                    <w:right w:val="single" w:color="auto" w:sz="4" w:space="0"/>
                  </w:tcBorders>
                  <w:noWrap w:val="0"/>
                  <w:vAlign w:val="center"/>
                </w:tcPr>
                <w:p w14:paraId="327810D8">
                  <w:pPr>
                    <w:keepNext w:val="0"/>
                    <w:keepLines w:val="0"/>
                    <w:widowControl/>
                    <w:suppressLineNumbers w:val="0"/>
                    <w:jc w:val="left"/>
                    <w:rPr>
                      <w:rFonts w:hint="default" w:ascii="Times New Roman" w:hAnsi="Times New Roman" w:eastAsia="宋体" w:cs="Times New Roman"/>
                      <w:color w:val="auto"/>
                      <w:kern w:val="0"/>
                      <w:sz w:val="21"/>
                      <w:szCs w:val="21"/>
                      <w:highlight w:val="none"/>
                      <w:lang w:val="en-US" w:eastAsia="zh-CN" w:bidi="ar"/>
                    </w:rPr>
                  </w:pPr>
                  <w:r>
                    <w:rPr>
                      <w:rFonts w:hint="eastAsia" w:ascii="宋体" w:hAnsi="宋体" w:eastAsia="宋体" w:cs="宋体"/>
                      <w:color w:val="auto"/>
                      <w:kern w:val="0"/>
                      <w:sz w:val="21"/>
                      <w:szCs w:val="21"/>
                      <w:highlight w:val="none"/>
                      <w:lang w:val="en-US" w:eastAsia="zh-CN" w:bidi="ar"/>
                    </w:rPr>
                    <w:t>项目投产后应按要求成立应急组织机构。</w:t>
                  </w:r>
                </w:p>
              </w:tc>
              <w:tc>
                <w:tcPr>
                  <w:tcW w:w="396" w:type="pct"/>
                  <w:vMerge w:val="continue"/>
                  <w:tcBorders>
                    <w:left w:val="single" w:color="auto" w:sz="4" w:space="0"/>
                    <w:right w:val="single" w:color="auto" w:sz="4" w:space="0"/>
                  </w:tcBorders>
                  <w:noWrap w:val="0"/>
                  <w:vAlign w:val="center"/>
                </w:tcPr>
                <w:p w14:paraId="4804B628">
                  <w:pPr>
                    <w:keepNext w:val="0"/>
                    <w:keepLines w:val="0"/>
                    <w:widowControl/>
                    <w:suppressLineNumbers w:val="0"/>
                    <w:shd w:val="clear"/>
                    <w:spacing w:line="240" w:lineRule="auto"/>
                    <w:jc w:val="left"/>
                    <w:rPr>
                      <w:rFonts w:hint="default" w:ascii="Times New Roman" w:hAnsi="Times New Roman" w:eastAsia="宋体" w:cs="Times New Roman"/>
                      <w:color w:val="auto"/>
                      <w:kern w:val="0"/>
                      <w:sz w:val="21"/>
                      <w:szCs w:val="21"/>
                      <w:highlight w:val="none"/>
                      <w:lang w:val="en-US" w:eastAsia="zh-CN" w:bidi="ar"/>
                    </w:rPr>
                  </w:pPr>
                </w:p>
              </w:tc>
            </w:tr>
            <w:tr w14:paraId="0B096E2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66" w:type="pct"/>
                  <w:noWrap w:val="0"/>
                  <w:vAlign w:val="center"/>
                </w:tcPr>
                <w:p w14:paraId="48FCE434">
                  <w:pPr>
                    <w:shd w:val="clear"/>
                    <w:bidi w:val="0"/>
                    <w:spacing w:line="240" w:lineRule="auto"/>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7</w:t>
                  </w:r>
                </w:p>
              </w:tc>
              <w:tc>
                <w:tcPr>
                  <w:tcW w:w="854" w:type="pct"/>
                  <w:noWrap w:val="0"/>
                  <w:vAlign w:val="center"/>
                </w:tcPr>
                <w:p w14:paraId="5E766537">
                  <w:pPr>
                    <w:shd w:val="clear"/>
                    <w:bidi w:val="0"/>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《中山市地下水污染防治重点区划定方案》</w:t>
                  </w:r>
                </w:p>
              </w:tc>
              <w:tc>
                <w:tcPr>
                  <w:tcW w:w="2090" w:type="pct"/>
                  <w:noWrap w:val="0"/>
                  <w:vAlign w:val="center"/>
                </w:tcPr>
                <w:p w14:paraId="6C869422">
                  <w:pPr>
                    <w:shd w:val="clear"/>
                    <w:bidi w:val="0"/>
                    <w:spacing w:line="240" w:lineRule="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val="en-US" w:eastAsia="zh-CN"/>
                    </w:rPr>
                    <w:t>根据地下水资源保护和污染防治管理需要，将地下水污染防治重点区分为保护类区域和管控类区域</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中山市地下水污染防治重点区划定图见附图1</w:t>
                  </w:r>
                  <w:r>
                    <w:rPr>
                      <w:rFonts w:hint="eastAsia" w:cs="Times New Roman"/>
                      <w:color w:val="auto"/>
                      <w:highlight w:val="none"/>
                      <w:lang w:val="en-US" w:eastAsia="zh-CN"/>
                    </w:rPr>
                    <w:t>0</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，按照水源保护和污染防治的紧迫程度进行分级，提出差别化对策建议。划分结果为：</w:t>
                  </w:r>
                  <w:r>
                    <w:rPr>
                      <w:rFonts w:hint="default" w:ascii="Times New Roman" w:hAnsi="Times New Roman" w:eastAsia="宋体" w:cs="Times New Roman"/>
                      <w:color w:val="auto"/>
                      <w:highlight w:val="none"/>
                    </w:rPr>
                    <w:t>①中山市地下水污染防治重点区包</w:t>
                  </w:r>
                  <w:r>
                    <w:rPr>
                      <w:rFonts w:hint="default" w:ascii="Times New Roman" w:hAnsi="Times New Roman" w:eastAsia="宋体" w:cs="Times New Roman"/>
                      <w:color w:val="auto"/>
                      <w:highlight w:val="none"/>
                      <w:shd w:val="clear"/>
                      <w:lang w:val="en-US" w:eastAsia="zh-CN"/>
                    </w:rPr>
                    <w:t>括</w:t>
                  </w:r>
                  <w:r>
                    <w:rPr>
                      <w:rFonts w:hint="default" w:ascii="Times New Roman" w:hAnsi="Times New Roman" w:eastAsia="宋体" w:cs="Times New Roman"/>
                      <w:color w:val="auto"/>
                      <w:highlight w:val="none"/>
                    </w:rPr>
                    <w:t>保护类区域和管控类区域两种。</w:t>
                  </w:r>
                  <w:r>
                    <w:rPr>
                      <w:rFonts w:hint="default" w:ascii="Times New Roman" w:hAnsi="Times New Roman" w:eastAsia="宋体" w:cs="Times New Roman"/>
                      <w:color w:val="auto"/>
                      <w:highlight w:val="none"/>
                      <w:lang w:val="en-US" w:eastAsia="zh-CN"/>
                    </w:rPr>
                    <w:t>②</w:t>
                  </w:r>
                  <w:r>
                    <w:rPr>
                      <w:rFonts w:hint="default" w:ascii="Times New Roman" w:hAnsi="Times New Roman" w:eastAsia="宋体" w:cs="Times New Roman"/>
                      <w:color w:val="auto"/>
                      <w:highlight w:val="none"/>
                    </w:rPr>
                    <w:t>保护类区域</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中山市无地下水型饮用水水源，有8个特殊地下水资源区域，其中6个为在产矿泉水企业，2个为地热田地热水区域。在产矿泉水企业包括</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南区文笔山饮用天然矿泉水、五桂山镇双合山饮用天然矿泉水、富山清泉</w:t>
                  </w:r>
                  <w:r>
                    <w:rPr>
                      <w:rFonts w:hint="default" w:ascii="Times New Roman" w:hAnsi="Times New Roman" w:eastAsia="宋体" w:cs="Times New Roman"/>
                      <w:color w:val="auto"/>
                      <w:highlight w:val="none"/>
                      <w:lang w:eastAsia="zh-CN"/>
                    </w:rPr>
                    <w:t>饮用</w:t>
                  </w:r>
                  <w:r>
                    <w:rPr>
                      <w:rFonts w:hint="default" w:ascii="Times New Roman" w:hAnsi="Times New Roman" w:eastAsia="宋体" w:cs="Times New Roman"/>
                      <w:color w:val="auto"/>
                      <w:highlight w:val="none"/>
                    </w:rPr>
                    <w:t>天然矿泉水、五桂山镇桂南饮用天然矿泉水、南朗镇翠宝饮用天然矿泉水，三</w:t>
                  </w:r>
                  <w:r>
                    <w:rPr>
                      <w:rFonts w:hint="eastAsia" w:cs="Times New Roman"/>
                      <w:color w:val="auto"/>
                      <w:highlight w:val="none"/>
                      <w:lang w:val="en-US" w:eastAsia="zh-CN"/>
                    </w:rPr>
                    <w:t>乡</w:t>
                  </w:r>
                  <w:r>
                    <w:rPr>
                      <w:rFonts w:hint="default" w:ascii="Times New Roman" w:hAnsi="Times New Roman" w:eastAsia="宋体" w:cs="Times New Roman"/>
                      <w:color w:val="auto"/>
                      <w:highlight w:val="none"/>
                    </w:rPr>
                    <w:t>镇五龙饮用天然矿泉水</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2个地热田地热水区域包括虎池围地热田地热水、三</w:t>
                  </w:r>
                  <w:r>
                    <w:rPr>
                      <w:rFonts w:hint="eastAsia" w:cs="Times New Roman"/>
                      <w:color w:val="auto"/>
                      <w:highlight w:val="none"/>
                      <w:lang w:val="en-US" w:eastAsia="zh-CN"/>
                    </w:rPr>
                    <w:t>乡</w:t>
                  </w:r>
                  <w:r>
                    <w:rPr>
                      <w:rFonts w:hint="default" w:ascii="Times New Roman" w:hAnsi="Times New Roman" w:eastAsia="宋体" w:cs="Times New Roman"/>
                      <w:color w:val="auto"/>
                      <w:highlight w:val="none"/>
                    </w:rPr>
                    <w:t>镇雍陌(中山温泉)地热田热矿水。将8个特殊地下水资源区域保护区纳入中山市地下水污染防治重点区中的保护类区域，分区类型为</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其他</w:t>
                  </w:r>
                  <w:r>
                    <w:rPr>
                      <w:rFonts w:hint="default" w:ascii="Times New Roman" w:hAnsi="Times New Roman" w:eastAsia="宋体" w:cs="Times New Roman"/>
                      <w:color w:val="auto"/>
                      <w:highlight w:val="none"/>
                      <w:lang w:eastAsia="zh-CN"/>
                    </w:rPr>
                    <w:t>”。</w:t>
                  </w:r>
                </w:p>
                <w:p w14:paraId="56BAF6CD">
                  <w:pPr>
                    <w:shd w:val="clear"/>
                    <w:bidi w:val="0"/>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③</w:t>
                  </w:r>
                  <w:r>
                    <w:rPr>
                      <w:rFonts w:hint="default" w:ascii="Times New Roman" w:hAnsi="Times New Roman" w:eastAsia="宋体" w:cs="Times New Roman"/>
                      <w:color w:val="auto"/>
                      <w:highlight w:val="none"/>
                    </w:rPr>
                    <w:t>管控类区域</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基于中山市地下水功能价值评估、地下水脆弱性评估结果，扣除保护类区域，划定管控类区域，并根据中山市地下水污染源荷载评估结果划分一级管控区和二级管控区。中山市地下水污染防治管控类区域内无污染源高荷载区域，故管控类区域均为二级管控区。主要分布于五桂山街道、南区街道、东区街道和三</w:t>
                  </w:r>
                  <w:r>
                    <w:rPr>
                      <w:rFonts w:hint="eastAsia" w:cs="Times New Roman"/>
                      <w:color w:val="auto"/>
                      <w:highlight w:val="none"/>
                      <w:lang w:val="en-US" w:eastAsia="zh-CN"/>
                    </w:rPr>
                    <w:t>乡</w:t>
                  </w:r>
                  <w:r>
                    <w:rPr>
                      <w:rFonts w:hint="default" w:ascii="Times New Roman" w:hAnsi="Times New Roman" w:eastAsia="宋体" w:cs="Times New Roman"/>
                      <w:color w:val="auto"/>
                      <w:highlight w:val="none"/>
                    </w:rPr>
                    <w:t>镇。</w:t>
                  </w:r>
                </w:p>
                <w:p w14:paraId="7BFB9D96">
                  <w:pPr>
                    <w:shd w:val="clear"/>
                    <w:bidi w:val="0"/>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④</w:t>
                  </w:r>
                  <w:r>
                    <w:rPr>
                      <w:rFonts w:hint="default" w:ascii="Times New Roman" w:hAnsi="Times New Roman" w:eastAsia="宋体" w:cs="Times New Roman"/>
                      <w:color w:val="auto"/>
                      <w:highlight w:val="none"/>
                    </w:rPr>
                    <w:t>一般区</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一般区为保护类区域和管控类区域以外的区域。按照相关法律法规、管理办法等开展常态化管理。</w:t>
                  </w:r>
                </w:p>
              </w:tc>
              <w:tc>
                <w:tcPr>
                  <w:tcW w:w="1391" w:type="pct"/>
                  <w:noWrap w:val="0"/>
                  <w:vAlign w:val="center"/>
                </w:tcPr>
                <w:p w14:paraId="6ADB2683">
                  <w:pPr>
                    <w:shd w:val="clear"/>
                    <w:bidi w:val="0"/>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本项目位于</w:t>
                  </w:r>
                  <w:r>
                    <w:rPr>
                      <w:rFonts w:hint="eastAsia" w:cs="Times New Roman"/>
                      <w:color w:val="auto"/>
                      <w:sz w:val="21"/>
                      <w:szCs w:val="21"/>
                      <w:highlight w:val="none"/>
                      <w:lang w:val="en-US" w:eastAsia="zh-CN"/>
                    </w:rPr>
                    <w:t>中山市火炬开发区沙边路10号新势力工业园A栋厂房八楼801A区</w:t>
                  </w:r>
                  <w:r>
                    <w:rPr>
                      <w:rFonts w:hint="default" w:ascii="Times New Roman" w:hAnsi="Times New Roman" w:eastAsia="宋体" w:cs="Times New Roman"/>
                      <w:color w:val="auto"/>
                      <w:highlight w:val="none"/>
                      <w:lang w:val="en-US" w:eastAsia="zh-CN"/>
                    </w:rPr>
                    <w:t>，为一般区</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项目不使用地下水，且厂区地面全硬化，</w:t>
                  </w:r>
                  <w:r>
                    <w:rPr>
                      <w:rFonts w:hint="eastAsia" w:cs="Times New Roman"/>
                      <w:color w:val="auto"/>
                      <w:highlight w:val="none"/>
                      <w:lang w:val="en-US" w:eastAsia="zh-CN"/>
                    </w:rPr>
                    <w:t>建成后，按照相关法律法规、管理办法等开展常态化管理，</w:t>
                  </w:r>
                  <w:r>
                    <w:rPr>
                      <w:rFonts w:hint="default" w:ascii="Times New Roman" w:hAnsi="Times New Roman" w:eastAsia="宋体" w:cs="Times New Roman"/>
                      <w:color w:val="auto"/>
                      <w:highlight w:val="none"/>
                      <w:lang w:val="en-US" w:eastAsia="zh-CN"/>
                    </w:rPr>
                    <w:t>因此项目建设符合相关要求。</w:t>
                  </w:r>
                </w:p>
              </w:tc>
              <w:tc>
                <w:tcPr>
                  <w:tcW w:w="396" w:type="pct"/>
                  <w:tcBorders>
                    <w:top w:val="single" w:color="auto" w:sz="4" w:space="0"/>
                  </w:tcBorders>
                  <w:noWrap w:val="0"/>
                  <w:vAlign w:val="center"/>
                </w:tcPr>
                <w:p w14:paraId="1275245B">
                  <w:pPr>
                    <w:shd w:val="clear"/>
                    <w:bidi w:val="0"/>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符合</w:t>
                  </w:r>
                </w:p>
              </w:tc>
            </w:tr>
            <w:tr w14:paraId="26B1327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66" w:type="pct"/>
                  <w:noWrap w:val="0"/>
                  <w:vAlign w:val="center"/>
                </w:tcPr>
                <w:p w14:paraId="53759E39">
                  <w:pPr>
                    <w:shd w:val="clear"/>
                    <w:bidi w:val="0"/>
                    <w:spacing w:line="240" w:lineRule="auto"/>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8</w:t>
                  </w:r>
                </w:p>
              </w:tc>
              <w:tc>
                <w:tcPr>
                  <w:tcW w:w="854" w:type="pct"/>
                  <w:noWrap w:val="0"/>
                  <w:vAlign w:val="center"/>
                </w:tcPr>
                <w:p w14:paraId="7F67F75F">
                  <w:pPr>
                    <w:shd w:val="clear"/>
                    <w:bidi w:val="0"/>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《中山市环保共性产业园规划》（2023）</w:t>
                  </w:r>
                </w:p>
              </w:tc>
              <w:tc>
                <w:tcPr>
                  <w:tcW w:w="2090" w:type="pct"/>
                  <w:noWrap w:val="0"/>
                  <w:vAlign w:val="center"/>
                </w:tcPr>
                <w:p w14:paraId="3432A2B8">
                  <w:pPr>
                    <w:shd w:val="clear"/>
                    <w:bidi w:val="0"/>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10.2完善政策支持</w:t>
                  </w:r>
                </w:p>
                <w:p w14:paraId="623FF760">
                  <w:pPr>
                    <w:shd w:val="clear"/>
                    <w:bidi w:val="0"/>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本规划实施后，按重点项目计划推进环保共性产业园、共性工厂建设，镇内其他区域原则上不再审批或备案环保共性产业园核心区、共性工厂涉及的共性工序的规模以下建设项目，规模以下建设项目是指产值小于2千万元/年的项目；对于符合镇街产业布局等相关规划、环保手续齐全、清洁生产达到国内或国际先进水平的规模以下技改、扩建、搬迁建设项目，经镇街政府同意后，方可向生态环境部门报批或备案项目建设。</w:t>
                  </w:r>
                </w:p>
                <w:p w14:paraId="0A5D63AC">
                  <w:pPr>
                    <w:shd w:val="clear"/>
                    <w:bidi w:val="0"/>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根据文件，中山港街道近期(2022-2025)年没有环保共性工厂、共性产业园规划；中远期(2026—2035年)规划发展中山健康科技产业基地环保共性产业园，规划发展产业为健康医药，主要生产工艺为健康医药。</w:t>
                  </w:r>
                </w:p>
              </w:tc>
              <w:tc>
                <w:tcPr>
                  <w:tcW w:w="1391" w:type="pct"/>
                  <w:noWrap w:val="0"/>
                  <w:vAlign w:val="center"/>
                </w:tcPr>
                <w:p w14:paraId="6C9B3588">
                  <w:pPr>
                    <w:keepNext w:val="0"/>
                    <w:keepLines w:val="0"/>
                    <w:widowControl/>
                    <w:suppressLineNumbers w:val="0"/>
                    <w:shd w:val="clear"/>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本项目位于中山市火炬开发区沙边路10号新势力工业园A栋厂房八楼801</w:t>
                  </w:r>
                  <w:r>
                    <w:rPr>
                      <w:rFonts w:hint="eastAsia" w:cs="Times New Roman"/>
                      <w:color w:val="auto"/>
                      <w:highlight w:val="none"/>
                      <w:lang w:val="en-US" w:eastAsia="zh-CN"/>
                    </w:rPr>
                    <w:t>A</w:t>
                  </w:r>
                  <w:r>
                    <w:rPr>
                      <w:rFonts w:hint="default" w:ascii="Times New Roman" w:hAnsi="Times New Roman" w:eastAsia="宋体" w:cs="Times New Roman"/>
                      <w:color w:val="auto"/>
                      <w:highlight w:val="none"/>
                      <w:lang w:val="en-US" w:eastAsia="zh-CN"/>
                    </w:rPr>
                    <w:t>区，国民经济行业类别为</w:t>
                  </w:r>
                  <w:r>
                    <w:rPr>
                      <w:rFonts w:hint="default" w:ascii="Times New Roman" w:hAnsi="Times New Roman" w:eastAsia="宋体" w:cs="Times New Roman"/>
                      <w:color w:val="auto"/>
                      <w:sz w:val="21"/>
                      <w:szCs w:val="21"/>
                      <w:highlight w:val="none"/>
                      <w:lang w:val="en-US" w:eastAsia="zh-CN"/>
                    </w:rPr>
                    <w:t>M7452检测服务</w:t>
                  </w:r>
                  <w:r>
                    <w:rPr>
                      <w:rFonts w:hint="default" w:ascii="Times New Roman" w:hAnsi="Times New Roman" w:eastAsia="宋体" w:cs="Times New Roman"/>
                      <w:color w:val="auto"/>
                      <w:highlight w:val="none"/>
                      <w:lang w:val="en-US" w:eastAsia="zh-CN"/>
                    </w:rPr>
                    <w:t>，主要工序为</w:t>
                  </w:r>
                  <w:r>
                    <w:rPr>
                      <w:rFonts w:hint="eastAsia" w:cs="Times New Roman"/>
                      <w:color w:val="auto"/>
                      <w:highlight w:val="none"/>
                      <w:lang w:val="en-US" w:eastAsia="zh-CN"/>
                    </w:rPr>
                    <w:t>检测</w:t>
                  </w:r>
                  <w:r>
                    <w:rPr>
                      <w:rFonts w:hint="default" w:ascii="Times New Roman" w:hAnsi="Times New Roman" w:eastAsia="宋体" w:cs="Times New Roman"/>
                      <w:color w:val="auto"/>
                      <w:highlight w:val="none"/>
                      <w:lang w:val="en-US" w:eastAsia="zh-CN"/>
                    </w:rPr>
                    <w:t>，</w:t>
                  </w:r>
                  <w:r>
                    <w:rPr>
                      <w:rFonts w:hint="default" w:ascii="Times New Roman" w:hAnsi="Times New Roman" w:eastAsia="宋体" w:cs="Times New Roman"/>
                      <w:color w:val="auto"/>
                      <w:kern w:val="0"/>
                      <w:sz w:val="21"/>
                      <w:szCs w:val="21"/>
                      <w:highlight w:val="none"/>
                      <w:lang w:eastAsia="zh-CN"/>
                    </w:rPr>
                    <w:t>主要从事环境检测技术服务</w:t>
                  </w:r>
                  <w:r>
                    <w:rPr>
                      <w:rFonts w:hint="eastAsia" w:cs="Times New Roman"/>
                      <w:color w:val="auto"/>
                      <w:kern w:val="0"/>
                      <w:sz w:val="21"/>
                      <w:szCs w:val="21"/>
                      <w:highlight w:val="none"/>
                      <w:lang w:val="en-US" w:eastAsia="zh-CN"/>
                    </w:rPr>
                    <w:t>，</w:t>
                  </w:r>
                  <w:r>
                    <w:rPr>
                      <w:rFonts w:hint="default" w:ascii="Times New Roman" w:hAnsi="Times New Roman" w:eastAsia="宋体" w:cs="Times New Roman"/>
                      <w:color w:val="auto"/>
                      <w:highlight w:val="none"/>
                      <w:lang w:val="en-US" w:eastAsia="zh-CN"/>
                    </w:rPr>
                    <w:t>不涉及共性工序，因此项目建设符合《中山市环保共性产业园规划》（2023）相关要求，可在共性产业园外建设</w:t>
                  </w:r>
                </w:p>
              </w:tc>
              <w:tc>
                <w:tcPr>
                  <w:tcW w:w="396" w:type="pct"/>
                  <w:noWrap w:val="0"/>
                  <w:vAlign w:val="center"/>
                </w:tcPr>
                <w:p w14:paraId="3DC1F508">
                  <w:pPr>
                    <w:shd w:val="clear"/>
                    <w:bidi w:val="0"/>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符合</w:t>
                  </w:r>
                </w:p>
              </w:tc>
            </w:tr>
            <w:tr w14:paraId="606A378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66" w:type="pct"/>
                  <w:noWrap w:val="0"/>
                  <w:vAlign w:val="center"/>
                </w:tcPr>
                <w:p w14:paraId="50B49BD8">
                  <w:pPr>
                    <w:shd w:val="clear"/>
                    <w:bidi w:val="0"/>
                    <w:spacing w:line="240" w:lineRule="auto"/>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9</w:t>
                  </w:r>
                </w:p>
              </w:tc>
              <w:tc>
                <w:tcPr>
                  <w:tcW w:w="854" w:type="pct"/>
                  <w:noWrap w:val="0"/>
                  <w:vAlign w:val="center"/>
                </w:tcPr>
                <w:p w14:paraId="4DE2CE64">
                  <w:pPr>
                    <w:shd w:val="clear"/>
                    <w:bidi w:val="0"/>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中山市自然资源一图通</w:t>
                  </w:r>
                </w:p>
              </w:tc>
              <w:tc>
                <w:tcPr>
                  <w:tcW w:w="2090" w:type="pct"/>
                  <w:noWrap w:val="0"/>
                  <w:vAlign w:val="center"/>
                </w:tcPr>
                <w:p w14:paraId="1E18D689">
                  <w:pPr>
                    <w:shd w:val="clear"/>
                    <w:bidi w:val="0"/>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w:t>
                  </w:r>
                </w:p>
              </w:tc>
              <w:tc>
                <w:tcPr>
                  <w:tcW w:w="1391" w:type="pct"/>
                  <w:noWrap w:val="0"/>
                  <w:vAlign w:val="center"/>
                </w:tcPr>
                <w:p w14:paraId="34D72525">
                  <w:pPr>
                    <w:shd w:val="clear"/>
                    <w:bidi w:val="0"/>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项目选址属于一类工业用地（见附图3）。</w:t>
                  </w:r>
                </w:p>
              </w:tc>
              <w:tc>
                <w:tcPr>
                  <w:tcW w:w="396" w:type="pct"/>
                  <w:noWrap w:val="0"/>
                  <w:vAlign w:val="center"/>
                </w:tcPr>
                <w:p w14:paraId="2D8ACC94">
                  <w:pPr>
                    <w:shd w:val="clear"/>
                    <w:bidi w:val="0"/>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符合</w:t>
                  </w:r>
                </w:p>
              </w:tc>
            </w:tr>
          </w:tbl>
          <w:p w14:paraId="2814C6AF">
            <w:pPr>
              <w:shd w:val="clear"/>
              <w:spacing w:line="240" w:lineRule="auto"/>
              <w:outlineLvl w:val="9"/>
              <w:rPr>
                <w:rFonts w:hint="default" w:ascii="Times New Roman" w:hAnsi="Times New Roman" w:eastAsia="宋体" w:cs="Times New Roman"/>
                <w:color w:val="auto"/>
                <w:sz w:val="30"/>
                <w:highlight w:val="none"/>
                <w:vertAlign w:val="baseline"/>
              </w:rPr>
            </w:pPr>
          </w:p>
        </w:tc>
      </w:tr>
    </w:tbl>
    <w:p w14:paraId="5D5AFBFE">
      <w:pPr>
        <w:shd w:val="clear"/>
        <w:rPr>
          <w:rFonts w:hint="default" w:ascii="Times New Roman" w:hAnsi="Times New Roman" w:eastAsia="宋体" w:cs="Times New Roman"/>
          <w:color w:val="auto"/>
          <w:sz w:val="21"/>
          <w:szCs w:val="21"/>
          <w:highlight w:val="none"/>
        </w:rPr>
        <w:sectPr>
          <w:footerReference r:id="rId7" w:type="default"/>
          <w:pgSz w:w="11906" w:h="16839"/>
          <w:pgMar w:top="1431" w:right="1418" w:bottom="1185" w:left="1482" w:header="0" w:footer="922" w:gutter="0"/>
          <w:pgNumType w:fmt="decimal"/>
          <w:cols w:space="720" w:num="1"/>
        </w:sectPr>
      </w:pPr>
    </w:p>
    <w:p w14:paraId="2904DF72">
      <w:pPr>
        <w:pStyle w:val="3"/>
        <w:shd w:val="clear"/>
        <w:bidi w:val="0"/>
        <w:jc w:val="center"/>
        <w:rPr>
          <w:rFonts w:hint="default" w:ascii="Times New Roman" w:hAnsi="Times New Roman" w:eastAsia="宋体" w:cs="Times New Roman"/>
          <w:color w:val="auto"/>
          <w:highlight w:val="none"/>
        </w:rPr>
      </w:pPr>
      <w:bookmarkStart w:id="6" w:name="_Toc1559"/>
      <w:r>
        <w:rPr>
          <w:rFonts w:hint="default" w:ascii="Times New Roman" w:hAnsi="Times New Roman" w:eastAsia="宋体" w:cs="Times New Roman"/>
          <w:color w:val="auto"/>
          <w:sz w:val="32"/>
          <w:szCs w:val="32"/>
          <w:highlight w:val="none"/>
        </w:rPr>
        <w:t>二、建设项目工程分析</w:t>
      </w:r>
      <w:bookmarkEnd w:id="6"/>
    </w:p>
    <w:tbl>
      <w:tblPr>
        <w:tblStyle w:val="33"/>
        <w:tblpPr w:leftFromText="180" w:rightFromText="180" w:vertAnchor="text" w:horzAnchor="page" w:tblpX="1689" w:tblpY="190"/>
        <w:tblOverlap w:val="never"/>
        <w:tblW w:w="0" w:type="auto"/>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24"/>
        <w:gridCol w:w="8636"/>
      </w:tblGrid>
      <w:tr w14:paraId="1476DF1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0" w:hRule="atLeast"/>
        </w:trPr>
        <w:tc>
          <w:tcPr>
            <w:tcW w:w="588" w:type="dxa"/>
            <w:noWrap w:val="0"/>
            <w:vAlign w:val="center"/>
          </w:tcPr>
          <w:p w14:paraId="42D1FE1E">
            <w:pPr>
              <w:pStyle w:val="30"/>
              <w:shd w:val="clear"/>
              <w:adjustRightInd w:val="0"/>
              <w:snapToGrid w:val="0"/>
              <w:spacing w:before="0" w:beforeAutospacing="0" w:after="0" w:afterAutospacing="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建设内容</w:t>
            </w:r>
          </w:p>
        </w:tc>
        <w:tc>
          <w:tcPr>
            <w:tcW w:w="8396" w:type="dxa"/>
            <w:noWrap w:val="0"/>
            <w:vAlign w:val="top"/>
          </w:tcPr>
          <w:p w14:paraId="4B169683">
            <w:pPr>
              <w:keepNext w:val="0"/>
              <w:keepLines w:val="0"/>
              <w:pageBreakBefore w:val="0"/>
              <w:suppressLineNumbers w:val="0"/>
              <w:shd w:val="clear"/>
              <w:kinsoku/>
              <w:bidi w:val="0"/>
              <w:spacing w:before="0" w:beforeAutospacing="0" w:after="0" w:afterAutospacing="0" w:line="360" w:lineRule="auto"/>
              <w:ind w:left="0" w:right="0" w:firstLine="482" w:firstLineChars="200"/>
              <w:textAlignment w:val="baseline"/>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rPr>
              <w:t>一、环评类别判定说明</w:t>
            </w:r>
          </w:p>
          <w:p w14:paraId="15D83EA5">
            <w:pPr>
              <w:keepNext/>
              <w:keepLines/>
              <w:pageBreakBefore w:val="0"/>
              <w:widowControl w:val="0"/>
              <w:numPr>
                <w:ilvl w:val="0"/>
                <w:numId w:val="0"/>
              </w:numPr>
              <w:suppressLineNumbers w:val="0"/>
              <w:shd w:val="clear"/>
              <w:kinsoku/>
              <w:bidi w:val="0"/>
              <w:spacing w:before="0" w:beforeAutospacing="0" w:after="0" w:afterAutospacing="0" w:line="360" w:lineRule="auto"/>
              <w:ind w:left="420" w:leftChars="0" w:right="0" w:rightChars="0" w:hanging="420" w:firstLineChars="0"/>
              <w:jc w:val="center"/>
              <w:textAlignment w:val="baseline"/>
              <w:outlineLvl w:val="7"/>
              <w:rPr>
                <w:rFonts w:hint="default" w:ascii="Times New Roman" w:hAnsi="Times New Roman" w:eastAsia="宋体" w:cs="Times New Roman"/>
                <w:b/>
                <w:color w:val="auto"/>
                <w:kern w:val="2"/>
                <w:sz w:val="24"/>
                <w:szCs w:val="24"/>
                <w:highlight w:val="none"/>
                <w:lang w:val="zh-CN" w:eastAsia="zh-CN" w:bidi="ar-SA"/>
              </w:rPr>
            </w:pPr>
            <w:r>
              <w:rPr>
                <w:rFonts w:hint="default" w:ascii="Times New Roman" w:hAnsi="Times New Roman" w:eastAsia="宋体" w:cs="Times New Roman"/>
                <w:b/>
                <w:color w:val="auto"/>
                <w:kern w:val="2"/>
                <w:sz w:val="24"/>
                <w:szCs w:val="24"/>
                <w:highlight w:val="none"/>
                <w:lang w:val="zh-CN" w:eastAsia="zh-CN" w:bidi="ar-SA"/>
              </w:rPr>
              <w:t>表2环评类别判定表</w:t>
            </w:r>
          </w:p>
          <w:tbl>
            <w:tblPr>
              <w:tblStyle w:val="33"/>
              <w:tblW w:w="4744" w:type="pct"/>
              <w:tblInd w:w="23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1247"/>
              <w:gridCol w:w="1716"/>
              <w:gridCol w:w="755"/>
              <w:gridCol w:w="2572"/>
              <w:gridCol w:w="953"/>
              <w:gridCol w:w="736"/>
            </w:tblGrid>
            <w:tr w14:paraId="4E5F23A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73" w:hRule="atLeast"/>
              </w:trPr>
              <w:tc>
                <w:tcPr>
                  <w:tcW w:w="781" w:type="pct"/>
                  <w:noWrap w:val="0"/>
                  <w:vAlign w:val="center"/>
                </w:tcPr>
                <w:p w14:paraId="16A446CD">
                  <w:pPr>
                    <w:shd w:val="clear"/>
                    <w:bidi w:val="0"/>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国民经济行业类别</w:t>
                  </w:r>
                </w:p>
              </w:tc>
              <w:tc>
                <w:tcPr>
                  <w:tcW w:w="1075" w:type="pct"/>
                  <w:noWrap w:val="0"/>
                  <w:vAlign w:val="center"/>
                </w:tcPr>
                <w:p w14:paraId="784AF18C">
                  <w:pPr>
                    <w:shd w:val="clear"/>
                    <w:bidi w:val="0"/>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产品产能</w:t>
                  </w:r>
                </w:p>
              </w:tc>
              <w:tc>
                <w:tcPr>
                  <w:tcW w:w="473" w:type="pct"/>
                  <w:noWrap w:val="0"/>
                  <w:vAlign w:val="center"/>
                </w:tcPr>
                <w:p w14:paraId="27B4E6D6">
                  <w:pPr>
                    <w:shd w:val="clear"/>
                    <w:bidi w:val="0"/>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工艺</w:t>
                  </w:r>
                </w:p>
              </w:tc>
              <w:tc>
                <w:tcPr>
                  <w:tcW w:w="1611" w:type="pct"/>
                  <w:noWrap w:val="0"/>
                  <w:vAlign w:val="center"/>
                </w:tcPr>
                <w:p w14:paraId="1AE3D334">
                  <w:pPr>
                    <w:shd w:val="clear"/>
                    <w:bidi w:val="0"/>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对应名录的条款</w:t>
                  </w:r>
                </w:p>
              </w:tc>
              <w:tc>
                <w:tcPr>
                  <w:tcW w:w="597" w:type="pct"/>
                  <w:noWrap w:val="0"/>
                  <w:vAlign w:val="center"/>
                </w:tcPr>
                <w:p w14:paraId="06338476">
                  <w:pPr>
                    <w:shd w:val="clear"/>
                    <w:bidi w:val="0"/>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敏感区</w:t>
                  </w:r>
                </w:p>
              </w:tc>
              <w:tc>
                <w:tcPr>
                  <w:tcW w:w="461" w:type="pct"/>
                  <w:noWrap w:val="0"/>
                  <w:vAlign w:val="center"/>
                </w:tcPr>
                <w:p w14:paraId="02B3950F">
                  <w:pPr>
                    <w:shd w:val="clear"/>
                    <w:bidi w:val="0"/>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类别</w:t>
                  </w:r>
                </w:p>
              </w:tc>
            </w:tr>
            <w:tr w14:paraId="66CB8EB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497" w:hRule="atLeast"/>
              </w:trPr>
              <w:tc>
                <w:tcPr>
                  <w:tcW w:w="781" w:type="pct"/>
                  <w:noWrap w:val="0"/>
                  <w:vAlign w:val="center"/>
                </w:tcPr>
                <w:p w14:paraId="2E87E7DC">
                  <w:pPr>
                    <w:keepNext w:val="0"/>
                    <w:keepLines w:val="0"/>
                    <w:widowControl/>
                    <w:suppressLineNumbers w:val="0"/>
                    <w:shd w:val="clear"/>
                    <w:spacing w:line="240" w:lineRule="auto"/>
                    <w:jc w:val="center"/>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lang w:val="en-US" w:eastAsia="zh-CN"/>
                    </w:rPr>
                    <w:t>M7452检测服务</w:t>
                  </w:r>
                </w:p>
              </w:tc>
              <w:tc>
                <w:tcPr>
                  <w:tcW w:w="1075" w:type="pct"/>
                  <w:noWrap w:val="0"/>
                  <w:vAlign w:val="center"/>
                </w:tcPr>
                <w:p w14:paraId="344CF4F7">
                  <w:pPr>
                    <w:shd w:val="clea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年编制800份环境检测报告</w:t>
                  </w:r>
                </w:p>
              </w:tc>
              <w:tc>
                <w:tcPr>
                  <w:tcW w:w="473" w:type="pct"/>
                  <w:noWrap w:val="0"/>
                  <w:vAlign w:val="center"/>
                </w:tcPr>
                <w:p w14:paraId="7C7730D2">
                  <w:pPr>
                    <w:shd w:val="clea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检测</w:t>
                  </w:r>
                </w:p>
              </w:tc>
              <w:tc>
                <w:tcPr>
                  <w:tcW w:w="1611" w:type="pct"/>
                  <w:noWrap w:val="0"/>
                  <w:vAlign w:val="center"/>
                </w:tcPr>
                <w:p w14:paraId="679324C3">
                  <w:pPr>
                    <w:keepNext w:val="0"/>
                    <w:keepLines w:val="0"/>
                    <w:widowControl/>
                    <w:suppressLineNumbers w:val="0"/>
                    <w:shd w:val="clea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color w:val="auto"/>
                      <w:highlight w:val="none"/>
                    </w:rPr>
                    <w:t>四十五、研究和试验发展-98专业实验室、研发（试验）基地</w:t>
                  </w:r>
                </w:p>
              </w:tc>
              <w:tc>
                <w:tcPr>
                  <w:tcW w:w="597" w:type="pct"/>
                  <w:noWrap w:val="0"/>
                  <w:vAlign w:val="center"/>
                </w:tcPr>
                <w:p w14:paraId="5FE39AF8">
                  <w:pPr>
                    <w:shd w:val="clear"/>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无</w:t>
                  </w:r>
                </w:p>
              </w:tc>
              <w:tc>
                <w:tcPr>
                  <w:tcW w:w="461" w:type="pct"/>
                  <w:noWrap w:val="0"/>
                  <w:vAlign w:val="center"/>
                </w:tcPr>
                <w:p w14:paraId="34C7B554">
                  <w:pPr>
                    <w:shd w:val="clear"/>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报告表</w:t>
                  </w:r>
                </w:p>
              </w:tc>
            </w:tr>
          </w:tbl>
          <w:p w14:paraId="36A871D7">
            <w:pPr>
              <w:keepNext w:val="0"/>
              <w:keepLines w:val="0"/>
              <w:pageBreakBefore w:val="0"/>
              <w:suppressLineNumbers w:val="0"/>
              <w:shd w:val="clear"/>
              <w:kinsoku/>
              <w:bidi w:val="0"/>
              <w:spacing w:before="0" w:beforeAutospacing="0" w:after="0" w:afterAutospacing="0" w:line="360" w:lineRule="auto"/>
              <w:ind w:left="0" w:right="0" w:firstLine="482" w:firstLineChars="200"/>
              <w:textAlignment w:val="baseline"/>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rPr>
              <w:t>二、编制依据</w:t>
            </w:r>
          </w:p>
          <w:p w14:paraId="23921F82">
            <w:pPr>
              <w:keepNext w:val="0"/>
              <w:keepLines w:val="0"/>
              <w:pageBreakBefore w:val="0"/>
              <w:suppressLineNumbers w:val="0"/>
              <w:shd w:val="clear"/>
              <w:kinsoku/>
              <w:bidi w:val="0"/>
              <w:spacing w:before="0" w:beforeAutospacing="0" w:after="0" w:afterAutospacing="0" w:line="360" w:lineRule="auto"/>
              <w:ind w:left="0" w:right="0" w:firstLine="420" w:firstLineChars="200"/>
              <w:textAlignment w:val="baseline"/>
              <w:rPr>
                <w:rFonts w:hint="default" w:ascii="Times New Roman" w:hAnsi="Times New Roman" w:eastAsia="宋体" w:cs="Times New Roman"/>
                <w:color w:val="auto"/>
                <w:kern w:val="2"/>
                <w:sz w:val="21"/>
                <w:szCs w:val="21"/>
                <w:highlight w:val="none"/>
                <w:lang w:val="en-US" w:eastAsia="zh-CN" w:bidi="ar"/>
              </w:rPr>
            </w:pPr>
            <w:r>
              <w:rPr>
                <w:rFonts w:hint="default" w:ascii="Times New Roman" w:hAnsi="Times New Roman" w:eastAsia="宋体" w:cs="Times New Roman"/>
                <w:color w:val="auto"/>
                <w:kern w:val="2"/>
                <w:sz w:val="21"/>
                <w:szCs w:val="21"/>
                <w:highlight w:val="none"/>
                <w:lang w:val="en-US" w:eastAsia="zh-CN" w:bidi="ar"/>
              </w:rPr>
              <w:t>（1）《中华人民共和国环境保护法》（2015年1月1日起施行）；</w:t>
            </w:r>
          </w:p>
          <w:p w14:paraId="3E81DE56">
            <w:pPr>
              <w:keepNext w:val="0"/>
              <w:keepLines w:val="0"/>
              <w:pageBreakBefore w:val="0"/>
              <w:suppressLineNumbers w:val="0"/>
              <w:shd w:val="clear"/>
              <w:kinsoku/>
              <w:bidi w:val="0"/>
              <w:spacing w:before="0" w:beforeAutospacing="0" w:after="0" w:afterAutospacing="0" w:line="360" w:lineRule="auto"/>
              <w:ind w:left="0" w:right="0" w:firstLine="420" w:firstLineChars="200"/>
              <w:textAlignment w:val="baseline"/>
              <w:rPr>
                <w:rFonts w:hint="default" w:ascii="Times New Roman" w:hAnsi="Times New Roman" w:eastAsia="宋体" w:cs="Times New Roman"/>
                <w:color w:val="auto"/>
                <w:kern w:val="2"/>
                <w:sz w:val="21"/>
                <w:szCs w:val="21"/>
                <w:highlight w:val="none"/>
                <w:lang w:val="en-US" w:eastAsia="zh-CN" w:bidi="ar"/>
              </w:rPr>
            </w:pPr>
            <w:r>
              <w:rPr>
                <w:rFonts w:hint="default" w:ascii="Times New Roman" w:hAnsi="Times New Roman" w:eastAsia="宋体" w:cs="Times New Roman"/>
                <w:color w:val="auto"/>
                <w:kern w:val="2"/>
                <w:sz w:val="21"/>
                <w:szCs w:val="21"/>
                <w:highlight w:val="none"/>
                <w:lang w:val="en-US" w:eastAsia="zh-CN" w:bidi="ar"/>
              </w:rPr>
              <w:t>（2）《中华人民共和国环境影响评价法（2018年修正）》；</w:t>
            </w:r>
          </w:p>
          <w:p w14:paraId="0512EA99">
            <w:pPr>
              <w:keepNext w:val="0"/>
              <w:keepLines w:val="0"/>
              <w:pageBreakBefore w:val="0"/>
              <w:suppressLineNumbers w:val="0"/>
              <w:shd w:val="clear"/>
              <w:kinsoku/>
              <w:bidi w:val="0"/>
              <w:spacing w:before="0" w:beforeAutospacing="0" w:after="0" w:afterAutospacing="0" w:line="360" w:lineRule="auto"/>
              <w:ind w:left="0" w:right="0" w:firstLine="420" w:firstLineChars="200"/>
              <w:textAlignment w:val="baseline"/>
              <w:rPr>
                <w:rFonts w:hint="default" w:ascii="Times New Roman" w:hAnsi="Times New Roman" w:eastAsia="宋体" w:cs="Times New Roman"/>
                <w:color w:val="auto"/>
                <w:kern w:val="2"/>
                <w:sz w:val="21"/>
                <w:szCs w:val="21"/>
                <w:highlight w:val="none"/>
                <w:lang w:val="en-US" w:eastAsia="zh-CN" w:bidi="ar"/>
              </w:rPr>
            </w:pPr>
            <w:r>
              <w:rPr>
                <w:rFonts w:hint="default" w:ascii="Times New Roman" w:hAnsi="Times New Roman" w:eastAsia="宋体" w:cs="Times New Roman"/>
                <w:color w:val="auto"/>
                <w:kern w:val="2"/>
                <w:sz w:val="21"/>
                <w:szCs w:val="21"/>
                <w:highlight w:val="none"/>
                <w:lang w:val="en-US" w:eastAsia="zh-CN" w:bidi="ar"/>
              </w:rPr>
              <w:t>（3）《中华人民共和国水污染防治法》（2018年1月1日起施行）；</w:t>
            </w:r>
          </w:p>
          <w:p w14:paraId="79E7F006">
            <w:pPr>
              <w:keepNext w:val="0"/>
              <w:keepLines w:val="0"/>
              <w:pageBreakBefore w:val="0"/>
              <w:suppressLineNumbers w:val="0"/>
              <w:shd w:val="clear"/>
              <w:kinsoku/>
              <w:bidi w:val="0"/>
              <w:spacing w:before="0" w:beforeAutospacing="0" w:after="0" w:afterAutospacing="0" w:line="360" w:lineRule="auto"/>
              <w:ind w:left="0" w:right="0" w:firstLine="420" w:firstLineChars="200"/>
              <w:textAlignment w:val="baseline"/>
              <w:rPr>
                <w:rFonts w:hint="default" w:ascii="Times New Roman" w:hAnsi="Times New Roman" w:eastAsia="宋体" w:cs="Times New Roman"/>
                <w:color w:val="auto"/>
                <w:kern w:val="2"/>
                <w:sz w:val="21"/>
                <w:szCs w:val="21"/>
                <w:highlight w:val="none"/>
                <w:lang w:val="en-US" w:eastAsia="zh-CN" w:bidi="ar"/>
              </w:rPr>
            </w:pPr>
            <w:r>
              <w:rPr>
                <w:rFonts w:hint="default" w:ascii="Times New Roman" w:hAnsi="Times New Roman" w:eastAsia="宋体" w:cs="Times New Roman"/>
                <w:color w:val="auto"/>
                <w:kern w:val="2"/>
                <w:sz w:val="21"/>
                <w:szCs w:val="21"/>
                <w:highlight w:val="none"/>
                <w:lang w:val="en-US" w:eastAsia="zh-CN" w:bidi="ar"/>
              </w:rPr>
              <w:t>（4）《中华人民共和国大气污染防治法》（2018年10月26日修订）；</w:t>
            </w:r>
          </w:p>
          <w:p w14:paraId="0763B6ED">
            <w:pPr>
              <w:keepNext w:val="0"/>
              <w:keepLines w:val="0"/>
              <w:pageBreakBefore w:val="0"/>
              <w:suppressLineNumbers w:val="0"/>
              <w:shd w:val="clear"/>
              <w:kinsoku/>
              <w:bidi w:val="0"/>
              <w:spacing w:before="0" w:beforeAutospacing="0" w:after="0" w:afterAutospacing="0" w:line="360" w:lineRule="auto"/>
              <w:ind w:left="0" w:right="0" w:firstLine="420" w:firstLineChars="200"/>
              <w:textAlignment w:val="baseline"/>
              <w:rPr>
                <w:rFonts w:hint="default" w:ascii="Times New Roman" w:hAnsi="Times New Roman" w:eastAsia="宋体" w:cs="Times New Roman"/>
                <w:color w:val="auto"/>
                <w:kern w:val="2"/>
                <w:sz w:val="21"/>
                <w:szCs w:val="21"/>
                <w:highlight w:val="none"/>
                <w:lang w:val="en-US" w:eastAsia="zh-CN" w:bidi="ar"/>
              </w:rPr>
            </w:pPr>
            <w:r>
              <w:rPr>
                <w:rFonts w:hint="default" w:ascii="Times New Roman" w:hAnsi="Times New Roman" w:eastAsia="宋体" w:cs="Times New Roman"/>
                <w:color w:val="auto"/>
                <w:kern w:val="2"/>
                <w:sz w:val="21"/>
                <w:szCs w:val="21"/>
                <w:highlight w:val="none"/>
                <w:lang w:val="en-US" w:eastAsia="zh-CN" w:bidi="ar"/>
              </w:rPr>
              <w:t>（5）《中华人民共和国噪声污染防治法》（2022年6月5日起施行）；</w:t>
            </w:r>
          </w:p>
          <w:p w14:paraId="5A56ECB8">
            <w:pPr>
              <w:keepNext w:val="0"/>
              <w:keepLines w:val="0"/>
              <w:pageBreakBefore w:val="0"/>
              <w:suppressLineNumbers w:val="0"/>
              <w:shd w:val="clear"/>
              <w:kinsoku/>
              <w:bidi w:val="0"/>
              <w:spacing w:before="0" w:beforeAutospacing="0" w:after="0" w:afterAutospacing="0" w:line="360" w:lineRule="auto"/>
              <w:ind w:left="0" w:right="0" w:firstLine="420" w:firstLineChars="200"/>
              <w:textAlignment w:val="baseline"/>
              <w:rPr>
                <w:rFonts w:hint="default" w:ascii="Times New Roman" w:hAnsi="Times New Roman" w:eastAsia="宋体" w:cs="Times New Roman"/>
                <w:color w:val="auto"/>
                <w:kern w:val="2"/>
                <w:sz w:val="21"/>
                <w:szCs w:val="21"/>
                <w:highlight w:val="none"/>
                <w:lang w:val="en-US" w:eastAsia="zh-CN" w:bidi="ar"/>
              </w:rPr>
            </w:pPr>
            <w:r>
              <w:rPr>
                <w:rFonts w:hint="default" w:ascii="Times New Roman" w:hAnsi="Times New Roman" w:eastAsia="宋体" w:cs="Times New Roman"/>
                <w:color w:val="auto"/>
                <w:kern w:val="2"/>
                <w:sz w:val="21"/>
                <w:szCs w:val="21"/>
                <w:highlight w:val="none"/>
                <w:lang w:val="en-US" w:eastAsia="zh-CN" w:bidi="ar"/>
              </w:rPr>
              <w:t>（6）《建设项目环境保护管理条例》（2017年7月16日修订）；</w:t>
            </w:r>
          </w:p>
          <w:p w14:paraId="54E9DB1E">
            <w:pPr>
              <w:keepNext w:val="0"/>
              <w:keepLines w:val="0"/>
              <w:pageBreakBefore w:val="0"/>
              <w:suppressLineNumbers w:val="0"/>
              <w:shd w:val="clear"/>
              <w:kinsoku/>
              <w:bidi w:val="0"/>
              <w:spacing w:before="0" w:beforeAutospacing="0" w:after="0" w:afterAutospacing="0" w:line="360" w:lineRule="auto"/>
              <w:ind w:left="0" w:right="0" w:firstLine="420" w:firstLineChars="200"/>
              <w:textAlignment w:val="baseline"/>
              <w:rPr>
                <w:rFonts w:hint="default" w:ascii="Times New Roman" w:hAnsi="Times New Roman" w:eastAsia="宋体" w:cs="Times New Roman"/>
                <w:color w:val="auto"/>
                <w:kern w:val="2"/>
                <w:sz w:val="21"/>
                <w:szCs w:val="21"/>
                <w:highlight w:val="none"/>
                <w:lang w:val="en-US" w:eastAsia="zh-CN" w:bidi="ar"/>
              </w:rPr>
            </w:pPr>
            <w:r>
              <w:rPr>
                <w:rFonts w:hint="default" w:ascii="Times New Roman" w:hAnsi="Times New Roman" w:eastAsia="宋体" w:cs="Times New Roman"/>
                <w:color w:val="auto"/>
                <w:kern w:val="2"/>
                <w:sz w:val="21"/>
                <w:szCs w:val="21"/>
                <w:highlight w:val="none"/>
                <w:lang w:val="en-US" w:eastAsia="zh-CN" w:bidi="ar"/>
              </w:rPr>
              <w:t>（7）《建设项目环境影响评价分类管理名录》（2021版）；</w:t>
            </w:r>
          </w:p>
          <w:p w14:paraId="7C80A2DC">
            <w:pPr>
              <w:keepNext w:val="0"/>
              <w:keepLines w:val="0"/>
              <w:pageBreakBefore w:val="0"/>
              <w:suppressLineNumbers w:val="0"/>
              <w:shd w:val="clear"/>
              <w:kinsoku/>
              <w:bidi w:val="0"/>
              <w:spacing w:before="0" w:beforeAutospacing="0" w:after="0" w:afterAutospacing="0" w:line="360" w:lineRule="auto"/>
              <w:ind w:left="0" w:right="0" w:firstLine="420" w:firstLineChars="200"/>
              <w:textAlignment w:val="baseline"/>
              <w:rPr>
                <w:rFonts w:hint="default" w:ascii="Times New Roman" w:hAnsi="Times New Roman" w:eastAsia="宋体" w:cs="Times New Roman"/>
                <w:color w:val="auto"/>
                <w:kern w:val="2"/>
                <w:sz w:val="21"/>
                <w:szCs w:val="21"/>
                <w:highlight w:val="none"/>
                <w:lang w:val="en-US" w:eastAsia="zh-CN" w:bidi="ar"/>
              </w:rPr>
            </w:pPr>
            <w:r>
              <w:rPr>
                <w:rFonts w:hint="default" w:ascii="Times New Roman" w:hAnsi="Times New Roman" w:eastAsia="宋体" w:cs="Times New Roman"/>
                <w:color w:val="auto"/>
                <w:kern w:val="2"/>
                <w:sz w:val="21"/>
                <w:szCs w:val="21"/>
                <w:highlight w:val="none"/>
                <w:lang w:val="en-US" w:eastAsia="zh-CN" w:bidi="ar"/>
              </w:rPr>
              <w:t>（8）《建设项目环境影响报告表编制技术指南（污染影响类）（试行）》（环办环评〔2020〕33号）；</w:t>
            </w:r>
          </w:p>
          <w:p w14:paraId="0E7C93A6">
            <w:pPr>
              <w:keepNext w:val="0"/>
              <w:keepLines w:val="0"/>
              <w:pageBreakBefore w:val="0"/>
              <w:suppressLineNumbers w:val="0"/>
              <w:shd w:val="clear"/>
              <w:kinsoku/>
              <w:bidi w:val="0"/>
              <w:spacing w:before="0" w:beforeAutospacing="0" w:after="0" w:afterAutospacing="0" w:line="360" w:lineRule="auto"/>
              <w:ind w:left="0" w:right="0" w:firstLine="420" w:firstLineChars="200"/>
              <w:textAlignment w:val="baseline"/>
              <w:rPr>
                <w:rFonts w:hint="default" w:ascii="Times New Roman" w:hAnsi="Times New Roman" w:eastAsia="宋体" w:cs="Times New Roman"/>
                <w:color w:val="auto"/>
                <w:kern w:val="2"/>
                <w:sz w:val="21"/>
                <w:szCs w:val="21"/>
                <w:highlight w:val="none"/>
                <w:lang w:val="en-US" w:eastAsia="zh-CN" w:bidi="ar"/>
              </w:rPr>
            </w:pPr>
            <w:r>
              <w:rPr>
                <w:rFonts w:hint="default" w:ascii="Times New Roman" w:hAnsi="Times New Roman" w:eastAsia="宋体" w:cs="Times New Roman"/>
                <w:color w:val="auto"/>
                <w:kern w:val="2"/>
                <w:sz w:val="21"/>
                <w:szCs w:val="21"/>
                <w:highlight w:val="none"/>
                <w:lang w:val="en-US" w:eastAsia="zh-CN" w:bidi="ar"/>
              </w:rPr>
              <w:t>（9）《中山市“三线一单”生态环境分区管控方案（2024年版）》；</w:t>
            </w:r>
          </w:p>
          <w:p w14:paraId="5625E96B">
            <w:pPr>
              <w:keepNext w:val="0"/>
              <w:keepLines w:val="0"/>
              <w:pageBreakBefore w:val="0"/>
              <w:suppressLineNumbers w:val="0"/>
              <w:shd w:val="clear"/>
              <w:kinsoku/>
              <w:bidi w:val="0"/>
              <w:spacing w:before="0" w:beforeAutospacing="0" w:after="0" w:afterAutospacing="0" w:line="360" w:lineRule="auto"/>
              <w:ind w:left="0" w:right="0" w:firstLine="420" w:firstLineChars="200"/>
              <w:textAlignment w:val="baseline"/>
              <w:rPr>
                <w:rFonts w:hint="default" w:ascii="Times New Roman" w:hAnsi="Times New Roman" w:eastAsia="宋体" w:cs="Times New Roman"/>
                <w:color w:val="auto"/>
                <w:kern w:val="2"/>
                <w:sz w:val="21"/>
                <w:szCs w:val="21"/>
                <w:highlight w:val="none"/>
                <w:lang w:val="en-US" w:eastAsia="zh-CN" w:bidi="ar"/>
              </w:rPr>
            </w:pPr>
            <w:r>
              <w:rPr>
                <w:rFonts w:hint="default" w:ascii="Times New Roman" w:hAnsi="Times New Roman" w:eastAsia="宋体" w:cs="Times New Roman"/>
                <w:color w:val="auto"/>
                <w:kern w:val="2"/>
                <w:sz w:val="21"/>
                <w:szCs w:val="21"/>
                <w:highlight w:val="none"/>
                <w:lang w:val="en-US" w:eastAsia="zh-CN" w:bidi="ar"/>
              </w:rPr>
              <w:t>（10）《产业结构调整指导目录（2024年本）》；</w:t>
            </w:r>
          </w:p>
          <w:p w14:paraId="779C3200">
            <w:pPr>
              <w:keepNext w:val="0"/>
              <w:keepLines w:val="0"/>
              <w:pageBreakBefore w:val="0"/>
              <w:suppressLineNumbers w:val="0"/>
              <w:shd w:val="clear"/>
              <w:kinsoku/>
              <w:bidi w:val="0"/>
              <w:spacing w:before="0" w:beforeAutospacing="0" w:after="0" w:afterAutospacing="0" w:line="360" w:lineRule="auto"/>
              <w:ind w:left="0" w:right="0" w:firstLine="420" w:firstLineChars="200"/>
              <w:textAlignment w:val="baseline"/>
              <w:rPr>
                <w:rFonts w:hint="default" w:ascii="Times New Roman" w:hAnsi="Times New Roman" w:eastAsia="宋体" w:cs="Times New Roman"/>
                <w:color w:val="auto"/>
                <w:kern w:val="2"/>
                <w:sz w:val="21"/>
                <w:szCs w:val="21"/>
                <w:highlight w:val="none"/>
                <w:lang w:val="en-US" w:eastAsia="zh-CN" w:bidi="ar"/>
              </w:rPr>
            </w:pPr>
            <w:r>
              <w:rPr>
                <w:rFonts w:hint="default" w:ascii="Times New Roman" w:hAnsi="Times New Roman" w:eastAsia="宋体" w:cs="Times New Roman"/>
                <w:color w:val="auto"/>
                <w:kern w:val="2"/>
                <w:sz w:val="21"/>
                <w:szCs w:val="21"/>
                <w:highlight w:val="none"/>
                <w:lang w:val="en-US" w:eastAsia="zh-CN" w:bidi="ar"/>
              </w:rPr>
              <w:t>（11）《市场准入负面清单（202</w:t>
            </w:r>
            <w:r>
              <w:rPr>
                <w:rFonts w:hint="default" w:ascii="Times New Roman" w:hAnsi="Times New Roman" w:cs="Times New Roman"/>
                <w:color w:val="auto"/>
                <w:kern w:val="2"/>
                <w:sz w:val="21"/>
                <w:szCs w:val="21"/>
                <w:highlight w:val="none"/>
                <w:lang w:val="en-US" w:eastAsia="zh-CN" w:bidi="ar"/>
              </w:rPr>
              <w:t>5</w:t>
            </w:r>
            <w:r>
              <w:rPr>
                <w:rFonts w:hint="default" w:ascii="Times New Roman" w:hAnsi="Times New Roman" w:eastAsia="宋体" w:cs="Times New Roman"/>
                <w:color w:val="auto"/>
                <w:kern w:val="2"/>
                <w:sz w:val="21"/>
                <w:szCs w:val="21"/>
                <w:highlight w:val="none"/>
                <w:lang w:val="en-US" w:eastAsia="zh-CN" w:bidi="ar"/>
              </w:rPr>
              <w:t>年版）》；</w:t>
            </w:r>
          </w:p>
          <w:p w14:paraId="2C518ACA">
            <w:pPr>
              <w:keepNext w:val="0"/>
              <w:keepLines w:val="0"/>
              <w:pageBreakBefore w:val="0"/>
              <w:suppressLineNumbers w:val="0"/>
              <w:shd w:val="clear"/>
              <w:kinsoku/>
              <w:bidi w:val="0"/>
              <w:spacing w:before="0" w:beforeAutospacing="0" w:after="0" w:afterAutospacing="0" w:line="360" w:lineRule="auto"/>
              <w:ind w:left="0" w:right="0" w:firstLine="420" w:firstLineChars="200"/>
              <w:textAlignment w:val="baseline"/>
              <w:rPr>
                <w:rFonts w:hint="default" w:ascii="Times New Roman" w:hAnsi="Times New Roman" w:eastAsia="宋体" w:cs="Times New Roman"/>
                <w:color w:val="auto"/>
                <w:kern w:val="2"/>
                <w:sz w:val="21"/>
                <w:szCs w:val="21"/>
                <w:highlight w:val="none"/>
                <w:lang w:val="en-US" w:eastAsia="zh-CN" w:bidi="ar"/>
              </w:rPr>
            </w:pPr>
            <w:r>
              <w:rPr>
                <w:rFonts w:hint="default" w:ascii="Times New Roman" w:hAnsi="Times New Roman" w:eastAsia="宋体" w:cs="Times New Roman"/>
                <w:color w:val="auto"/>
                <w:kern w:val="2"/>
                <w:sz w:val="21"/>
                <w:szCs w:val="21"/>
                <w:highlight w:val="none"/>
                <w:lang w:val="en-US" w:eastAsia="zh-CN" w:bidi="ar"/>
              </w:rPr>
              <w:t>（12）《产业发展与转移指导目录（2018年本）》；</w:t>
            </w:r>
          </w:p>
          <w:p w14:paraId="5ADFAF3A">
            <w:pPr>
              <w:keepNext w:val="0"/>
              <w:keepLines w:val="0"/>
              <w:pageBreakBefore w:val="0"/>
              <w:suppressLineNumbers w:val="0"/>
              <w:shd w:val="clear"/>
              <w:kinsoku/>
              <w:bidi w:val="0"/>
              <w:spacing w:before="0" w:beforeAutospacing="0" w:after="0" w:afterAutospacing="0" w:line="360" w:lineRule="auto"/>
              <w:ind w:left="0" w:right="0" w:firstLine="420" w:firstLineChars="200"/>
              <w:textAlignment w:val="baseline"/>
              <w:rPr>
                <w:rFonts w:hint="default" w:ascii="Times New Roman" w:hAnsi="Times New Roman" w:eastAsia="宋体" w:cs="Times New Roman"/>
                <w:color w:val="auto"/>
                <w:kern w:val="2"/>
                <w:sz w:val="21"/>
                <w:szCs w:val="21"/>
                <w:highlight w:val="none"/>
                <w:lang w:val="en-US" w:eastAsia="zh-CN" w:bidi="ar"/>
              </w:rPr>
            </w:pPr>
            <w:r>
              <w:rPr>
                <w:rFonts w:hint="default" w:ascii="Times New Roman" w:hAnsi="Times New Roman" w:eastAsia="宋体" w:cs="Times New Roman"/>
                <w:color w:val="auto"/>
                <w:kern w:val="2"/>
                <w:sz w:val="21"/>
                <w:szCs w:val="21"/>
                <w:highlight w:val="none"/>
                <w:lang w:val="en-US" w:eastAsia="zh-CN" w:bidi="ar"/>
              </w:rPr>
              <w:t>（13）《国民经济行业分类》（GB/T4754-2017）及其修改单；</w:t>
            </w:r>
          </w:p>
          <w:p w14:paraId="3539606F">
            <w:pPr>
              <w:keepNext w:val="0"/>
              <w:keepLines w:val="0"/>
              <w:pageBreakBefore w:val="0"/>
              <w:suppressLineNumbers w:val="0"/>
              <w:shd w:val="clear"/>
              <w:kinsoku/>
              <w:bidi w:val="0"/>
              <w:spacing w:before="0" w:beforeAutospacing="0" w:after="0" w:afterAutospacing="0" w:line="360" w:lineRule="auto"/>
              <w:ind w:left="0" w:right="0" w:firstLine="420" w:firstLineChars="200"/>
              <w:textAlignment w:val="baseline"/>
              <w:rPr>
                <w:rFonts w:hint="default" w:ascii="Times New Roman" w:hAnsi="Times New Roman" w:eastAsia="宋体" w:cs="Times New Roman"/>
                <w:color w:val="auto"/>
                <w:kern w:val="2"/>
                <w:sz w:val="21"/>
                <w:szCs w:val="21"/>
                <w:highlight w:val="none"/>
                <w:lang w:val="en-US" w:eastAsia="zh-CN" w:bidi="ar"/>
              </w:rPr>
            </w:pPr>
            <w:r>
              <w:rPr>
                <w:rFonts w:hint="default" w:ascii="Times New Roman" w:hAnsi="Times New Roman" w:eastAsia="宋体" w:cs="Times New Roman"/>
                <w:color w:val="auto"/>
                <w:kern w:val="2"/>
                <w:sz w:val="21"/>
                <w:szCs w:val="21"/>
                <w:highlight w:val="none"/>
                <w:lang w:val="en-US" w:eastAsia="zh-CN" w:bidi="ar"/>
              </w:rPr>
              <w:t>（14）《排污单位自行监测技术指南总则》（HJ819-2017）；</w:t>
            </w:r>
          </w:p>
          <w:p w14:paraId="290B36F1">
            <w:pPr>
              <w:keepNext w:val="0"/>
              <w:keepLines w:val="0"/>
              <w:pageBreakBefore w:val="0"/>
              <w:suppressLineNumbers w:val="0"/>
              <w:shd w:val="clear"/>
              <w:kinsoku/>
              <w:bidi w:val="0"/>
              <w:spacing w:before="0" w:beforeAutospacing="0" w:after="0" w:afterAutospacing="0" w:line="360" w:lineRule="auto"/>
              <w:ind w:left="0" w:right="0" w:firstLine="420" w:firstLineChars="200"/>
              <w:textAlignment w:val="baseline"/>
              <w:rPr>
                <w:rFonts w:hint="default" w:ascii="Times New Roman" w:hAnsi="Times New Roman" w:eastAsia="宋体" w:cs="Times New Roman"/>
                <w:color w:val="auto"/>
                <w:kern w:val="2"/>
                <w:sz w:val="21"/>
                <w:szCs w:val="21"/>
                <w:highlight w:val="none"/>
                <w:lang w:val="en-US" w:eastAsia="zh-CN" w:bidi="ar"/>
              </w:rPr>
            </w:pPr>
            <w:r>
              <w:rPr>
                <w:rFonts w:hint="default" w:ascii="Times New Roman" w:hAnsi="Times New Roman" w:eastAsia="宋体" w:cs="Times New Roman"/>
                <w:color w:val="auto"/>
                <w:kern w:val="2"/>
                <w:sz w:val="21"/>
                <w:szCs w:val="21"/>
                <w:highlight w:val="none"/>
                <w:lang w:val="en-US" w:eastAsia="zh-CN" w:bidi="ar"/>
              </w:rPr>
              <w:t>（15）《排污许可证申请与核发技术规范总则》（HJ942-2018）；</w:t>
            </w:r>
          </w:p>
          <w:p w14:paraId="60E47267">
            <w:pPr>
              <w:keepNext w:val="0"/>
              <w:keepLines w:val="0"/>
              <w:pageBreakBefore w:val="0"/>
              <w:suppressLineNumbers w:val="0"/>
              <w:shd w:val="clear"/>
              <w:kinsoku/>
              <w:bidi w:val="0"/>
              <w:spacing w:before="0" w:beforeAutospacing="0" w:after="0" w:afterAutospacing="0" w:line="360" w:lineRule="auto"/>
              <w:ind w:left="0" w:right="0" w:firstLine="420" w:firstLineChars="200"/>
              <w:textAlignment w:val="baseline"/>
              <w:rPr>
                <w:rFonts w:hint="default" w:ascii="Times New Roman" w:hAnsi="Times New Roman" w:eastAsia="宋体" w:cs="Times New Roman"/>
                <w:color w:val="auto"/>
                <w:kern w:val="2"/>
                <w:sz w:val="21"/>
                <w:szCs w:val="21"/>
                <w:highlight w:val="none"/>
                <w:lang w:val="en-US" w:eastAsia="zh-CN" w:bidi="ar"/>
              </w:rPr>
            </w:pPr>
            <w:r>
              <w:rPr>
                <w:rFonts w:hint="default" w:ascii="Times New Roman" w:hAnsi="Times New Roman" w:eastAsia="宋体" w:cs="Times New Roman"/>
                <w:color w:val="auto"/>
                <w:kern w:val="2"/>
                <w:sz w:val="21"/>
                <w:szCs w:val="21"/>
                <w:highlight w:val="none"/>
                <w:lang w:val="en-US" w:eastAsia="zh-CN" w:bidi="ar"/>
              </w:rPr>
              <w:t>（16）《中山市涉挥发性有机物项目环保管理规定》（中环规字〔2021〕1号）；</w:t>
            </w:r>
          </w:p>
          <w:p w14:paraId="7CF720A1">
            <w:pPr>
              <w:keepNext w:val="0"/>
              <w:keepLines w:val="0"/>
              <w:pageBreakBefore w:val="0"/>
              <w:suppressLineNumbers w:val="0"/>
              <w:shd w:val="clear"/>
              <w:kinsoku/>
              <w:bidi w:val="0"/>
              <w:spacing w:before="0" w:beforeAutospacing="0" w:after="0" w:afterAutospacing="0" w:line="360" w:lineRule="auto"/>
              <w:ind w:left="0" w:right="0" w:firstLine="420" w:firstLineChars="200"/>
              <w:textAlignment w:val="baseline"/>
              <w:rPr>
                <w:rFonts w:hint="default" w:ascii="Times New Roman" w:hAnsi="Times New Roman" w:eastAsia="宋体" w:cs="Times New Roman"/>
                <w:color w:val="auto"/>
                <w:kern w:val="2"/>
                <w:sz w:val="21"/>
                <w:szCs w:val="21"/>
                <w:highlight w:val="none"/>
                <w:lang w:val="en-US" w:eastAsia="zh-CN" w:bidi="ar"/>
              </w:rPr>
            </w:pPr>
            <w:r>
              <w:rPr>
                <w:rFonts w:hint="default" w:ascii="Times New Roman" w:hAnsi="Times New Roman" w:eastAsia="宋体" w:cs="Times New Roman"/>
                <w:color w:val="auto"/>
                <w:kern w:val="2"/>
                <w:sz w:val="21"/>
                <w:szCs w:val="21"/>
                <w:highlight w:val="none"/>
                <w:lang w:val="en-US" w:eastAsia="zh-CN" w:bidi="ar"/>
              </w:rPr>
              <w:t>（17）《中山市环境空气质量功能区划（2020年修订）》；</w:t>
            </w:r>
          </w:p>
          <w:p w14:paraId="62560C7E">
            <w:pPr>
              <w:keepNext w:val="0"/>
              <w:keepLines w:val="0"/>
              <w:pageBreakBefore w:val="0"/>
              <w:suppressLineNumbers w:val="0"/>
              <w:shd w:val="clear"/>
              <w:kinsoku/>
              <w:bidi w:val="0"/>
              <w:spacing w:before="0" w:beforeAutospacing="0" w:after="0" w:afterAutospacing="0" w:line="360" w:lineRule="auto"/>
              <w:ind w:left="0" w:right="0" w:firstLine="420" w:firstLineChars="200"/>
              <w:textAlignment w:val="baseline"/>
              <w:rPr>
                <w:rFonts w:hint="default" w:ascii="Times New Roman" w:hAnsi="Times New Roman" w:eastAsia="宋体" w:cs="Times New Roman"/>
                <w:color w:val="auto"/>
                <w:kern w:val="2"/>
                <w:sz w:val="21"/>
                <w:szCs w:val="21"/>
                <w:highlight w:val="none"/>
                <w:lang w:val="en-US" w:eastAsia="zh-CN" w:bidi="ar"/>
              </w:rPr>
            </w:pPr>
            <w:r>
              <w:rPr>
                <w:rFonts w:hint="default" w:ascii="Times New Roman" w:hAnsi="Times New Roman" w:eastAsia="宋体" w:cs="Times New Roman"/>
                <w:color w:val="auto"/>
                <w:kern w:val="2"/>
                <w:sz w:val="21"/>
                <w:szCs w:val="21"/>
                <w:highlight w:val="none"/>
                <w:lang w:val="en-US" w:eastAsia="zh-CN" w:bidi="ar"/>
              </w:rPr>
              <w:t>（18）《中山市水功能区管理办法》（中府〔2008〕96号）；</w:t>
            </w:r>
          </w:p>
          <w:p w14:paraId="7F6276C1">
            <w:pPr>
              <w:keepNext w:val="0"/>
              <w:keepLines w:val="0"/>
              <w:pageBreakBefore w:val="0"/>
              <w:suppressLineNumbers w:val="0"/>
              <w:shd w:val="clear"/>
              <w:kinsoku/>
              <w:bidi w:val="0"/>
              <w:spacing w:before="0" w:beforeAutospacing="0" w:after="0" w:afterAutospacing="0" w:line="360" w:lineRule="auto"/>
              <w:ind w:left="0" w:right="0" w:firstLine="420" w:firstLineChars="200"/>
              <w:textAlignment w:val="baseline"/>
              <w:rPr>
                <w:rFonts w:hint="default" w:ascii="Times New Roman" w:hAnsi="Times New Roman" w:eastAsia="宋体" w:cs="Times New Roman"/>
                <w:color w:val="auto"/>
                <w:kern w:val="2"/>
                <w:sz w:val="21"/>
                <w:szCs w:val="21"/>
                <w:highlight w:val="none"/>
                <w:lang w:val="en-US" w:eastAsia="zh-CN" w:bidi="ar"/>
              </w:rPr>
            </w:pPr>
            <w:r>
              <w:rPr>
                <w:rFonts w:hint="default" w:ascii="Times New Roman" w:hAnsi="Times New Roman" w:eastAsia="宋体" w:cs="Times New Roman"/>
                <w:color w:val="auto"/>
                <w:kern w:val="2"/>
                <w:sz w:val="21"/>
                <w:szCs w:val="21"/>
                <w:highlight w:val="none"/>
                <w:lang w:val="en-US" w:eastAsia="zh-CN" w:bidi="ar"/>
              </w:rPr>
              <w:t>（19）《中山市声环境功能区划方案（2021年修编）》；</w:t>
            </w:r>
          </w:p>
          <w:p w14:paraId="2A07BE4C">
            <w:pPr>
              <w:keepNext w:val="0"/>
              <w:keepLines w:val="0"/>
              <w:pageBreakBefore w:val="0"/>
              <w:suppressLineNumbers w:val="0"/>
              <w:shd w:val="clear"/>
              <w:kinsoku/>
              <w:bidi w:val="0"/>
              <w:spacing w:before="0" w:beforeAutospacing="0" w:after="0" w:afterAutospacing="0" w:line="360" w:lineRule="auto"/>
              <w:ind w:left="0" w:right="0" w:firstLine="420" w:firstLineChars="200"/>
              <w:textAlignment w:val="baseline"/>
              <w:rPr>
                <w:rFonts w:hint="default" w:ascii="Times New Roman" w:hAnsi="Times New Roman" w:eastAsia="宋体" w:cs="Times New Roman"/>
                <w:color w:val="auto"/>
                <w:kern w:val="2"/>
                <w:sz w:val="21"/>
                <w:szCs w:val="21"/>
                <w:highlight w:val="none"/>
                <w:lang w:val="en-US" w:eastAsia="zh-CN" w:bidi="ar"/>
              </w:rPr>
            </w:pPr>
            <w:r>
              <w:rPr>
                <w:rFonts w:hint="default" w:ascii="Times New Roman" w:hAnsi="Times New Roman" w:eastAsia="宋体" w:cs="Times New Roman"/>
                <w:color w:val="auto"/>
                <w:kern w:val="2"/>
                <w:sz w:val="21"/>
                <w:szCs w:val="21"/>
                <w:highlight w:val="none"/>
                <w:lang w:val="en-US" w:eastAsia="zh-CN" w:bidi="ar"/>
              </w:rPr>
              <w:t>（20）《中山市2024年大气环境质量状况公报》；</w:t>
            </w:r>
          </w:p>
          <w:p w14:paraId="7FF77949">
            <w:pPr>
              <w:keepNext w:val="0"/>
              <w:keepLines w:val="0"/>
              <w:pageBreakBefore w:val="0"/>
              <w:suppressLineNumbers w:val="0"/>
              <w:shd w:val="clear"/>
              <w:kinsoku/>
              <w:bidi w:val="0"/>
              <w:spacing w:before="0" w:beforeAutospacing="0" w:after="0" w:afterAutospacing="0" w:line="360" w:lineRule="auto"/>
              <w:ind w:left="0" w:right="0" w:firstLine="420" w:firstLineChars="200"/>
              <w:textAlignment w:val="baseline"/>
              <w:rPr>
                <w:rFonts w:hint="default" w:ascii="Times New Roman" w:hAnsi="Times New Roman" w:eastAsia="宋体" w:cs="Times New Roman"/>
                <w:color w:val="auto"/>
                <w:kern w:val="2"/>
                <w:sz w:val="21"/>
                <w:szCs w:val="21"/>
                <w:highlight w:val="none"/>
                <w:lang w:val="en-US" w:eastAsia="zh-CN" w:bidi="ar"/>
              </w:rPr>
            </w:pPr>
            <w:r>
              <w:rPr>
                <w:rFonts w:hint="default" w:ascii="Times New Roman" w:hAnsi="Times New Roman" w:eastAsia="宋体" w:cs="Times New Roman"/>
                <w:color w:val="auto"/>
                <w:kern w:val="2"/>
                <w:sz w:val="21"/>
                <w:szCs w:val="21"/>
                <w:highlight w:val="none"/>
                <w:lang w:val="en-US" w:eastAsia="zh-CN" w:bidi="ar"/>
              </w:rPr>
              <w:t>（21）《2024年中山市生态环境质量报告书》（公众版）</w:t>
            </w:r>
            <w:r>
              <w:rPr>
                <w:rFonts w:hint="default" w:ascii="Times New Roman" w:hAnsi="Times New Roman" w:eastAsia="宋体" w:cs="Times New Roman"/>
                <w:color w:val="auto"/>
                <w:sz w:val="21"/>
                <w:szCs w:val="21"/>
                <w:highlight w:val="none"/>
                <w:lang w:eastAsia="zh-CN"/>
              </w:rPr>
              <w:t>。</w:t>
            </w:r>
          </w:p>
          <w:p w14:paraId="5E92C123">
            <w:pPr>
              <w:keepNext w:val="0"/>
              <w:keepLines w:val="0"/>
              <w:pageBreakBefore w:val="0"/>
              <w:suppressLineNumbers w:val="0"/>
              <w:shd w:val="clear"/>
              <w:kinsoku/>
              <w:bidi w:val="0"/>
              <w:spacing w:before="0" w:beforeAutospacing="0" w:after="0" w:afterAutospacing="0" w:line="360" w:lineRule="auto"/>
              <w:ind w:left="0" w:right="0" w:firstLine="482" w:firstLineChars="200"/>
              <w:textAlignment w:val="baseline"/>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rPr>
              <w:t>三、项目建设内容</w:t>
            </w:r>
          </w:p>
          <w:p w14:paraId="702D7288">
            <w:pPr>
              <w:keepNext w:val="0"/>
              <w:keepLines w:val="0"/>
              <w:pageBreakBefore w:val="0"/>
              <w:suppressLineNumbers w:val="0"/>
              <w:shd w:val="clear"/>
              <w:kinsoku/>
              <w:bidi w:val="0"/>
              <w:spacing w:before="0" w:beforeAutospacing="0" w:after="0" w:afterAutospacing="0" w:line="360" w:lineRule="auto"/>
              <w:ind w:left="0" w:right="0" w:firstLine="420" w:firstLineChars="200"/>
              <w:textAlignment w:val="baseline"/>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lang w:val="en-US" w:eastAsia="zh-CN"/>
              </w:rPr>
              <w:t>中山天青检测技术有限公司</w:t>
            </w:r>
            <w:r>
              <w:rPr>
                <w:rFonts w:hint="default" w:ascii="Times New Roman" w:hAnsi="Times New Roman" w:eastAsia="宋体" w:cs="Times New Roman"/>
                <w:b w:val="0"/>
                <w:bCs/>
                <w:color w:val="auto"/>
                <w:sz w:val="21"/>
                <w:szCs w:val="21"/>
                <w:highlight w:val="none"/>
              </w:rPr>
              <w:t>位于</w:t>
            </w:r>
            <w:r>
              <w:rPr>
                <w:rFonts w:hint="eastAsia" w:cs="Times New Roman"/>
                <w:color w:val="auto"/>
                <w:sz w:val="21"/>
                <w:szCs w:val="21"/>
                <w:highlight w:val="none"/>
                <w:lang w:val="en-US" w:eastAsia="zh-CN"/>
              </w:rPr>
              <w:t>中山市火炬开发区沙边路10号新势力工业园A栋厂房八楼801A区</w:t>
            </w:r>
            <w:r>
              <w:rPr>
                <w:rFonts w:hint="default" w:ascii="Times New Roman" w:hAnsi="Times New Roman" w:eastAsia="宋体" w:cs="Times New Roman"/>
                <w:b w:val="0"/>
                <w:bCs/>
                <w:color w:val="auto"/>
                <w:sz w:val="21"/>
                <w:szCs w:val="21"/>
                <w:highlight w:val="none"/>
              </w:rPr>
              <w:t>（</w:t>
            </w:r>
            <w:r>
              <w:rPr>
                <w:rFonts w:hint="default" w:ascii="Times New Roman" w:hAnsi="Times New Roman" w:eastAsia="宋体" w:cs="Times New Roman"/>
                <w:color w:val="auto"/>
                <w:kern w:val="0"/>
                <w:sz w:val="21"/>
                <w:szCs w:val="21"/>
                <w:highlight w:val="none"/>
                <w:lang w:val="en-US" w:eastAsia="zh-CN" w:bidi="ar"/>
              </w:rPr>
              <w:t>E</w:t>
            </w:r>
            <w:r>
              <w:rPr>
                <w:rFonts w:hint="default" w:ascii="Times New Roman" w:hAnsi="Times New Roman" w:cs="Times New Roman"/>
                <w:color w:val="auto"/>
                <w:kern w:val="0"/>
                <w:sz w:val="21"/>
                <w:szCs w:val="21"/>
                <w:highlight w:val="none"/>
                <w:lang w:val="en-US" w:eastAsia="zh-CN" w:bidi="ar"/>
              </w:rPr>
              <w:t>113°</w:t>
            </w:r>
            <w:r>
              <w:rPr>
                <w:rFonts w:hint="eastAsia" w:cs="Times New Roman"/>
                <w:color w:val="auto"/>
                <w:kern w:val="0"/>
                <w:sz w:val="21"/>
                <w:szCs w:val="21"/>
                <w:highlight w:val="none"/>
                <w:lang w:val="en-US" w:eastAsia="zh-CN" w:bidi="ar"/>
              </w:rPr>
              <w:t>26</w:t>
            </w:r>
            <w:r>
              <w:rPr>
                <w:rFonts w:hint="default" w:ascii="Times New Roman" w:hAnsi="Times New Roman" w:cs="Times New Roman"/>
                <w:color w:val="auto"/>
                <w:kern w:val="0"/>
                <w:sz w:val="21"/>
                <w:szCs w:val="21"/>
                <w:highlight w:val="none"/>
                <w:lang w:val="en-US" w:eastAsia="zh-CN" w:bidi="ar"/>
              </w:rPr>
              <w:t>′4</w:t>
            </w:r>
            <w:r>
              <w:rPr>
                <w:rFonts w:hint="eastAsia" w:cs="Times New Roman"/>
                <w:color w:val="auto"/>
                <w:kern w:val="0"/>
                <w:sz w:val="21"/>
                <w:szCs w:val="21"/>
                <w:highlight w:val="none"/>
                <w:lang w:val="en-US" w:eastAsia="zh-CN" w:bidi="ar"/>
              </w:rPr>
              <w:t>0.491</w:t>
            </w:r>
            <w:r>
              <w:rPr>
                <w:rFonts w:hint="default" w:ascii="Times New Roman" w:hAnsi="Times New Roman" w:cs="Times New Roman"/>
                <w:color w:val="auto"/>
                <w:kern w:val="0"/>
                <w:sz w:val="21"/>
                <w:szCs w:val="21"/>
                <w:highlight w:val="none"/>
                <w:lang w:val="en-US" w:eastAsia="zh-CN" w:bidi="ar"/>
              </w:rPr>
              <w:t>″</w:t>
            </w:r>
            <w:r>
              <w:rPr>
                <w:rFonts w:hint="eastAsia" w:cs="Times New Roman"/>
                <w:color w:val="auto"/>
                <w:kern w:val="0"/>
                <w:sz w:val="21"/>
                <w:szCs w:val="21"/>
                <w:highlight w:val="none"/>
                <w:lang w:val="en-US" w:eastAsia="zh-CN" w:bidi="ar"/>
              </w:rPr>
              <w:t>，</w:t>
            </w:r>
            <w:r>
              <w:rPr>
                <w:rFonts w:hint="default" w:ascii="Times New Roman" w:hAnsi="Times New Roman" w:eastAsia="宋体" w:cs="Times New Roman"/>
                <w:color w:val="auto"/>
                <w:kern w:val="0"/>
                <w:sz w:val="21"/>
                <w:szCs w:val="21"/>
                <w:highlight w:val="none"/>
                <w:lang w:val="en-US" w:eastAsia="zh-CN" w:bidi="ar"/>
              </w:rPr>
              <w:t>N</w:t>
            </w:r>
            <w:r>
              <w:rPr>
                <w:rFonts w:hint="default" w:ascii="Times New Roman" w:hAnsi="Times New Roman" w:cs="Times New Roman"/>
                <w:color w:val="auto"/>
                <w:kern w:val="0"/>
                <w:sz w:val="21"/>
                <w:szCs w:val="21"/>
                <w:highlight w:val="none"/>
                <w:lang w:val="en-US" w:eastAsia="zh-CN" w:bidi="ar"/>
              </w:rPr>
              <w:t>22°</w:t>
            </w:r>
            <w:r>
              <w:rPr>
                <w:rFonts w:hint="eastAsia" w:cs="Times New Roman"/>
                <w:color w:val="auto"/>
                <w:kern w:val="0"/>
                <w:sz w:val="21"/>
                <w:szCs w:val="21"/>
                <w:highlight w:val="none"/>
                <w:lang w:val="en-US" w:eastAsia="zh-CN" w:bidi="ar"/>
              </w:rPr>
              <w:t>33</w:t>
            </w:r>
            <w:r>
              <w:rPr>
                <w:rFonts w:hint="default" w:ascii="Times New Roman" w:hAnsi="Times New Roman" w:cs="Times New Roman"/>
                <w:color w:val="auto"/>
                <w:kern w:val="0"/>
                <w:sz w:val="21"/>
                <w:szCs w:val="21"/>
                <w:highlight w:val="none"/>
                <w:lang w:val="en-US" w:eastAsia="zh-CN" w:bidi="ar"/>
              </w:rPr>
              <w:t>′</w:t>
            </w:r>
            <w:r>
              <w:rPr>
                <w:rFonts w:hint="eastAsia" w:cs="Times New Roman"/>
                <w:color w:val="auto"/>
                <w:kern w:val="0"/>
                <w:sz w:val="21"/>
                <w:szCs w:val="21"/>
                <w:highlight w:val="none"/>
                <w:lang w:val="en-US" w:eastAsia="zh-CN" w:bidi="ar"/>
              </w:rPr>
              <w:t>23.405</w:t>
            </w:r>
            <w:r>
              <w:rPr>
                <w:rFonts w:hint="default" w:ascii="Times New Roman" w:hAnsi="Times New Roman" w:cs="Times New Roman"/>
                <w:color w:val="auto"/>
                <w:kern w:val="0"/>
                <w:sz w:val="21"/>
                <w:szCs w:val="21"/>
                <w:highlight w:val="none"/>
                <w:lang w:val="en-US" w:eastAsia="zh-CN" w:bidi="ar"/>
              </w:rPr>
              <w:t>″</w:t>
            </w:r>
            <w:r>
              <w:rPr>
                <w:rFonts w:hint="default" w:ascii="Times New Roman" w:hAnsi="Times New Roman" w:eastAsia="宋体" w:cs="Times New Roman"/>
                <w:b w:val="0"/>
                <w:bCs/>
                <w:color w:val="auto"/>
                <w:sz w:val="21"/>
                <w:szCs w:val="21"/>
                <w:highlight w:val="none"/>
              </w:rPr>
              <w:t>）。项目总投资为</w:t>
            </w:r>
            <w:r>
              <w:rPr>
                <w:rFonts w:hint="eastAsia" w:cs="Times New Roman"/>
                <w:b w:val="0"/>
                <w:bCs/>
                <w:color w:val="auto"/>
                <w:sz w:val="21"/>
                <w:szCs w:val="21"/>
                <w:highlight w:val="none"/>
                <w:lang w:val="en-US" w:eastAsia="zh-CN"/>
              </w:rPr>
              <w:t>100</w:t>
            </w:r>
            <w:r>
              <w:rPr>
                <w:rFonts w:hint="default" w:ascii="Times New Roman" w:hAnsi="Times New Roman" w:eastAsia="宋体" w:cs="Times New Roman"/>
                <w:b w:val="0"/>
                <w:bCs/>
                <w:color w:val="auto"/>
                <w:sz w:val="21"/>
                <w:szCs w:val="21"/>
                <w:highlight w:val="none"/>
              </w:rPr>
              <w:t>万元，环保投资</w:t>
            </w:r>
            <w:r>
              <w:rPr>
                <w:rFonts w:hint="eastAsia" w:cs="Times New Roman"/>
                <w:b w:val="0"/>
                <w:bCs/>
                <w:color w:val="auto"/>
                <w:sz w:val="21"/>
                <w:szCs w:val="21"/>
                <w:highlight w:val="none"/>
                <w:lang w:val="en-US" w:eastAsia="zh-CN"/>
              </w:rPr>
              <w:t>10</w:t>
            </w:r>
            <w:r>
              <w:rPr>
                <w:rFonts w:hint="default" w:ascii="Times New Roman" w:hAnsi="Times New Roman" w:eastAsia="宋体" w:cs="Times New Roman"/>
                <w:b w:val="0"/>
                <w:bCs/>
                <w:color w:val="auto"/>
                <w:sz w:val="21"/>
                <w:szCs w:val="21"/>
                <w:highlight w:val="none"/>
              </w:rPr>
              <w:t>万元，用地面积</w:t>
            </w:r>
            <w:r>
              <w:rPr>
                <w:rFonts w:hint="eastAsia" w:cs="Times New Roman"/>
                <w:color w:val="auto"/>
                <w:sz w:val="21"/>
                <w:szCs w:val="21"/>
                <w:highlight w:val="none"/>
                <w:lang w:val="en-US" w:eastAsia="zh-CN"/>
              </w:rPr>
              <w:t>900</w:t>
            </w:r>
            <w:r>
              <w:rPr>
                <w:rFonts w:hint="default" w:ascii="Times New Roman" w:hAnsi="Times New Roman" w:eastAsia="宋体" w:cs="Times New Roman"/>
                <w:b w:val="0"/>
                <w:bCs/>
                <w:color w:val="auto"/>
                <w:sz w:val="21"/>
                <w:szCs w:val="21"/>
                <w:highlight w:val="none"/>
              </w:rPr>
              <w:t>平方米，建筑面积为</w:t>
            </w:r>
            <w:r>
              <w:rPr>
                <w:rFonts w:hint="eastAsia" w:cs="Times New Roman"/>
                <w:color w:val="auto"/>
                <w:sz w:val="21"/>
                <w:szCs w:val="21"/>
                <w:highlight w:val="none"/>
                <w:lang w:val="en-US" w:eastAsia="zh-CN"/>
              </w:rPr>
              <w:t>900</w:t>
            </w:r>
            <w:r>
              <w:rPr>
                <w:rFonts w:hint="default" w:ascii="Times New Roman" w:hAnsi="Times New Roman" w:eastAsia="宋体" w:cs="Times New Roman"/>
                <w:b w:val="0"/>
                <w:bCs/>
                <w:color w:val="auto"/>
                <w:sz w:val="21"/>
                <w:szCs w:val="21"/>
                <w:highlight w:val="none"/>
              </w:rPr>
              <w:t>平方米。主要从事</w:t>
            </w:r>
            <w:r>
              <w:rPr>
                <w:rFonts w:hint="default" w:ascii="Times New Roman" w:hAnsi="Times New Roman" w:eastAsia="宋体" w:cs="Times New Roman"/>
                <w:b w:val="0"/>
                <w:bCs/>
                <w:color w:val="auto"/>
                <w:sz w:val="21"/>
                <w:szCs w:val="21"/>
                <w:highlight w:val="none"/>
                <w:lang w:val="en-US" w:eastAsia="zh-CN"/>
              </w:rPr>
              <w:t>环境</w:t>
            </w:r>
            <w:r>
              <w:rPr>
                <w:rFonts w:hint="default" w:ascii="Times New Roman" w:hAnsi="Times New Roman" w:eastAsia="宋体" w:cs="Times New Roman"/>
                <w:b w:val="0"/>
                <w:bCs/>
                <w:color w:val="auto"/>
                <w:sz w:val="21"/>
                <w:szCs w:val="21"/>
                <w:highlight w:val="none"/>
              </w:rPr>
              <w:t>检测</w:t>
            </w:r>
            <w:r>
              <w:rPr>
                <w:rFonts w:hint="default" w:ascii="Times New Roman" w:hAnsi="Times New Roman" w:eastAsia="宋体" w:cs="Times New Roman"/>
                <w:b w:val="0"/>
                <w:bCs/>
                <w:color w:val="auto"/>
                <w:sz w:val="21"/>
                <w:szCs w:val="21"/>
                <w:highlight w:val="none"/>
                <w:lang w:val="en-US" w:eastAsia="zh-CN"/>
              </w:rPr>
              <w:t>技术服务</w:t>
            </w:r>
            <w:r>
              <w:rPr>
                <w:rFonts w:hint="default" w:ascii="Times New Roman" w:hAnsi="Times New Roman" w:eastAsia="宋体" w:cs="Times New Roman"/>
                <w:b w:val="0"/>
                <w:bCs/>
                <w:color w:val="auto"/>
                <w:sz w:val="21"/>
                <w:szCs w:val="21"/>
                <w:highlight w:val="none"/>
              </w:rPr>
              <w:t>等，</w:t>
            </w:r>
            <w:r>
              <w:rPr>
                <w:rFonts w:hint="default" w:ascii="Times New Roman" w:hAnsi="Times New Roman" w:eastAsia="宋体" w:cs="Times New Roman"/>
                <w:b w:val="0"/>
                <w:bCs/>
                <w:color w:val="auto"/>
                <w:sz w:val="21"/>
                <w:szCs w:val="21"/>
                <w:highlight w:val="none"/>
                <w:lang w:val="en-US" w:eastAsia="zh-CN"/>
              </w:rPr>
              <w:t>年编制800份环境检测报告</w:t>
            </w:r>
            <w:r>
              <w:rPr>
                <w:rFonts w:hint="eastAsia" w:cs="Times New Roman"/>
                <w:b w:val="0"/>
                <w:bCs/>
                <w:color w:val="auto"/>
                <w:sz w:val="21"/>
                <w:szCs w:val="21"/>
                <w:highlight w:val="none"/>
                <w:lang w:val="en-US" w:eastAsia="zh-CN"/>
              </w:rPr>
              <w:t>。</w:t>
            </w:r>
          </w:p>
          <w:p w14:paraId="10A233D4">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本项目</w:t>
            </w:r>
            <w:r>
              <w:rPr>
                <w:rFonts w:hint="eastAsia" w:cs="Times New Roman"/>
                <w:color w:val="auto"/>
                <w:sz w:val="21"/>
                <w:szCs w:val="21"/>
                <w:highlight w:val="none"/>
                <w:lang w:val="en-US" w:eastAsia="zh-CN"/>
              </w:rPr>
              <w:t>租用</w:t>
            </w:r>
            <w:r>
              <w:rPr>
                <w:rFonts w:hint="default" w:ascii="Times New Roman" w:hAnsi="Times New Roman" w:eastAsia="宋体" w:cs="Times New Roman"/>
                <w:color w:val="auto"/>
                <w:sz w:val="21"/>
                <w:szCs w:val="21"/>
                <w:highlight w:val="none"/>
                <w:lang w:val="en-US" w:eastAsia="zh-CN"/>
              </w:rPr>
              <w:t>在1栋（共</w:t>
            </w:r>
            <w:r>
              <w:rPr>
                <w:rFonts w:hint="eastAsia" w:cs="Times New Roman"/>
                <w:color w:val="auto"/>
                <w:sz w:val="21"/>
                <w:szCs w:val="21"/>
                <w:highlight w:val="none"/>
                <w:lang w:val="en-US" w:eastAsia="zh-CN"/>
              </w:rPr>
              <w:t>8</w:t>
            </w:r>
            <w:r>
              <w:rPr>
                <w:rFonts w:hint="default" w:ascii="Times New Roman" w:hAnsi="Times New Roman" w:eastAsia="宋体" w:cs="Times New Roman"/>
                <w:color w:val="auto"/>
                <w:sz w:val="21"/>
                <w:szCs w:val="21"/>
                <w:highlight w:val="none"/>
                <w:lang w:val="en-US" w:eastAsia="zh-CN"/>
              </w:rPr>
              <w:t>层）钢混结构厂房的第</w:t>
            </w:r>
            <w:r>
              <w:rPr>
                <w:rFonts w:hint="eastAsia" w:cs="Times New Roman"/>
                <w:color w:val="auto"/>
                <w:sz w:val="21"/>
                <w:szCs w:val="21"/>
                <w:highlight w:val="none"/>
                <w:lang w:val="en-US" w:eastAsia="zh-CN"/>
              </w:rPr>
              <w:t>八层南面区域，</w:t>
            </w:r>
            <w:r>
              <w:rPr>
                <w:rFonts w:hint="eastAsia" w:ascii="Times New Roman" w:cs="Times New Roman"/>
                <w:b w:val="0"/>
                <w:bCs/>
                <w:color w:val="auto"/>
                <w:sz w:val="21"/>
                <w:szCs w:val="21"/>
                <w:highlight w:val="none"/>
                <w:lang w:val="en-US" w:eastAsia="zh-CN"/>
              </w:rPr>
              <w:t>所在建筑</w:t>
            </w:r>
            <w:r>
              <w:rPr>
                <w:rFonts w:hint="eastAsia" w:cs="Times New Roman"/>
                <w:b w:val="0"/>
                <w:bCs/>
                <w:color w:val="auto"/>
                <w:sz w:val="21"/>
                <w:szCs w:val="21"/>
                <w:highlight w:val="none"/>
                <w:lang w:val="en-US" w:eastAsia="zh-CN"/>
              </w:rPr>
              <w:t>1层为华宇（中山）服装有限公司，2层为中山炫超照明科技有限公司，3层为腾泓电子（中山）有限公司，4层为赫斯莱德（广东）科技有限公司，5层为广东圣和电气工程有限公司，6层为宇成精密模具有限公司，7层为北面为深圳市凯威精密配件有限公司中山分公司、南面为中山市瑞耐博国际贸易有限公司，8层北面为中山众成财富企业管理合伙企业</w:t>
            </w:r>
            <w:r>
              <w:rPr>
                <w:rFonts w:hint="default" w:ascii="Times New Roman" w:hAnsi="Times New Roman" w:eastAsia="宋体" w:cs="Times New Roman"/>
                <w:b w:val="0"/>
                <w:bCs/>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项目所在</w:t>
            </w:r>
            <w:r>
              <w:rPr>
                <w:rFonts w:hint="eastAsia" w:cs="Times New Roman"/>
                <w:color w:val="auto"/>
                <w:sz w:val="21"/>
                <w:szCs w:val="21"/>
                <w:highlight w:val="none"/>
                <w:lang w:val="en-US" w:eastAsia="zh-CN"/>
              </w:rPr>
              <w:t>地</w:t>
            </w:r>
            <w:r>
              <w:rPr>
                <w:rFonts w:hint="default" w:ascii="Times New Roman" w:hAnsi="Times New Roman" w:eastAsia="宋体" w:cs="Times New Roman"/>
                <w:color w:val="auto"/>
                <w:sz w:val="21"/>
                <w:szCs w:val="21"/>
                <w:highlight w:val="none"/>
                <w:lang w:val="en-US" w:eastAsia="zh-CN"/>
              </w:rPr>
              <w:t>西面为</w:t>
            </w:r>
            <w:r>
              <w:rPr>
                <w:rFonts w:ascii="Arial" w:hAnsi="Arial" w:eastAsia="宋体" w:cs="Arial"/>
                <w:b w:val="0"/>
                <w:bCs w:val="0"/>
                <w:i w:val="0"/>
                <w:iCs w:val="0"/>
                <w:caps w:val="0"/>
                <w:color w:val="auto"/>
                <w:spacing w:val="0"/>
                <w:sz w:val="21"/>
                <w:szCs w:val="21"/>
                <w:highlight w:val="none"/>
                <w:shd w:val="clear" w:fill="FFFFFF"/>
              </w:rPr>
              <w:t>协昱电子</w:t>
            </w:r>
            <w:r>
              <w:rPr>
                <w:rFonts w:hint="eastAsia" w:ascii="Arial" w:hAnsi="Arial" w:cs="Arial"/>
                <w:b w:val="0"/>
                <w:bCs w:val="0"/>
                <w:i w:val="0"/>
                <w:iCs w:val="0"/>
                <w:caps w:val="0"/>
                <w:color w:val="auto"/>
                <w:spacing w:val="0"/>
                <w:sz w:val="21"/>
                <w:szCs w:val="21"/>
                <w:highlight w:val="none"/>
                <w:shd w:val="clear" w:fill="FFFFFF"/>
                <w:lang w:val="en-US" w:eastAsia="zh-CN"/>
              </w:rPr>
              <w:t>公司</w:t>
            </w:r>
            <w:r>
              <w:rPr>
                <w:rFonts w:hint="default" w:ascii="Times New Roman" w:hAnsi="Times New Roman" w:eastAsia="宋体" w:cs="Times New Roman"/>
                <w:color w:val="auto"/>
                <w:sz w:val="21"/>
                <w:szCs w:val="21"/>
                <w:highlight w:val="none"/>
                <w:lang w:val="en-US" w:eastAsia="zh-CN"/>
              </w:rPr>
              <w:t>；南面为</w:t>
            </w:r>
            <w:r>
              <w:rPr>
                <w:rFonts w:hint="eastAsia" w:cs="Times New Roman"/>
                <w:color w:val="auto"/>
                <w:sz w:val="21"/>
                <w:szCs w:val="21"/>
                <w:highlight w:val="none"/>
                <w:lang w:val="en-US" w:eastAsia="zh-CN"/>
              </w:rPr>
              <w:t>沙边路</w:t>
            </w:r>
            <w:r>
              <w:rPr>
                <w:rFonts w:hint="default"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隔路为润兴达工业园</w:t>
            </w:r>
            <w:r>
              <w:rPr>
                <w:rFonts w:hint="default" w:ascii="Times New Roman" w:hAnsi="Times New Roman" w:eastAsia="宋体" w:cs="Times New Roman"/>
                <w:color w:val="auto"/>
                <w:sz w:val="21"/>
                <w:szCs w:val="21"/>
                <w:highlight w:val="none"/>
                <w:lang w:val="en-US" w:eastAsia="zh-CN"/>
              </w:rPr>
              <w:t>；东面为</w:t>
            </w:r>
            <w:r>
              <w:rPr>
                <w:rFonts w:hint="eastAsia" w:cs="Times New Roman"/>
                <w:color w:val="auto"/>
                <w:sz w:val="21"/>
                <w:szCs w:val="21"/>
                <w:highlight w:val="none"/>
                <w:lang w:val="en-US" w:eastAsia="zh-CN"/>
              </w:rPr>
              <w:t>保安室和广东靖鹏电力工程有限公司</w:t>
            </w:r>
            <w:r>
              <w:rPr>
                <w:rFonts w:hint="default" w:ascii="Times New Roman" w:hAnsi="Times New Roman" w:eastAsia="宋体" w:cs="Times New Roman"/>
                <w:color w:val="auto"/>
                <w:sz w:val="21"/>
                <w:szCs w:val="21"/>
                <w:highlight w:val="none"/>
                <w:lang w:val="en-US" w:eastAsia="zh-CN"/>
              </w:rPr>
              <w:t>；北面为</w:t>
            </w:r>
            <w:r>
              <w:rPr>
                <w:rFonts w:hint="eastAsia" w:cs="Times New Roman"/>
                <w:color w:val="auto"/>
                <w:sz w:val="21"/>
                <w:szCs w:val="21"/>
                <w:highlight w:val="none"/>
                <w:lang w:val="en-US" w:eastAsia="zh-CN"/>
              </w:rPr>
              <w:t>欧科木业有限公司</w:t>
            </w:r>
            <w:r>
              <w:rPr>
                <w:rFonts w:hint="eastAsia" w:cs="Times New Roman"/>
                <w:color w:val="auto"/>
                <w:sz w:val="21"/>
                <w:szCs w:val="21"/>
                <w:highlight w:val="none"/>
                <w:lang w:val="en-US" w:eastAsia="zh-CN"/>
              </w:rPr>
              <w:t>和</w:t>
            </w:r>
            <w:r>
              <w:rPr>
                <w:rFonts w:hint="eastAsia" w:cs="Times New Roman"/>
                <w:b w:val="0"/>
                <w:bCs/>
                <w:color w:val="auto"/>
                <w:sz w:val="21"/>
                <w:szCs w:val="21"/>
                <w:highlight w:val="none"/>
                <w:lang w:val="en-US" w:eastAsia="zh-CN"/>
              </w:rPr>
              <w:t>中山众成财富企业管理合伙企业</w:t>
            </w:r>
            <w:r>
              <w:rPr>
                <w:rFonts w:hint="default" w:ascii="Times New Roman" w:hAnsi="Times New Roman" w:eastAsia="宋体" w:cs="Times New Roman"/>
                <w:color w:val="auto"/>
                <w:sz w:val="21"/>
                <w:szCs w:val="21"/>
                <w:highlight w:val="none"/>
                <w:lang w:val="en-US" w:eastAsia="zh-CN"/>
              </w:rPr>
              <w:t>。</w:t>
            </w:r>
          </w:p>
          <w:p w14:paraId="0582DCDB">
            <w:pPr>
              <w:keepNext w:val="0"/>
              <w:keepLines w:val="0"/>
              <w:widowControl/>
              <w:suppressLineNumbers w:val="0"/>
              <w:pBdr>
                <w:top w:val="none" w:color="auto" w:sz="0" w:space="0"/>
                <w:left w:val="none" w:color="auto" w:sz="0" w:space="0"/>
                <w:bottom w:val="none" w:color="auto" w:sz="0" w:space="0"/>
                <w:right w:val="none" w:color="auto" w:sz="0" w:space="0"/>
              </w:pBdr>
              <w:shd w:val="clear" w:color="auto"/>
              <w:spacing w:before="0" w:beforeAutospacing="0" w:after="240" w:afterAutospacing="0" w:line="360" w:lineRule="auto"/>
              <w:ind w:left="0" w:right="0" w:firstLine="482" w:firstLineChars="200"/>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rPr>
              <w:t>1、基本信息</w:t>
            </w:r>
          </w:p>
          <w:p w14:paraId="332DED42">
            <w:pPr>
              <w:keepNext/>
              <w:keepLines/>
              <w:pageBreakBefore w:val="0"/>
              <w:widowControl w:val="0"/>
              <w:numPr>
                <w:ilvl w:val="0"/>
                <w:numId w:val="0"/>
              </w:numPr>
              <w:suppressLineNumbers w:val="0"/>
              <w:shd w:val="clear"/>
              <w:kinsoku/>
              <w:bidi w:val="0"/>
              <w:spacing w:before="0" w:beforeAutospacing="0" w:after="0" w:afterAutospacing="0" w:line="360" w:lineRule="auto"/>
              <w:ind w:left="420" w:leftChars="0" w:right="0" w:rightChars="0" w:hanging="420" w:firstLineChars="0"/>
              <w:jc w:val="center"/>
              <w:textAlignment w:val="baseline"/>
              <w:outlineLvl w:val="7"/>
              <w:rPr>
                <w:rFonts w:hint="default" w:ascii="Times New Roman" w:hAnsi="Times New Roman" w:eastAsia="宋体" w:cs="Times New Roman"/>
                <w:b/>
                <w:color w:val="auto"/>
                <w:kern w:val="2"/>
                <w:sz w:val="24"/>
                <w:szCs w:val="24"/>
                <w:highlight w:val="none"/>
                <w:lang w:val="en-US" w:eastAsia="zh-CN" w:bidi="ar-SA"/>
              </w:rPr>
            </w:pPr>
            <w:r>
              <w:rPr>
                <w:rFonts w:hint="default" w:ascii="Times New Roman" w:hAnsi="Times New Roman" w:eastAsia="宋体" w:cs="Times New Roman"/>
                <w:b/>
                <w:color w:val="auto"/>
                <w:kern w:val="2"/>
                <w:sz w:val="24"/>
                <w:szCs w:val="24"/>
                <w:highlight w:val="none"/>
                <w:lang w:val="en-US" w:eastAsia="zh-CN" w:bidi="ar-SA"/>
              </w:rPr>
              <w:t>表3本项目工程组成一览表</w:t>
            </w:r>
          </w:p>
          <w:tbl>
            <w:tblPr>
              <w:tblStyle w:val="33"/>
              <w:tblW w:w="474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07"/>
              <w:gridCol w:w="1135"/>
              <w:gridCol w:w="5741"/>
            </w:tblGrid>
            <w:tr w14:paraId="396635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93" w:type="pct"/>
                  <w:noWrap w:val="0"/>
                  <w:vAlign w:val="center"/>
                </w:tcPr>
                <w:p w14:paraId="06FE0F58">
                  <w:pPr>
                    <w:keepNext w:val="0"/>
                    <w:keepLines w:val="0"/>
                    <w:pageBreakBefore w:val="0"/>
                    <w:widowControl w:val="0"/>
                    <w:shd w:val="clear"/>
                    <w:kinsoku/>
                    <w:wordWrap/>
                    <w:overflowPunct/>
                    <w:topLinePunct w:val="0"/>
                    <w:autoSpaceDE/>
                    <w:autoSpaceDN/>
                    <w:bidi w:val="0"/>
                    <w:adjustRightInd w:val="0"/>
                    <w:snapToGrid w:val="0"/>
                    <w:spacing w:before="157" w:beforeLines="50" w:line="240" w:lineRule="auto"/>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b/>
                      <w:bCs/>
                      <w:color w:val="auto"/>
                      <w:sz w:val="21"/>
                      <w:szCs w:val="21"/>
                      <w:highlight w:val="none"/>
                      <w:lang w:val="en-US" w:eastAsia="zh-CN"/>
                    </w:rPr>
                    <w:t>工程类别</w:t>
                  </w:r>
                </w:p>
              </w:tc>
              <w:tc>
                <w:tcPr>
                  <w:tcW w:w="711" w:type="pct"/>
                  <w:noWrap w:val="0"/>
                  <w:vAlign w:val="center"/>
                </w:tcPr>
                <w:p w14:paraId="6F92A144">
                  <w:pPr>
                    <w:keepNext w:val="0"/>
                    <w:keepLines w:val="0"/>
                    <w:pageBreakBefore w:val="0"/>
                    <w:widowControl w:val="0"/>
                    <w:shd w:val="clear"/>
                    <w:kinsoku/>
                    <w:wordWrap/>
                    <w:overflowPunct/>
                    <w:topLinePunct w:val="0"/>
                    <w:autoSpaceDE/>
                    <w:autoSpaceDN/>
                    <w:bidi w:val="0"/>
                    <w:adjustRightInd w:val="0"/>
                    <w:snapToGrid w:val="0"/>
                    <w:spacing w:before="157" w:beforeLines="50" w:line="240" w:lineRule="auto"/>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b/>
                      <w:bCs/>
                      <w:color w:val="auto"/>
                      <w:sz w:val="21"/>
                      <w:szCs w:val="21"/>
                      <w:highlight w:val="none"/>
                      <w:lang w:val="en-US" w:eastAsia="zh-CN"/>
                    </w:rPr>
                    <w:t>工程内容</w:t>
                  </w:r>
                </w:p>
              </w:tc>
              <w:tc>
                <w:tcPr>
                  <w:tcW w:w="3595" w:type="pct"/>
                  <w:noWrap w:val="0"/>
                  <w:vAlign w:val="center"/>
                </w:tcPr>
                <w:p w14:paraId="41704D0B">
                  <w:pPr>
                    <w:keepNext w:val="0"/>
                    <w:keepLines w:val="0"/>
                    <w:pageBreakBefore w:val="0"/>
                    <w:widowControl w:val="0"/>
                    <w:shd w:val="clear"/>
                    <w:kinsoku/>
                    <w:wordWrap/>
                    <w:overflowPunct/>
                    <w:topLinePunct w:val="0"/>
                    <w:autoSpaceDE/>
                    <w:autoSpaceDN/>
                    <w:bidi w:val="0"/>
                    <w:adjustRightInd w:val="0"/>
                    <w:snapToGrid w:val="0"/>
                    <w:spacing w:before="157" w:beforeLines="50"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建设内容和规模</w:t>
                  </w:r>
                </w:p>
              </w:tc>
            </w:tr>
            <w:tr w14:paraId="2BFFCD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1" w:hRule="atLeast"/>
                <w:jc w:val="center"/>
              </w:trPr>
              <w:tc>
                <w:tcPr>
                  <w:tcW w:w="693" w:type="pct"/>
                  <w:noWrap w:val="0"/>
                  <w:vAlign w:val="center"/>
                </w:tcPr>
                <w:p w14:paraId="77DE65E3">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工程概况</w:t>
                  </w:r>
                </w:p>
              </w:tc>
              <w:tc>
                <w:tcPr>
                  <w:tcW w:w="4306" w:type="pct"/>
                  <w:gridSpan w:val="2"/>
                  <w:noWrap w:val="0"/>
                  <w:vAlign w:val="center"/>
                </w:tcPr>
                <w:p w14:paraId="64A88E76">
                  <w:pPr>
                    <w:keepNext w:val="0"/>
                    <w:keepLines w:val="0"/>
                    <w:pageBreakBefore w:val="0"/>
                    <w:widowControl w:val="0"/>
                    <w:shd w:val="clear"/>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shd w:val="clear"/>
                      <w:lang w:val="en-US" w:eastAsia="zh-CN"/>
                    </w:rPr>
                    <w:t>总用地面积为</w:t>
                  </w:r>
                  <w:r>
                    <w:rPr>
                      <w:rFonts w:hint="eastAsia" w:cs="Times New Roman"/>
                      <w:color w:val="auto"/>
                      <w:sz w:val="21"/>
                      <w:szCs w:val="21"/>
                      <w:highlight w:val="none"/>
                      <w:shd w:val="clear"/>
                      <w:lang w:val="en-US" w:eastAsia="zh-CN"/>
                    </w:rPr>
                    <w:t>900</w:t>
                  </w:r>
                  <w:r>
                    <w:rPr>
                      <w:rFonts w:hint="default" w:ascii="Times New Roman" w:hAnsi="Times New Roman" w:eastAsia="宋体" w:cs="Times New Roman"/>
                      <w:color w:val="auto"/>
                      <w:sz w:val="21"/>
                      <w:szCs w:val="21"/>
                      <w:highlight w:val="none"/>
                      <w:shd w:val="clear"/>
                      <w:lang w:val="en-US" w:eastAsia="zh-CN"/>
                    </w:rPr>
                    <w:t>m</w:t>
                  </w:r>
                  <w:r>
                    <w:rPr>
                      <w:rFonts w:hint="default" w:ascii="Times New Roman" w:hAnsi="Times New Roman" w:eastAsia="宋体" w:cs="Times New Roman"/>
                      <w:color w:val="auto"/>
                      <w:sz w:val="21"/>
                      <w:szCs w:val="21"/>
                      <w:highlight w:val="none"/>
                      <w:shd w:val="clear"/>
                      <w:vertAlign w:val="superscript"/>
                      <w:lang w:val="en-US" w:eastAsia="zh-CN"/>
                    </w:rPr>
                    <w:t>2</w:t>
                  </w:r>
                  <w:r>
                    <w:rPr>
                      <w:rFonts w:hint="default" w:ascii="Times New Roman" w:hAnsi="Times New Roman" w:eastAsia="宋体" w:cs="Times New Roman"/>
                      <w:color w:val="auto"/>
                      <w:sz w:val="21"/>
                      <w:szCs w:val="21"/>
                      <w:highlight w:val="none"/>
                      <w:shd w:val="clear"/>
                      <w:lang w:val="en-US" w:eastAsia="zh-CN"/>
                    </w:rPr>
                    <w:t>，总建筑面积为</w:t>
                  </w:r>
                  <w:r>
                    <w:rPr>
                      <w:rFonts w:hint="eastAsia" w:cs="Times New Roman"/>
                      <w:color w:val="auto"/>
                      <w:sz w:val="21"/>
                      <w:szCs w:val="21"/>
                      <w:highlight w:val="none"/>
                      <w:shd w:val="clear"/>
                      <w:lang w:val="en-US" w:eastAsia="zh-CN"/>
                    </w:rPr>
                    <w:t>900</w:t>
                  </w:r>
                  <w:r>
                    <w:rPr>
                      <w:rFonts w:hint="default" w:ascii="Times New Roman" w:hAnsi="Times New Roman" w:eastAsia="宋体" w:cs="Times New Roman"/>
                      <w:color w:val="auto"/>
                      <w:sz w:val="21"/>
                      <w:szCs w:val="21"/>
                      <w:highlight w:val="none"/>
                      <w:shd w:val="clear"/>
                      <w:lang w:val="en-US" w:eastAsia="zh-CN"/>
                    </w:rPr>
                    <w:t>m</w:t>
                  </w:r>
                  <w:r>
                    <w:rPr>
                      <w:rFonts w:hint="default" w:ascii="Times New Roman" w:hAnsi="Times New Roman" w:eastAsia="宋体" w:cs="Times New Roman"/>
                      <w:color w:val="auto"/>
                      <w:sz w:val="21"/>
                      <w:szCs w:val="21"/>
                      <w:highlight w:val="none"/>
                      <w:shd w:val="clear"/>
                      <w:vertAlign w:val="superscript"/>
                      <w:lang w:val="en-US" w:eastAsia="zh-CN"/>
                    </w:rPr>
                    <w:t>2</w:t>
                  </w:r>
                  <w:r>
                    <w:rPr>
                      <w:rFonts w:hint="default" w:ascii="Times New Roman" w:hAnsi="Times New Roman" w:eastAsia="宋体" w:cs="Times New Roman"/>
                      <w:color w:val="auto"/>
                      <w:sz w:val="21"/>
                      <w:szCs w:val="21"/>
                      <w:highlight w:val="none"/>
                      <w:shd w:val="clear"/>
                      <w:lang w:val="en-US" w:eastAsia="zh-CN"/>
                    </w:rPr>
                    <w:t>。</w:t>
                  </w:r>
                  <w:r>
                    <w:rPr>
                      <w:rFonts w:hint="default" w:ascii="Times New Roman" w:hAnsi="Times New Roman" w:eastAsia="宋体" w:cs="Times New Roman"/>
                      <w:color w:val="auto"/>
                      <w:sz w:val="21"/>
                      <w:szCs w:val="21"/>
                      <w:highlight w:val="none"/>
                      <w:lang w:val="en-US" w:eastAsia="zh-CN"/>
                    </w:rPr>
                    <w:t>本项目</w:t>
                  </w:r>
                  <w:r>
                    <w:rPr>
                      <w:rFonts w:hint="eastAsia" w:cs="Times New Roman"/>
                      <w:color w:val="auto"/>
                      <w:sz w:val="21"/>
                      <w:szCs w:val="21"/>
                      <w:highlight w:val="none"/>
                      <w:lang w:val="en-US" w:eastAsia="zh-CN"/>
                    </w:rPr>
                    <w:t>租用</w:t>
                  </w:r>
                  <w:r>
                    <w:rPr>
                      <w:rFonts w:hint="default" w:ascii="Times New Roman" w:hAnsi="Times New Roman" w:eastAsia="宋体" w:cs="Times New Roman"/>
                      <w:color w:val="auto"/>
                      <w:sz w:val="21"/>
                      <w:szCs w:val="21"/>
                      <w:highlight w:val="none"/>
                      <w:lang w:val="en-US" w:eastAsia="zh-CN"/>
                    </w:rPr>
                    <w:t>在1栋（共</w:t>
                  </w:r>
                  <w:r>
                    <w:rPr>
                      <w:rFonts w:hint="eastAsia" w:cs="Times New Roman"/>
                      <w:color w:val="auto"/>
                      <w:sz w:val="21"/>
                      <w:szCs w:val="21"/>
                      <w:highlight w:val="none"/>
                      <w:lang w:val="en-US" w:eastAsia="zh-CN"/>
                    </w:rPr>
                    <w:t>8</w:t>
                  </w:r>
                  <w:r>
                    <w:rPr>
                      <w:rFonts w:hint="default" w:ascii="Times New Roman" w:hAnsi="Times New Roman" w:eastAsia="宋体" w:cs="Times New Roman"/>
                      <w:color w:val="auto"/>
                      <w:sz w:val="21"/>
                      <w:szCs w:val="21"/>
                      <w:highlight w:val="none"/>
                      <w:lang w:val="en-US" w:eastAsia="zh-CN"/>
                    </w:rPr>
                    <w:t>层）钢混结构厂房的第</w:t>
                  </w:r>
                  <w:r>
                    <w:rPr>
                      <w:rFonts w:hint="eastAsia" w:cs="Times New Roman"/>
                      <w:color w:val="auto"/>
                      <w:sz w:val="21"/>
                      <w:szCs w:val="21"/>
                      <w:highlight w:val="none"/>
                      <w:lang w:val="en-US" w:eastAsia="zh-CN"/>
                    </w:rPr>
                    <w:t>八层南面区域（详见附图1）</w:t>
                  </w:r>
                  <w:r>
                    <w:rPr>
                      <w:rFonts w:hint="default" w:ascii="Times New Roman" w:hAnsi="Times New Roman" w:eastAsia="宋体" w:cs="Times New Roman"/>
                      <w:color w:val="auto"/>
                      <w:sz w:val="21"/>
                      <w:szCs w:val="21"/>
                      <w:highlight w:val="none"/>
                      <w:lang w:val="en-US" w:eastAsia="zh-CN"/>
                    </w:rPr>
                    <w:t>，所在建筑</w:t>
                  </w:r>
                  <w:r>
                    <w:rPr>
                      <w:rFonts w:hint="eastAsia" w:cs="Times New Roman"/>
                      <w:color w:val="auto"/>
                      <w:sz w:val="21"/>
                      <w:szCs w:val="21"/>
                      <w:highlight w:val="none"/>
                      <w:lang w:val="en-US" w:eastAsia="zh-CN"/>
                    </w:rPr>
                    <w:t>1-8层高均为5m，</w:t>
                  </w:r>
                  <w:r>
                    <w:rPr>
                      <w:rFonts w:hint="default" w:ascii="Times New Roman" w:hAnsi="Times New Roman" w:eastAsia="宋体" w:cs="Times New Roman"/>
                      <w:color w:val="auto"/>
                      <w:sz w:val="21"/>
                      <w:szCs w:val="21"/>
                      <w:highlight w:val="none"/>
                      <w:lang w:val="en-US" w:eastAsia="zh-CN"/>
                    </w:rPr>
                    <w:t>建筑总高度为</w:t>
                  </w:r>
                  <w:r>
                    <w:rPr>
                      <w:rFonts w:hint="eastAsia" w:cs="Times New Roman"/>
                      <w:color w:val="auto"/>
                      <w:sz w:val="21"/>
                      <w:szCs w:val="21"/>
                      <w:highlight w:val="none"/>
                      <w:lang w:val="en-US" w:eastAsia="zh-CN"/>
                    </w:rPr>
                    <w:t>40</w:t>
                  </w:r>
                  <w:r>
                    <w:rPr>
                      <w:rFonts w:hint="default" w:ascii="Times New Roman" w:hAnsi="Times New Roman" w:eastAsia="宋体" w:cs="Times New Roman"/>
                      <w:color w:val="auto"/>
                      <w:sz w:val="21"/>
                      <w:szCs w:val="21"/>
                      <w:highlight w:val="none"/>
                      <w:lang w:val="en-US" w:eastAsia="zh-CN"/>
                    </w:rPr>
                    <w:t>m。</w:t>
                  </w:r>
                </w:p>
              </w:tc>
            </w:tr>
            <w:tr w14:paraId="76C48D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5" w:hRule="atLeast"/>
                <w:jc w:val="center"/>
              </w:trPr>
              <w:tc>
                <w:tcPr>
                  <w:tcW w:w="693" w:type="pct"/>
                  <w:noWrap w:val="0"/>
                  <w:vAlign w:val="center"/>
                </w:tcPr>
                <w:p w14:paraId="5A0330A5">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主体工程</w:t>
                  </w:r>
                </w:p>
              </w:tc>
              <w:tc>
                <w:tcPr>
                  <w:tcW w:w="4306" w:type="pct"/>
                  <w:gridSpan w:val="2"/>
                  <w:noWrap w:val="0"/>
                  <w:vAlign w:val="center"/>
                </w:tcPr>
                <w:p w14:paraId="336BDECC">
                  <w:pPr>
                    <w:keepNext w:val="0"/>
                    <w:keepLines w:val="0"/>
                    <w:widowControl/>
                    <w:suppressLineNumbers w:val="0"/>
                    <w:jc w:val="left"/>
                    <w:rPr>
                      <w:rFonts w:hint="default" w:ascii="Times New Roman" w:hAnsi="Times New Roman" w:eastAsia="宋体" w:cs="Times New Roman"/>
                      <w:color w:val="auto"/>
                      <w:sz w:val="21"/>
                      <w:szCs w:val="21"/>
                      <w:highlight w:val="none"/>
                      <w:lang w:val="en-US" w:eastAsia="zh-CN"/>
                    </w:rPr>
                  </w:pPr>
                  <w:r>
                    <w:rPr>
                      <w:rFonts w:hint="eastAsia" w:ascii="宋体" w:hAnsi="宋体" w:eastAsia="宋体" w:cs="宋体"/>
                      <w:color w:val="auto"/>
                      <w:kern w:val="0"/>
                      <w:sz w:val="21"/>
                      <w:szCs w:val="21"/>
                      <w:highlight w:val="none"/>
                      <w:lang w:val="en-US" w:eastAsia="zh-CN" w:bidi="ar"/>
                    </w:rPr>
                    <w:t>设有</w:t>
                  </w:r>
                  <w:r>
                    <w:rPr>
                      <w:rFonts w:hint="eastAsia" w:ascii="宋体" w:hAnsi="宋体" w:cs="宋体"/>
                      <w:color w:val="auto"/>
                      <w:kern w:val="0"/>
                      <w:sz w:val="21"/>
                      <w:szCs w:val="21"/>
                      <w:highlight w:val="none"/>
                      <w:lang w:val="en-US" w:eastAsia="zh-CN" w:bidi="ar"/>
                    </w:rPr>
                    <w:t>办公区、有机前处理区、无机区、</w:t>
                  </w:r>
                  <w:r>
                    <w:rPr>
                      <w:rFonts w:hint="default" w:ascii="Times New Roman" w:hAnsi="Times New Roman" w:cs="Times New Roman"/>
                      <w:color w:val="auto"/>
                      <w:kern w:val="0"/>
                      <w:sz w:val="21"/>
                      <w:szCs w:val="21"/>
                      <w:highlight w:val="none"/>
                      <w:lang w:val="en-US" w:eastAsia="zh-CN" w:bidi="ar"/>
                    </w:rPr>
                    <w:t>DFS室、洁净室、高温室、气瓶室、天平室、无氨室、测油室、理化室、BOD</w:t>
                  </w:r>
                  <w:r>
                    <w:rPr>
                      <w:rFonts w:hint="default" w:ascii="Times New Roman" w:hAnsi="Times New Roman" w:cs="Times New Roman"/>
                      <w:color w:val="auto"/>
                      <w:kern w:val="0"/>
                      <w:sz w:val="21"/>
                      <w:szCs w:val="21"/>
                      <w:highlight w:val="none"/>
                      <w:vertAlign w:val="subscript"/>
                      <w:lang w:val="en-US" w:eastAsia="zh-CN" w:bidi="ar"/>
                    </w:rPr>
                    <w:t>5</w:t>
                  </w:r>
                  <w:r>
                    <w:rPr>
                      <w:rFonts w:hint="default" w:ascii="Times New Roman" w:hAnsi="Times New Roman" w:cs="Times New Roman"/>
                      <w:color w:val="auto"/>
                      <w:kern w:val="0"/>
                      <w:sz w:val="21"/>
                      <w:szCs w:val="21"/>
                      <w:highlight w:val="none"/>
                      <w:lang w:val="en-US" w:eastAsia="zh-CN" w:bidi="ar"/>
                    </w:rPr>
                    <w:t>室</w:t>
                  </w:r>
                  <w:r>
                    <w:rPr>
                      <w:rFonts w:hint="eastAsia" w:ascii="宋体" w:hAnsi="宋体" w:cs="宋体"/>
                      <w:color w:val="auto"/>
                      <w:kern w:val="0"/>
                      <w:sz w:val="21"/>
                      <w:szCs w:val="21"/>
                      <w:highlight w:val="none"/>
                      <w:lang w:val="en-US" w:eastAsia="zh-CN" w:bidi="ar"/>
                    </w:rPr>
                    <w:t>、接样室、标准品室、留样室、仪器室、危化品室、试剂室、危废间、样品制备室、土壤风干室、固废风干室、废水暂存区。</w:t>
                  </w:r>
                </w:p>
              </w:tc>
            </w:tr>
            <w:tr w14:paraId="626855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jc w:val="center"/>
              </w:trPr>
              <w:tc>
                <w:tcPr>
                  <w:tcW w:w="693" w:type="pct"/>
                  <w:vMerge w:val="restart"/>
                  <w:noWrap w:val="0"/>
                  <w:vAlign w:val="center"/>
                </w:tcPr>
                <w:p w14:paraId="7BD27E81">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公用工程</w:t>
                  </w:r>
                </w:p>
              </w:tc>
              <w:tc>
                <w:tcPr>
                  <w:tcW w:w="711" w:type="pct"/>
                  <w:noWrap w:val="0"/>
                  <w:vAlign w:val="center"/>
                </w:tcPr>
                <w:p w14:paraId="5D519EA0">
                  <w:pPr>
                    <w:keepNext w:val="0"/>
                    <w:keepLines w:val="0"/>
                    <w:pageBreakBefore w:val="0"/>
                    <w:widowControl w:val="0"/>
                    <w:shd w:val="clea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供水</w:t>
                  </w:r>
                </w:p>
              </w:tc>
              <w:tc>
                <w:tcPr>
                  <w:tcW w:w="3595" w:type="pct"/>
                  <w:noWrap w:val="0"/>
                  <w:vAlign w:val="center"/>
                </w:tcPr>
                <w:p w14:paraId="39C4BA3B">
                  <w:pPr>
                    <w:keepNext w:val="0"/>
                    <w:keepLines w:val="0"/>
                    <w:pageBreakBefore w:val="0"/>
                    <w:widowControl w:val="0"/>
                    <w:shd w:val="clear"/>
                    <w:kinsoku/>
                    <w:wordWrap/>
                    <w:overflowPunct/>
                    <w:topLinePunct w:val="0"/>
                    <w:autoSpaceDE/>
                    <w:autoSpaceDN/>
                    <w:bidi w:val="0"/>
                    <w:adjustRightInd w:val="0"/>
                    <w:snapToGrid w:val="0"/>
                    <w:spacing w:line="240" w:lineRule="auto"/>
                    <w:ind w:firstLine="1890" w:firstLineChars="90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由市政管网供给</w:t>
                  </w:r>
                </w:p>
              </w:tc>
            </w:tr>
            <w:tr w14:paraId="30C089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7" w:hRule="atLeast"/>
                <w:jc w:val="center"/>
              </w:trPr>
              <w:tc>
                <w:tcPr>
                  <w:tcW w:w="693" w:type="pct"/>
                  <w:vMerge w:val="continue"/>
                  <w:noWrap w:val="0"/>
                  <w:vAlign w:val="center"/>
                </w:tcPr>
                <w:p w14:paraId="6C09FA84">
                  <w:pPr>
                    <w:keepNext w:val="0"/>
                    <w:keepLines w:val="0"/>
                    <w:pageBreakBefore w:val="0"/>
                    <w:widowControl w:val="0"/>
                    <w:shd w:val="clear"/>
                    <w:kinsoku/>
                    <w:wordWrap/>
                    <w:overflowPunct/>
                    <w:topLinePunct w:val="0"/>
                    <w:autoSpaceDE/>
                    <w:autoSpaceDN/>
                    <w:bidi w:val="0"/>
                    <w:adjustRightInd w:val="0"/>
                    <w:snapToGrid w:val="0"/>
                    <w:spacing w:line="240" w:lineRule="auto"/>
                    <w:ind w:firstLine="420" w:firstLineChars="200"/>
                    <w:jc w:val="both"/>
                    <w:textAlignment w:val="auto"/>
                    <w:rPr>
                      <w:rFonts w:hint="default" w:ascii="Times New Roman" w:hAnsi="Times New Roman" w:eastAsia="宋体" w:cs="Times New Roman"/>
                      <w:color w:val="auto"/>
                      <w:sz w:val="21"/>
                      <w:szCs w:val="21"/>
                      <w:highlight w:val="none"/>
                      <w:lang w:val="en-US" w:eastAsia="zh-CN"/>
                    </w:rPr>
                  </w:pPr>
                </w:p>
              </w:tc>
              <w:tc>
                <w:tcPr>
                  <w:tcW w:w="711" w:type="pct"/>
                  <w:noWrap w:val="0"/>
                  <w:vAlign w:val="center"/>
                </w:tcPr>
                <w:p w14:paraId="230A362D">
                  <w:pPr>
                    <w:keepNext w:val="0"/>
                    <w:keepLines w:val="0"/>
                    <w:pageBreakBefore w:val="0"/>
                    <w:widowControl w:val="0"/>
                    <w:shd w:val="clea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供电</w:t>
                  </w:r>
                </w:p>
              </w:tc>
              <w:tc>
                <w:tcPr>
                  <w:tcW w:w="3595" w:type="pct"/>
                  <w:noWrap w:val="0"/>
                  <w:vAlign w:val="center"/>
                </w:tcPr>
                <w:p w14:paraId="05C5476D">
                  <w:pPr>
                    <w:keepNext w:val="0"/>
                    <w:keepLines w:val="0"/>
                    <w:pageBreakBefore w:val="0"/>
                    <w:widowControl w:val="0"/>
                    <w:shd w:val="clear"/>
                    <w:kinsoku/>
                    <w:wordWrap/>
                    <w:overflowPunct/>
                    <w:topLinePunct w:val="0"/>
                    <w:autoSpaceDE/>
                    <w:autoSpaceDN/>
                    <w:bidi w:val="0"/>
                    <w:adjustRightInd w:val="0"/>
                    <w:snapToGrid w:val="0"/>
                    <w:spacing w:line="240" w:lineRule="auto"/>
                    <w:ind w:firstLine="1890" w:firstLineChars="90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由市政</w:t>
                  </w:r>
                  <w:r>
                    <w:rPr>
                      <w:rFonts w:hint="default" w:ascii="Times New Roman" w:hAnsi="Times New Roman" w:eastAsia="宋体" w:cs="Times New Roman"/>
                      <w:color w:val="auto"/>
                      <w:sz w:val="21"/>
                      <w:szCs w:val="21"/>
                      <w:highlight w:val="none"/>
                      <w:lang w:val="en-US" w:eastAsia="zh-CN"/>
                    </w:rPr>
                    <w:t>电</w:t>
                  </w:r>
                  <w:r>
                    <w:rPr>
                      <w:rFonts w:hint="default" w:ascii="Times New Roman" w:hAnsi="Times New Roman" w:eastAsia="宋体" w:cs="Times New Roman"/>
                      <w:color w:val="auto"/>
                      <w:sz w:val="21"/>
                      <w:szCs w:val="21"/>
                      <w:highlight w:val="none"/>
                    </w:rPr>
                    <w:t>网供给</w:t>
                  </w:r>
                </w:p>
              </w:tc>
            </w:tr>
            <w:tr w14:paraId="692A7E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4" w:hRule="atLeast"/>
                <w:jc w:val="center"/>
              </w:trPr>
              <w:tc>
                <w:tcPr>
                  <w:tcW w:w="693" w:type="pct"/>
                  <w:vMerge w:val="restart"/>
                  <w:noWrap w:val="0"/>
                  <w:vAlign w:val="center"/>
                </w:tcPr>
                <w:p w14:paraId="23C1D779">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环保工程</w:t>
                  </w:r>
                </w:p>
              </w:tc>
              <w:tc>
                <w:tcPr>
                  <w:tcW w:w="711" w:type="pct"/>
                  <w:noWrap w:val="0"/>
                  <w:vAlign w:val="center"/>
                </w:tcPr>
                <w:p w14:paraId="21227A5E">
                  <w:pPr>
                    <w:keepNext w:val="0"/>
                    <w:keepLines w:val="0"/>
                    <w:pageBreakBefore w:val="0"/>
                    <w:widowControl w:val="0"/>
                    <w:shd w:val="clea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废气治理设施</w:t>
                  </w:r>
                </w:p>
              </w:tc>
              <w:tc>
                <w:tcPr>
                  <w:tcW w:w="3595" w:type="pct"/>
                  <w:noWrap w:val="0"/>
                  <w:vAlign w:val="center"/>
                </w:tcPr>
                <w:p w14:paraId="6BB57CEF">
                  <w:pPr>
                    <w:keepNext w:val="0"/>
                    <w:keepLines w:val="0"/>
                    <w:pageBreakBefore w:val="0"/>
                    <w:widowControl w:val="0"/>
                    <w:shd w:val="clear"/>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项目</w:t>
                  </w:r>
                  <w:r>
                    <w:rPr>
                      <w:rFonts w:hint="eastAsia" w:cs="Times New Roman"/>
                      <w:color w:val="auto"/>
                      <w:sz w:val="21"/>
                      <w:szCs w:val="21"/>
                      <w:highlight w:val="none"/>
                      <w:lang w:val="en-US" w:eastAsia="zh-CN"/>
                    </w:rPr>
                    <w:t>酸雾</w:t>
                  </w:r>
                  <w:r>
                    <w:rPr>
                      <w:rFonts w:hint="default" w:ascii="Times New Roman" w:hAnsi="Times New Roman" w:eastAsia="宋体" w:cs="Times New Roman"/>
                      <w:color w:val="auto"/>
                      <w:sz w:val="21"/>
                      <w:szCs w:val="21"/>
                      <w:highlight w:val="none"/>
                      <w:lang w:val="en-US" w:eastAsia="zh-CN"/>
                    </w:rPr>
                    <w:t>废</w:t>
                  </w:r>
                  <w:r>
                    <w:rPr>
                      <w:rFonts w:hint="eastAsia" w:cs="Times New Roman"/>
                      <w:color w:val="auto"/>
                      <w:sz w:val="21"/>
                      <w:szCs w:val="21"/>
                      <w:highlight w:val="none"/>
                      <w:lang w:val="en-US" w:eastAsia="zh-CN"/>
                    </w:rPr>
                    <w:t>气经</w:t>
                  </w:r>
                  <w:r>
                    <w:rPr>
                      <w:rFonts w:hint="default" w:ascii="Times New Roman" w:hAnsi="Times New Roman" w:cs="Times New Roman"/>
                      <w:color w:val="auto"/>
                      <w:sz w:val="21"/>
                      <w:szCs w:val="21"/>
                      <w:highlight w:val="none"/>
                      <w:lang w:eastAsia="zh-CN"/>
                    </w:rPr>
                    <w:t>通风柜</w:t>
                  </w:r>
                  <w:r>
                    <w:rPr>
                      <w:rFonts w:hint="default" w:ascii="Times New Roman" w:hAnsi="Times New Roman" w:cs="Times New Roman"/>
                      <w:color w:val="auto"/>
                      <w:sz w:val="21"/>
                      <w:szCs w:val="21"/>
                      <w:highlight w:val="none"/>
                    </w:rPr>
                    <w:t>收集后</w:t>
                  </w:r>
                  <w:r>
                    <w:rPr>
                      <w:rFonts w:hint="eastAsia" w:ascii="Times New Roman" w:hAnsi="Times New Roman" w:cs="Times New Roman"/>
                      <w:color w:val="auto"/>
                      <w:sz w:val="21"/>
                      <w:szCs w:val="21"/>
                      <w:highlight w:val="none"/>
                      <w:lang w:eastAsia="zh-CN"/>
                    </w:rPr>
                    <w:t>，</w:t>
                  </w:r>
                  <w:r>
                    <w:rPr>
                      <w:rFonts w:hint="eastAsia" w:ascii="Times New Roman" w:hAnsi="Times New Roman" w:cs="Times New Roman"/>
                      <w:color w:val="auto"/>
                      <w:sz w:val="21"/>
                      <w:szCs w:val="21"/>
                      <w:highlight w:val="none"/>
                      <w:lang w:val="en-US" w:eastAsia="zh-CN"/>
                    </w:rPr>
                    <w:t>通过</w:t>
                  </w:r>
                  <w:r>
                    <w:rPr>
                      <w:rFonts w:hint="default" w:ascii="Times New Roman" w:hAnsi="Times New Roman" w:cs="Times New Roman"/>
                      <w:color w:val="auto"/>
                      <w:sz w:val="21"/>
                      <w:szCs w:val="21"/>
                      <w:highlight w:val="none"/>
                    </w:rPr>
                    <w:t>碱液喷淋塔处理后经排气筒排放</w:t>
                  </w:r>
                  <w:r>
                    <w:rPr>
                      <w:rFonts w:hint="default" w:ascii="Times New Roman" w:hAnsi="Times New Roman" w:eastAsia="宋体" w:cs="Times New Roman"/>
                      <w:color w:val="auto"/>
                      <w:sz w:val="21"/>
                      <w:szCs w:val="21"/>
                      <w:highlight w:val="none"/>
                      <w:lang w:val="en-US" w:eastAsia="zh-CN"/>
                    </w:rPr>
                    <w:t>（治理设施风量为</w:t>
                  </w:r>
                  <w:r>
                    <w:rPr>
                      <w:rFonts w:hint="eastAsia" w:cs="Times New Roman"/>
                      <w:color w:val="auto"/>
                      <w:sz w:val="21"/>
                      <w:szCs w:val="21"/>
                      <w:highlight w:val="none"/>
                      <w:lang w:val="en-US" w:eastAsia="zh-CN"/>
                    </w:rPr>
                    <w:t>14000</w:t>
                  </w:r>
                  <w:r>
                    <w:rPr>
                      <w:rFonts w:hint="default" w:ascii="Times New Roman" w:hAnsi="Times New Roman" w:eastAsia="宋体" w:cs="Times New Roman"/>
                      <w:color w:val="auto"/>
                      <w:sz w:val="21"/>
                      <w:szCs w:val="21"/>
                      <w:highlight w:val="none"/>
                      <w:lang w:val="en-US" w:eastAsia="zh-CN"/>
                    </w:rPr>
                    <w:t>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/h</w:t>
                  </w:r>
                  <w:r>
                    <w:rPr>
                      <w:rFonts w:hint="eastAsia" w:cs="Times New Roman"/>
                      <w:color w:val="auto"/>
                      <w:sz w:val="21"/>
                      <w:szCs w:val="21"/>
                      <w:highlight w:val="none"/>
                      <w:lang w:val="en-US" w:eastAsia="zh-CN"/>
                    </w:rPr>
                    <w:t>，</w:t>
                  </w:r>
                  <w:r>
                    <w:rPr>
                      <w:rFonts w:hint="default" w:ascii="Times New Roman" w:hAnsi="Times New Roman" w:cs="Times New Roman"/>
                      <w:color w:val="auto"/>
                      <w:szCs w:val="21"/>
                      <w:highlight w:val="none"/>
                      <w:lang w:val="en-US" w:eastAsia="zh-CN"/>
                    </w:rPr>
                    <w:t>排气筒编号为G</w:t>
                  </w:r>
                  <w:r>
                    <w:rPr>
                      <w:rFonts w:hint="eastAsia" w:ascii="Times New Roman" w:hAnsi="Times New Roman" w:cs="Times New Roman"/>
                      <w:color w:val="auto"/>
                      <w:szCs w:val="21"/>
                      <w:highlight w:val="none"/>
                      <w:lang w:val="en-US" w:eastAsia="zh-CN"/>
                    </w:rPr>
                    <w:t>1</w:t>
                  </w:r>
                  <w:r>
                    <w:rPr>
                      <w:rFonts w:hint="default"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有机</w:t>
                  </w:r>
                  <w:r>
                    <w:rPr>
                      <w:rFonts w:hint="default" w:ascii="Times New Roman" w:hAnsi="Times New Roman" w:eastAsia="宋体" w:cs="Times New Roman"/>
                      <w:color w:val="auto"/>
                      <w:sz w:val="21"/>
                      <w:szCs w:val="21"/>
                      <w:highlight w:val="none"/>
                      <w:lang w:val="en-US" w:eastAsia="zh-CN"/>
                    </w:rPr>
                    <w:t>废气</w:t>
                  </w:r>
                  <w:r>
                    <w:rPr>
                      <w:rFonts w:hint="eastAsia" w:cs="Times New Roman"/>
                      <w:color w:val="auto"/>
                      <w:sz w:val="21"/>
                      <w:szCs w:val="21"/>
                      <w:highlight w:val="none"/>
                      <w:lang w:val="en-US" w:eastAsia="zh-CN"/>
                    </w:rPr>
                    <w:t>、粉尘废气</w:t>
                  </w:r>
                  <w:r>
                    <w:rPr>
                      <w:rFonts w:hint="default" w:ascii="Times New Roman" w:hAnsi="Times New Roman" w:eastAsia="宋体" w:cs="Times New Roman"/>
                      <w:color w:val="auto"/>
                      <w:sz w:val="21"/>
                      <w:szCs w:val="21"/>
                      <w:highlight w:val="none"/>
                      <w:lang w:val="en-US" w:eastAsia="zh-CN"/>
                    </w:rPr>
                    <w:t>一起经</w:t>
                  </w:r>
                  <w:r>
                    <w:rPr>
                      <w:rFonts w:hint="default" w:ascii="Times New Roman" w:hAnsi="Times New Roman" w:eastAsia="宋体" w:cs="Times New Roman"/>
                      <w:color w:val="auto"/>
                      <w:sz w:val="21"/>
                      <w:szCs w:val="21"/>
                      <w:highlight w:val="none"/>
                    </w:rPr>
                    <w:t>密闭车间+</w:t>
                  </w:r>
                  <w:r>
                    <w:rPr>
                      <w:rFonts w:hint="default" w:ascii="Times New Roman" w:hAnsi="Times New Roman" w:eastAsia="宋体" w:cs="Times New Roman"/>
                      <w:color w:val="auto"/>
                      <w:sz w:val="21"/>
                      <w:szCs w:val="21"/>
                      <w:highlight w:val="none"/>
                      <w:lang w:eastAsia="zh-CN"/>
                    </w:rPr>
                    <w:t>通风柜</w:t>
                  </w:r>
                  <w:r>
                    <w:rPr>
                      <w:rFonts w:hint="default" w:ascii="Times New Roman" w:hAnsi="Times New Roman" w:eastAsia="宋体" w:cs="Times New Roman"/>
                      <w:color w:val="auto"/>
                      <w:sz w:val="21"/>
                      <w:szCs w:val="21"/>
                      <w:highlight w:val="none"/>
                      <w:lang w:val="en-US" w:eastAsia="zh-CN"/>
                    </w:rPr>
                    <w:t>收集后</w:t>
                  </w:r>
                  <w:r>
                    <w:rPr>
                      <w:rFonts w:hint="eastAsia"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rPr>
                    <w:t>汇入到1套</w:t>
                  </w:r>
                  <w:r>
                    <w:rPr>
                      <w:rFonts w:hint="eastAsia" w:cs="Times New Roman"/>
                      <w:color w:val="auto"/>
                      <w:sz w:val="21"/>
                      <w:szCs w:val="21"/>
                      <w:highlight w:val="none"/>
                      <w:lang w:val="en-US" w:eastAsia="zh-CN"/>
                    </w:rPr>
                    <w:t>单级</w:t>
                  </w:r>
                  <w:r>
                    <w:rPr>
                      <w:rFonts w:hint="default" w:ascii="Times New Roman" w:hAnsi="Times New Roman" w:eastAsia="宋体" w:cs="Times New Roman"/>
                      <w:color w:val="auto"/>
                      <w:sz w:val="21"/>
                      <w:szCs w:val="21"/>
                      <w:highlight w:val="none"/>
                    </w:rPr>
                    <w:t>活性炭吸附装置进行处理后经排气筒排放</w:t>
                  </w:r>
                  <w:r>
                    <w:rPr>
                      <w:rFonts w:hint="default" w:ascii="Times New Roman" w:hAnsi="Times New Roman" w:cs="Times New Roman"/>
                      <w:color w:val="auto"/>
                      <w:highlight w:val="none"/>
                    </w:rPr>
                    <w:t>（治理设施风量</w:t>
                  </w:r>
                  <w:r>
                    <w:rPr>
                      <w:rFonts w:hint="default" w:ascii="Times New Roman" w:hAnsi="Times New Roman" w:cs="Times New Roman"/>
                      <w:color w:val="auto"/>
                      <w:highlight w:val="none"/>
                      <w:lang w:val="en-US" w:eastAsia="zh-CN"/>
                    </w:rPr>
                    <w:t>为1</w:t>
                  </w:r>
                  <w:r>
                    <w:rPr>
                      <w:rFonts w:hint="eastAsia" w:cs="Times New Roman"/>
                      <w:color w:val="auto"/>
                      <w:highlight w:val="none"/>
                      <w:lang w:val="en-US" w:eastAsia="zh-CN"/>
                    </w:rPr>
                    <w:t>3</w:t>
                  </w:r>
                  <w:r>
                    <w:rPr>
                      <w:rFonts w:hint="default" w:ascii="Times New Roman" w:hAnsi="Times New Roman" w:cs="Times New Roman"/>
                      <w:color w:val="auto"/>
                      <w:highlight w:val="none"/>
                      <w:lang w:val="en-US" w:eastAsia="zh-CN"/>
                    </w:rPr>
                    <w:t>000</w:t>
                  </w:r>
                  <w:r>
                    <w:rPr>
                      <w:rFonts w:hint="default" w:ascii="Times New Roman" w:hAnsi="Times New Roman" w:cs="Times New Roman"/>
                      <w:color w:val="auto"/>
                      <w:szCs w:val="21"/>
                      <w:highlight w:val="none"/>
                    </w:rPr>
                    <w:t>m</w:t>
                  </w:r>
                  <w:r>
                    <w:rPr>
                      <w:rFonts w:hint="default" w:ascii="Times New Roman" w:hAnsi="Times New Roman" w:cs="Times New Roman"/>
                      <w:color w:val="auto"/>
                      <w:szCs w:val="21"/>
                      <w:highlight w:val="none"/>
                      <w:vertAlign w:val="superscript"/>
                    </w:rPr>
                    <w:t>3</w:t>
                  </w:r>
                  <w:r>
                    <w:rPr>
                      <w:rFonts w:hint="default" w:ascii="Times New Roman" w:hAnsi="Times New Roman" w:cs="Times New Roman"/>
                      <w:color w:val="auto"/>
                      <w:szCs w:val="21"/>
                      <w:highlight w:val="none"/>
                    </w:rPr>
                    <w:t>/h</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lang w:val="en-US" w:eastAsia="zh-CN"/>
                    </w:rPr>
                    <w:t>排气筒编号为G</w:t>
                  </w:r>
                  <w:r>
                    <w:rPr>
                      <w:rFonts w:hint="eastAsia" w:cs="Times New Roman"/>
                      <w:color w:val="auto"/>
                      <w:szCs w:val="21"/>
                      <w:highlight w:val="none"/>
                      <w:lang w:val="en-US" w:eastAsia="zh-CN"/>
                    </w:rPr>
                    <w:t>2</w:t>
                  </w:r>
                  <w:r>
                    <w:rPr>
                      <w:rFonts w:hint="default" w:ascii="Times New Roman" w:hAnsi="Times New Roman" w:cs="Times New Roman"/>
                      <w:color w:val="auto"/>
                      <w:highlight w:val="none"/>
                    </w:rPr>
                    <w:t>）</w:t>
                  </w:r>
                </w:p>
              </w:tc>
            </w:tr>
            <w:tr w14:paraId="7AA9AD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93" w:type="pct"/>
                  <w:vMerge w:val="continue"/>
                  <w:noWrap w:val="0"/>
                  <w:vAlign w:val="center"/>
                </w:tcPr>
                <w:p w14:paraId="453ECDCF">
                  <w:pPr>
                    <w:keepNext w:val="0"/>
                    <w:keepLines w:val="0"/>
                    <w:pageBreakBefore w:val="0"/>
                    <w:widowControl w:val="0"/>
                    <w:shd w:val="clear"/>
                    <w:kinsoku/>
                    <w:wordWrap/>
                    <w:overflowPunct/>
                    <w:topLinePunct w:val="0"/>
                    <w:autoSpaceDE/>
                    <w:autoSpaceDN/>
                    <w:bidi w:val="0"/>
                    <w:adjustRightInd w:val="0"/>
                    <w:snapToGrid w:val="0"/>
                    <w:spacing w:line="240" w:lineRule="auto"/>
                    <w:ind w:firstLine="420" w:firstLineChars="200"/>
                    <w:jc w:val="both"/>
                    <w:textAlignment w:val="auto"/>
                    <w:rPr>
                      <w:rFonts w:hint="default" w:ascii="Times New Roman" w:hAnsi="Times New Roman" w:eastAsia="宋体" w:cs="Times New Roman"/>
                      <w:color w:val="auto"/>
                      <w:sz w:val="21"/>
                      <w:szCs w:val="21"/>
                      <w:highlight w:val="none"/>
                      <w:lang w:val="en-US" w:eastAsia="zh-CN"/>
                    </w:rPr>
                  </w:pPr>
                </w:p>
              </w:tc>
              <w:tc>
                <w:tcPr>
                  <w:tcW w:w="711" w:type="pct"/>
                  <w:noWrap w:val="0"/>
                  <w:vAlign w:val="center"/>
                </w:tcPr>
                <w:p w14:paraId="30CB1F1C">
                  <w:pPr>
                    <w:keepNext w:val="0"/>
                    <w:keepLines w:val="0"/>
                    <w:pageBreakBefore w:val="0"/>
                    <w:widowControl w:val="0"/>
                    <w:shd w:val="clea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废水治理措施</w:t>
                  </w:r>
                </w:p>
              </w:tc>
              <w:tc>
                <w:tcPr>
                  <w:tcW w:w="3595" w:type="pct"/>
                  <w:noWrap w:val="0"/>
                  <w:vAlign w:val="center"/>
                </w:tcPr>
                <w:p w14:paraId="459DB299">
                  <w:pPr>
                    <w:shd w:val="clear"/>
                    <w:spacing w:line="240" w:lineRule="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项目产生的生活污水经化粪池预处理后经市政污水管网排入</w:t>
                  </w:r>
                  <w:r>
                    <w:rPr>
                      <w:rFonts w:hint="eastAsia" w:cs="Times New Roman"/>
                      <w:color w:val="auto"/>
                      <w:sz w:val="21"/>
                      <w:szCs w:val="21"/>
                      <w:highlight w:val="none"/>
                      <w:lang w:val="zh-CN" w:eastAsia="zh-CN"/>
                    </w:rPr>
                    <w:t>中山市珍家山污水处理有限公司</w:t>
                  </w:r>
                  <w:r>
                    <w:rPr>
                      <w:rFonts w:hint="default" w:ascii="Times New Roman" w:hAnsi="Times New Roman" w:eastAsia="宋体" w:cs="Times New Roman"/>
                      <w:color w:val="auto"/>
                      <w:sz w:val="21"/>
                      <w:szCs w:val="21"/>
                      <w:highlight w:val="none"/>
                      <w:lang w:val="en-US" w:eastAsia="zh-CN"/>
                    </w:rPr>
                    <w:t>，处理达标后排入</w:t>
                  </w:r>
                  <w:r>
                    <w:rPr>
                      <w:rFonts w:hint="eastAsia" w:cs="Times New Roman"/>
                      <w:color w:val="auto"/>
                      <w:sz w:val="21"/>
                      <w:szCs w:val="21"/>
                      <w:highlight w:val="none"/>
                      <w:lang w:val="en-US" w:eastAsia="zh-CN"/>
                    </w:rPr>
                    <w:t>石岐河</w:t>
                  </w:r>
                  <w:r>
                    <w:rPr>
                      <w:rFonts w:hint="default"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b w:val="0"/>
                      <w:bCs/>
                      <w:color w:val="auto"/>
                      <w:spacing w:val="-10"/>
                      <w:sz w:val="21"/>
                      <w:szCs w:val="21"/>
                      <w:highlight w:val="none"/>
                      <w:lang w:val="en-US" w:eastAsia="zh-CN"/>
                    </w:rPr>
                    <w:t>超声波废水、手工清洗废水、水样废水及</w:t>
                  </w:r>
                  <w:r>
                    <w:rPr>
                      <w:rFonts w:hint="eastAsia" w:ascii="Times New Roman" w:cs="Times New Roman"/>
                      <w:b w:val="0"/>
                      <w:bCs/>
                      <w:color w:val="auto"/>
                      <w:spacing w:val="-10"/>
                      <w:sz w:val="21"/>
                      <w:szCs w:val="21"/>
                      <w:highlight w:val="none"/>
                      <w:lang w:val="en-US" w:eastAsia="zh-CN"/>
                    </w:rPr>
                    <w:t>喷淋废水定期交由有废水处理能力的公司转移处理</w:t>
                  </w:r>
                  <w:r>
                    <w:rPr>
                      <w:rFonts w:hint="default" w:ascii="Times New Roman" w:hAnsi="Times New Roman" w:eastAsia="宋体" w:cs="Times New Roman"/>
                      <w:color w:val="auto"/>
                      <w:sz w:val="21"/>
                      <w:szCs w:val="21"/>
                      <w:highlight w:val="none"/>
                      <w:lang w:val="en-US" w:eastAsia="zh-CN"/>
                    </w:rPr>
                    <w:t>。本项目提供中山天青检测技术有限公司的城镇污水排入排水管网许可证证明（详见附件4），中山天青检测技术有限公司在中山</w:t>
                  </w:r>
                  <w:r>
                    <w:rPr>
                      <w:rFonts w:hint="eastAsia" w:cs="Times New Roman"/>
                      <w:color w:val="auto"/>
                      <w:sz w:val="21"/>
                      <w:szCs w:val="21"/>
                      <w:highlight w:val="none"/>
                      <w:lang w:val="en-US" w:eastAsia="zh-CN"/>
                    </w:rPr>
                    <w:t>火炬开发区广隆实业有限公司</w:t>
                  </w:r>
                  <w:r>
                    <w:rPr>
                      <w:rFonts w:hint="default" w:ascii="Times New Roman" w:hAnsi="Times New Roman" w:eastAsia="宋体" w:cs="Times New Roman"/>
                      <w:color w:val="auto"/>
                      <w:sz w:val="21"/>
                      <w:szCs w:val="21"/>
                      <w:highlight w:val="none"/>
                      <w:lang w:val="en-US" w:eastAsia="zh-CN"/>
                    </w:rPr>
                    <w:t>工业园区内，园区统一配套生活污水排水管网，项目产生的生活污水排入该园区管网。</w:t>
                  </w:r>
                </w:p>
              </w:tc>
            </w:tr>
            <w:tr w14:paraId="7646DD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93" w:type="pct"/>
                  <w:vMerge w:val="continue"/>
                  <w:noWrap w:val="0"/>
                  <w:vAlign w:val="center"/>
                </w:tcPr>
                <w:p w14:paraId="30F1B3E7">
                  <w:pPr>
                    <w:keepNext w:val="0"/>
                    <w:keepLines w:val="0"/>
                    <w:pageBreakBefore w:val="0"/>
                    <w:widowControl w:val="0"/>
                    <w:shd w:val="clear"/>
                    <w:kinsoku/>
                    <w:wordWrap/>
                    <w:overflowPunct/>
                    <w:topLinePunct w:val="0"/>
                    <w:autoSpaceDE/>
                    <w:autoSpaceDN/>
                    <w:bidi w:val="0"/>
                    <w:adjustRightInd w:val="0"/>
                    <w:snapToGrid w:val="0"/>
                    <w:spacing w:line="240" w:lineRule="auto"/>
                    <w:ind w:firstLine="420" w:firstLineChars="200"/>
                    <w:jc w:val="both"/>
                    <w:textAlignment w:val="auto"/>
                    <w:rPr>
                      <w:rFonts w:hint="default" w:ascii="Times New Roman" w:hAnsi="Times New Roman" w:eastAsia="宋体" w:cs="Times New Roman"/>
                      <w:color w:val="auto"/>
                      <w:sz w:val="21"/>
                      <w:szCs w:val="21"/>
                      <w:highlight w:val="none"/>
                      <w:lang w:val="en-US" w:eastAsia="zh-CN"/>
                    </w:rPr>
                  </w:pPr>
                </w:p>
              </w:tc>
              <w:tc>
                <w:tcPr>
                  <w:tcW w:w="711" w:type="pct"/>
                  <w:noWrap w:val="0"/>
                  <w:vAlign w:val="center"/>
                </w:tcPr>
                <w:p w14:paraId="18CFD58A">
                  <w:pPr>
                    <w:keepNext w:val="0"/>
                    <w:keepLines w:val="0"/>
                    <w:pageBreakBefore w:val="0"/>
                    <w:widowControl w:val="0"/>
                    <w:shd w:val="clea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噪声治理措施</w:t>
                  </w:r>
                </w:p>
              </w:tc>
              <w:tc>
                <w:tcPr>
                  <w:tcW w:w="3595" w:type="pct"/>
                  <w:noWrap w:val="0"/>
                  <w:vAlign w:val="center"/>
                </w:tcPr>
                <w:p w14:paraId="61D3DF2A">
                  <w:pPr>
                    <w:keepNext w:val="0"/>
                    <w:keepLines w:val="0"/>
                    <w:pageBreakBefore w:val="0"/>
                    <w:widowControl w:val="0"/>
                    <w:shd w:val="clear"/>
                    <w:kinsoku/>
                    <w:wordWrap/>
                    <w:overflowPunct/>
                    <w:topLinePunct w:val="0"/>
                    <w:autoSpaceDE/>
                    <w:autoSpaceDN/>
                    <w:bidi w:val="0"/>
                    <w:adjustRightInd w:val="0"/>
                    <w:snapToGrid w:val="0"/>
                    <w:spacing w:line="240" w:lineRule="auto"/>
                    <w:ind w:left="0" w:leftChars="0" w:firstLine="0" w:firstLineChars="0"/>
                    <w:jc w:val="lef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pacing w:val="9"/>
                      <w:sz w:val="21"/>
                      <w:szCs w:val="21"/>
                      <w:highlight w:val="none"/>
                    </w:rPr>
                    <w:t>对噪声源采取适当隔音、降噪措施</w:t>
                  </w:r>
                  <w:r>
                    <w:rPr>
                      <w:rFonts w:hint="default" w:ascii="Times New Roman" w:hAnsi="Times New Roman" w:eastAsia="宋体" w:cs="Times New Roman"/>
                      <w:color w:val="auto"/>
                      <w:spacing w:val="9"/>
                      <w:sz w:val="21"/>
                      <w:szCs w:val="21"/>
                      <w:highlight w:val="none"/>
                      <w:lang w:eastAsia="zh-CN"/>
                    </w:rPr>
                    <w:t>。</w:t>
                  </w:r>
                </w:p>
              </w:tc>
            </w:tr>
            <w:tr w14:paraId="3D99DF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jc w:val="center"/>
              </w:trPr>
              <w:tc>
                <w:tcPr>
                  <w:tcW w:w="693" w:type="pct"/>
                  <w:vMerge w:val="continue"/>
                  <w:noWrap w:val="0"/>
                  <w:vAlign w:val="center"/>
                </w:tcPr>
                <w:p w14:paraId="4FC919E2">
                  <w:pPr>
                    <w:keepNext w:val="0"/>
                    <w:keepLines w:val="0"/>
                    <w:pageBreakBefore w:val="0"/>
                    <w:widowControl w:val="0"/>
                    <w:shd w:val="clear"/>
                    <w:kinsoku/>
                    <w:wordWrap/>
                    <w:overflowPunct/>
                    <w:topLinePunct w:val="0"/>
                    <w:autoSpaceDE/>
                    <w:autoSpaceDN/>
                    <w:bidi w:val="0"/>
                    <w:adjustRightInd w:val="0"/>
                    <w:snapToGrid w:val="0"/>
                    <w:spacing w:line="240" w:lineRule="auto"/>
                    <w:ind w:firstLine="420" w:firstLineChars="200"/>
                    <w:jc w:val="both"/>
                    <w:textAlignment w:val="auto"/>
                    <w:rPr>
                      <w:rFonts w:hint="default" w:ascii="Times New Roman" w:hAnsi="Times New Roman" w:eastAsia="宋体" w:cs="Times New Roman"/>
                      <w:color w:val="auto"/>
                      <w:sz w:val="21"/>
                      <w:szCs w:val="21"/>
                      <w:highlight w:val="none"/>
                      <w:lang w:val="en-US" w:eastAsia="zh-CN"/>
                    </w:rPr>
                  </w:pPr>
                </w:p>
              </w:tc>
              <w:tc>
                <w:tcPr>
                  <w:tcW w:w="711" w:type="pct"/>
                  <w:noWrap w:val="0"/>
                  <w:vAlign w:val="center"/>
                </w:tcPr>
                <w:p w14:paraId="12AF0C92">
                  <w:pPr>
                    <w:keepNext w:val="0"/>
                    <w:keepLines w:val="0"/>
                    <w:pageBreakBefore w:val="0"/>
                    <w:widowControl w:val="0"/>
                    <w:shd w:val="clea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固废治理措施</w:t>
                  </w:r>
                </w:p>
              </w:tc>
              <w:tc>
                <w:tcPr>
                  <w:tcW w:w="3595" w:type="pct"/>
                  <w:noWrap w:val="0"/>
                  <w:vAlign w:val="top"/>
                </w:tcPr>
                <w:p w14:paraId="65C21417">
                  <w:pPr>
                    <w:pStyle w:val="74"/>
                    <w:keepNext w:val="0"/>
                    <w:keepLines w:val="0"/>
                    <w:pageBreakBefore w:val="0"/>
                    <w:widowControl w:val="0"/>
                    <w:shd w:val="clear"/>
                    <w:kinsoku/>
                    <w:wordWrap/>
                    <w:overflowPunct/>
                    <w:topLinePunct w:val="0"/>
                    <w:autoSpaceDE/>
                    <w:autoSpaceDN/>
                    <w:bidi w:val="0"/>
                    <w:spacing w:line="240" w:lineRule="auto"/>
                    <w:ind w:left="0" w:leftChars="0"/>
                    <w:textAlignment w:val="auto"/>
                    <w:rPr>
                      <w:rFonts w:hint="default" w:ascii="Times New Roman" w:hAnsi="Times New Roman" w:eastAsia="宋体" w:cs="Times New Roman"/>
                      <w:color w:val="auto"/>
                      <w:spacing w:val="9"/>
                      <w:sz w:val="21"/>
                      <w:szCs w:val="21"/>
                      <w:highlight w:val="none"/>
                      <w:lang w:eastAsia="zh-CN"/>
                    </w:rPr>
                  </w:pPr>
                  <w:r>
                    <w:rPr>
                      <w:rFonts w:hint="default" w:ascii="Times New Roman" w:hAnsi="Times New Roman" w:eastAsia="宋体" w:cs="Times New Roman"/>
                      <w:color w:val="auto"/>
                      <w:spacing w:val="9"/>
                      <w:sz w:val="21"/>
                      <w:szCs w:val="21"/>
                      <w:highlight w:val="none"/>
                    </w:rPr>
                    <w:t>生活垃圾：交环卫部门统一清运</w:t>
                  </w:r>
                  <w:r>
                    <w:rPr>
                      <w:rFonts w:hint="default" w:ascii="Times New Roman" w:hAnsi="Times New Roman" w:eastAsia="宋体" w:cs="Times New Roman"/>
                      <w:color w:val="auto"/>
                      <w:spacing w:val="9"/>
                      <w:sz w:val="21"/>
                      <w:szCs w:val="21"/>
                      <w:highlight w:val="none"/>
                      <w:lang w:eastAsia="zh-CN"/>
                    </w:rPr>
                    <w:t>；</w:t>
                  </w:r>
                </w:p>
                <w:p w14:paraId="7C38A48A">
                  <w:pPr>
                    <w:pStyle w:val="74"/>
                    <w:keepNext w:val="0"/>
                    <w:keepLines w:val="0"/>
                    <w:pageBreakBefore w:val="0"/>
                    <w:widowControl w:val="0"/>
                    <w:shd w:val="clear"/>
                    <w:kinsoku/>
                    <w:wordWrap/>
                    <w:overflowPunct/>
                    <w:topLinePunct w:val="0"/>
                    <w:autoSpaceDE/>
                    <w:autoSpaceDN/>
                    <w:bidi w:val="0"/>
                    <w:spacing w:line="240" w:lineRule="auto"/>
                    <w:ind w:left="0" w:leftChars="0"/>
                    <w:textAlignment w:val="auto"/>
                    <w:rPr>
                      <w:rFonts w:hint="default" w:ascii="Times New Roman" w:hAnsi="Times New Roman" w:eastAsia="宋体" w:cs="Times New Roman"/>
                      <w:color w:val="auto"/>
                      <w:spacing w:val="9"/>
                      <w:sz w:val="21"/>
                      <w:szCs w:val="21"/>
                      <w:highlight w:val="none"/>
                      <w:lang w:val="en-US" w:eastAsia="zh-CN"/>
                    </w:rPr>
                  </w:pPr>
                  <w:r>
                    <w:rPr>
                      <w:rFonts w:hint="default" w:ascii="Times New Roman" w:hAnsi="Times New Roman" w:eastAsia="宋体" w:cs="Times New Roman"/>
                      <w:color w:val="auto"/>
                      <w:spacing w:val="9"/>
                      <w:sz w:val="21"/>
                      <w:szCs w:val="21"/>
                      <w:highlight w:val="none"/>
                    </w:rPr>
                    <w:t>一般工业固废</w:t>
                  </w:r>
                  <w:r>
                    <w:rPr>
                      <w:rFonts w:hint="default" w:ascii="Times New Roman" w:hAnsi="Times New Roman" w:eastAsia="宋体" w:cs="Times New Roman"/>
                      <w:color w:val="auto"/>
                      <w:kern w:val="0"/>
                      <w:sz w:val="21"/>
                      <w:szCs w:val="21"/>
                      <w:highlight w:val="none"/>
                      <w:lang w:val="en-US" w:eastAsia="zh-CN" w:bidi="ar"/>
                    </w:rPr>
                    <w:t>（1个一般固废间，面积为5㎡）</w:t>
                  </w:r>
                  <w:r>
                    <w:rPr>
                      <w:rFonts w:hint="default" w:ascii="Times New Roman" w:hAnsi="Times New Roman" w:eastAsia="宋体" w:cs="Times New Roman"/>
                      <w:color w:val="auto"/>
                      <w:spacing w:val="9"/>
                      <w:sz w:val="21"/>
                      <w:szCs w:val="21"/>
                      <w:highlight w:val="none"/>
                    </w:rPr>
                    <w:t>：</w:t>
                  </w:r>
                  <w:r>
                    <w:rPr>
                      <w:rFonts w:hint="eastAsia" w:ascii="Times New Roman" w:hAnsi="Times New Roman" w:cs="Times New Roman"/>
                      <w:color w:val="auto"/>
                      <w:spacing w:val="9"/>
                      <w:sz w:val="21"/>
                      <w:szCs w:val="21"/>
                      <w:highlight w:val="none"/>
                      <w:lang w:val="en-US" w:eastAsia="zh-CN"/>
                    </w:rPr>
                    <w:t>废反渗透膜、废样品、废包装材料</w:t>
                  </w:r>
                  <w:r>
                    <w:rPr>
                      <w:rFonts w:hint="default" w:ascii="Times New Roman" w:hAnsi="Times New Roman" w:eastAsia="宋体" w:cs="Times New Roman"/>
                      <w:color w:val="auto"/>
                      <w:spacing w:val="9"/>
                      <w:sz w:val="21"/>
                      <w:szCs w:val="21"/>
                      <w:highlight w:val="none"/>
                    </w:rPr>
                    <w:t>收集后暂存于项目一般工业固废暂存间，交有一般工业固废处理能力的单位处理</w:t>
                  </w:r>
                  <w:r>
                    <w:rPr>
                      <w:rFonts w:hint="default" w:ascii="Times New Roman" w:hAnsi="Times New Roman" w:eastAsia="宋体" w:cs="Times New Roman"/>
                      <w:color w:val="auto"/>
                      <w:spacing w:val="9"/>
                      <w:sz w:val="21"/>
                      <w:szCs w:val="21"/>
                      <w:highlight w:val="none"/>
                      <w:lang w:eastAsia="zh-CN"/>
                    </w:rPr>
                    <w:t>；</w:t>
                  </w:r>
                  <w:r>
                    <w:rPr>
                      <w:rFonts w:hint="eastAsia" w:ascii="Times New Roman" w:hAnsi="Times New Roman" w:cs="Times New Roman"/>
                      <w:color w:val="auto"/>
                      <w:spacing w:val="9"/>
                      <w:sz w:val="21"/>
                      <w:szCs w:val="21"/>
                      <w:highlight w:val="none"/>
                      <w:lang w:val="en-US" w:eastAsia="zh-CN"/>
                    </w:rPr>
                    <w:t>废气瓶</w:t>
                  </w:r>
                  <w:r>
                    <w:rPr>
                      <w:rFonts w:hint="eastAsia" w:ascii="Times New Roman" w:hAnsi="Times New Roman" w:cs="Times New Roman"/>
                      <w:color w:val="auto"/>
                      <w:sz w:val="21"/>
                      <w:szCs w:val="21"/>
                      <w:highlight w:val="none"/>
                      <w:lang w:val="en-US" w:eastAsia="zh-CN"/>
                    </w:rPr>
                    <w:t>交回供应商回收利用</w:t>
                  </w:r>
                </w:p>
                <w:p w14:paraId="5C8956EF">
                  <w:pPr>
                    <w:pStyle w:val="74"/>
                    <w:keepNext w:val="0"/>
                    <w:keepLines w:val="0"/>
                    <w:pageBreakBefore w:val="0"/>
                    <w:widowControl w:val="0"/>
                    <w:shd w:val="clear"/>
                    <w:kinsoku/>
                    <w:wordWrap/>
                    <w:overflowPunct/>
                    <w:topLinePunct w:val="0"/>
                    <w:autoSpaceDE/>
                    <w:autoSpaceDN/>
                    <w:bidi w:val="0"/>
                    <w:spacing w:line="240" w:lineRule="auto"/>
                    <w:ind w:left="0" w:leftChars="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pacing w:val="9"/>
                      <w:sz w:val="21"/>
                      <w:szCs w:val="21"/>
                      <w:highlight w:val="none"/>
                    </w:rPr>
                    <w:t>危险废物</w:t>
                  </w:r>
                  <w:r>
                    <w:rPr>
                      <w:rFonts w:hint="default" w:ascii="Times New Roman" w:hAnsi="Times New Roman" w:eastAsia="宋体" w:cs="Times New Roman"/>
                      <w:color w:val="auto"/>
                      <w:kern w:val="0"/>
                      <w:sz w:val="21"/>
                      <w:szCs w:val="21"/>
                      <w:highlight w:val="none"/>
                      <w:lang w:val="en-US" w:eastAsia="zh-CN" w:bidi="ar"/>
                    </w:rPr>
                    <w:t>（1个危废间，面积为</w:t>
                  </w:r>
                  <w:r>
                    <w:rPr>
                      <w:rFonts w:hint="eastAsia" w:ascii="Times New Roman" w:hAnsi="Times New Roman" w:cs="Times New Roman"/>
                      <w:color w:val="auto"/>
                      <w:kern w:val="0"/>
                      <w:sz w:val="21"/>
                      <w:szCs w:val="21"/>
                      <w:highlight w:val="none"/>
                      <w:lang w:val="en-US" w:eastAsia="zh-CN" w:bidi="ar"/>
                    </w:rPr>
                    <w:t>1</w:t>
                  </w:r>
                  <w:r>
                    <w:rPr>
                      <w:rFonts w:hint="eastAsia" w:ascii="Times New Roman" w:hAnsi="Times New Roman" w:eastAsia="宋体" w:cs="Times New Roman"/>
                      <w:color w:val="auto"/>
                      <w:kern w:val="0"/>
                      <w:sz w:val="21"/>
                      <w:szCs w:val="21"/>
                      <w:highlight w:val="none"/>
                      <w:lang w:val="en-US" w:eastAsia="zh-CN" w:bidi="ar"/>
                    </w:rPr>
                    <w:t>5</w:t>
                  </w:r>
                  <w:r>
                    <w:rPr>
                      <w:rFonts w:hint="default" w:ascii="Times New Roman" w:hAnsi="Times New Roman" w:eastAsia="宋体" w:cs="Times New Roman"/>
                      <w:color w:val="auto"/>
                      <w:kern w:val="0"/>
                      <w:sz w:val="21"/>
                      <w:szCs w:val="21"/>
                      <w:highlight w:val="none"/>
                      <w:lang w:val="en-US" w:eastAsia="zh-CN" w:bidi="ar"/>
                    </w:rPr>
                    <w:t>㎡）</w:t>
                  </w:r>
                  <w:r>
                    <w:rPr>
                      <w:rFonts w:hint="default" w:ascii="Times New Roman" w:hAnsi="Times New Roman" w:eastAsia="宋体" w:cs="Times New Roman"/>
                      <w:color w:val="auto"/>
                      <w:spacing w:val="9"/>
                      <w:sz w:val="21"/>
                      <w:szCs w:val="21"/>
                      <w:highlight w:val="none"/>
                    </w:rPr>
                    <w:t>：</w:t>
                  </w:r>
                  <w:r>
                    <w:rPr>
                      <w:rFonts w:hint="eastAsia" w:ascii="Times New Roman" w:hAnsi="Times New Roman" w:cs="Times New Roman"/>
                      <w:color w:val="auto"/>
                      <w:spacing w:val="9"/>
                      <w:sz w:val="21"/>
                      <w:szCs w:val="21"/>
                      <w:highlight w:val="none"/>
                      <w:lang w:val="en-US" w:eastAsia="zh-CN"/>
                    </w:rPr>
                    <w:t>实验废物（含废液）、废饱和活性炭、废灯管、危废样品废物、废试剂瓶、沾染化学品的废包装袋、</w:t>
                  </w:r>
                  <w:r>
                    <w:rPr>
                      <w:rFonts w:hint="eastAsia" w:ascii="Times New Roman" w:hAnsi="Times New Roman" w:cs="Times New Roman"/>
                      <w:color w:val="auto"/>
                      <w:spacing w:val="9"/>
                      <w:sz w:val="21"/>
                      <w:szCs w:val="21"/>
                      <w:highlight w:val="none"/>
                      <w:lang w:val="en-US" w:eastAsia="zh-CN"/>
                    </w:rPr>
                    <w:t>废机油及其包装物、废抹布及废手套</w:t>
                  </w:r>
                  <w:r>
                    <w:rPr>
                      <w:rFonts w:hint="default" w:ascii="Times New Roman" w:hAnsi="Times New Roman" w:eastAsia="宋体" w:cs="Times New Roman"/>
                      <w:color w:val="auto"/>
                      <w:spacing w:val="9"/>
                      <w:sz w:val="21"/>
                      <w:szCs w:val="21"/>
                      <w:highlight w:val="none"/>
                    </w:rPr>
                    <w:t>收集后暂存于项目的危险废物暂存间，定期交由具有相关危险废物经营许可证的单位处理</w:t>
                  </w:r>
                  <w:r>
                    <w:rPr>
                      <w:rFonts w:hint="default" w:ascii="Times New Roman" w:hAnsi="Times New Roman" w:eastAsia="宋体" w:cs="Times New Roman"/>
                      <w:color w:val="auto"/>
                      <w:spacing w:val="9"/>
                      <w:sz w:val="21"/>
                      <w:szCs w:val="21"/>
                      <w:highlight w:val="none"/>
                      <w:lang w:eastAsia="zh-CN"/>
                    </w:rPr>
                    <w:t>。</w:t>
                  </w:r>
                </w:p>
              </w:tc>
            </w:tr>
          </w:tbl>
          <w:p w14:paraId="1DCF0C94">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cs="Times New Roman"/>
                <w:b/>
                <w:bCs/>
                <w:color w:val="auto"/>
                <w:szCs w:val="21"/>
                <w:highlight w:val="none"/>
              </w:rPr>
            </w:pPr>
            <w:r>
              <w:rPr>
                <w:rFonts w:hint="default" w:ascii="Times New Roman" w:hAnsi="Times New Roman" w:eastAsia="宋体" w:cs="Times New Roman"/>
                <w:b/>
                <w:color w:val="auto"/>
                <w:sz w:val="24"/>
                <w:szCs w:val="24"/>
                <w:highlight w:val="none"/>
                <w:lang w:val="en-US" w:eastAsia="zh-CN"/>
              </w:rPr>
              <w:t>2</w:t>
            </w:r>
            <w:r>
              <w:rPr>
                <w:rFonts w:hint="default" w:ascii="Times New Roman" w:hAnsi="Times New Roman" w:eastAsia="宋体" w:cs="Times New Roman"/>
                <w:b/>
                <w:color w:val="auto"/>
                <w:sz w:val="24"/>
                <w:szCs w:val="24"/>
                <w:highlight w:val="none"/>
              </w:rPr>
              <w:t>、</w:t>
            </w:r>
            <w:r>
              <w:rPr>
                <w:rFonts w:hint="default" w:ascii="Times New Roman" w:hAnsi="Times New Roman" w:cs="Times New Roman"/>
                <w:b/>
                <w:bCs/>
                <w:color w:val="auto"/>
                <w:szCs w:val="21"/>
                <w:highlight w:val="none"/>
              </w:rPr>
              <w:t>产品方案及产能设计说明</w:t>
            </w:r>
          </w:p>
          <w:p w14:paraId="1170498D">
            <w:pPr>
              <w:keepNext w:val="0"/>
              <w:keepLines w:val="0"/>
              <w:pageBreakBefore w:val="0"/>
              <w:suppressLineNumbers w:val="0"/>
              <w:shd w:val="clear"/>
              <w:kinsoku/>
              <w:bidi w:val="0"/>
              <w:spacing w:before="0" w:beforeAutospacing="0" w:after="0" w:afterAutospacing="0" w:line="360" w:lineRule="auto"/>
              <w:ind w:left="0" w:right="0" w:firstLine="420" w:firstLineChars="200"/>
              <w:textAlignment w:val="baseline"/>
              <w:rPr>
                <w:rFonts w:hint="default" w:ascii="Times New Roman" w:hAnsi="Times New Roman" w:eastAsia="宋体" w:cs="Times New Roman"/>
                <w:b w:val="0"/>
                <w:bCs/>
                <w:color w:val="auto"/>
                <w:sz w:val="21"/>
                <w:szCs w:val="21"/>
                <w:highlight w:val="none"/>
              </w:rPr>
            </w:pPr>
            <w:r>
              <w:rPr>
                <w:rFonts w:hint="eastAsia" w:cs="Times New Roman"/>
                <w:color w:val="auto"/>
                <w:sz w:val="21"/>
                <w:szCs w:val="21"/>
                <w:highlight w:val="none"/>
                <w:lang w:val="en-US" w:eastAsia="zh-CN"/>
              </w:rPr>
              <w:t>项目</w:t>
            </w:r>
            <w:r>
              <w:rPr>
                <w:rFonts w:hint="default" w:ascii="Times New Roman" w:hAnsi="Times New Roman" w:cs="Times New Roman"/>
                <w:color w:val="auto"/>
                <w:sz w:val="21"/>
                <w:szCs w:val="21"/>
                <w:highlight w:val="none"/>
              </w:rPr>
              <w:t>主要从事</w:t>
            </w:r>
            <w:r>
              <w:rPr>
                <w:rFonts w:hint="default" w:ascii="Times New Roman" w:hAnsi="Times New Roman" w:cs="Times New Roman"/>
                <w:color w:val="auto"/>
                <w:sz w:val="21"/>
                <w:szCs w:val="21"/>
                <w:highlight w:val="none"/>
                <w:lang w:val="en-US" w:eastAsia="zh-CN"/>
              </w:rPr>
              <w:t>环境</w:t>
            </w:r>
            <w:r>
              <w:rPr>
                <w:rFonts w:hint="default" w:ascii="Times New Roman" w:hAnsi="Times New Roman" w:cs="Times New Roman"/>
                <w:color w:val="auto"/>
                <w:sz w:val="21"/>
                <w:szCs w:val="21"/>
                <w:highlight w:val="none"/>
              </w:rPr>
              <w:t>检测</w:t>
            </w:r>
            <w:r>
              <w:rPr>
                <w:rFonts w:hint="default" w:ascii="Times New Roman" w:hAnsi="Times New Roman" w:cs="Times New Roman"/>
                <w:color w:val="auto"/>
                <w:sz w:val="21"/>
                <w:szCs w:val="21"/>
                <w:highlight w:val="none"/>
                <w:lang w:val="en-US" w:eastAsia="zh-CN"/>
              </w:rPr>
              <w:t>技术服务</w:t>
            </w:r>
            <w:r>
              <w:rPr>
                <w:rFonts w:hint="default" w:ascii="Times New Roman" w:hAnsi="Times New Roman" w:cs="Times New Roman"/>
                <w:color w:val="auto"/>
                <w:sz w:val="21"/>
                <w:szCs w:val="21"/>
                <w:highlight w:val="none"/>
              </w:rPr>
              <w:t>，</w:t>
            </w:r>
            <w:r>
              <w:rPr>
                <w:rFonts w:hint="default" w:ascii="Times New Roman" w:hAnsi="Times New Roman" w:cs="Times New Roman"/>
                <w:color w:val="auto"/>
                <w:sz w:val="21"/>
                <w:szCs w:val="21"/>
                <w:highlight w:val="none"/>
                <w:lang w:val="en-US" w:eastAsia="zh-CN"/>
              </w:rPr>
              <w:t>本项目检测服务范围包括：</w:t>
            </w:r>
            <w:r>
              <w:rPr>
                <w:rFonts w:hint="eastAsia" w:ascii="Times New Roman" w:cs="Times New Roman"/>
                <w:color w:val="auto"/>
                <w:sz w:val="21"/>
                <w:szCs w:val="21"/>
                <w:highlight w:val="none"/>
                <w:lang w:val="en-US" w:eastAsia="zh-CN"/>
              </w:rPr>
              <w:t>地下水</w:t>
            </w:r>
            <w:r>
              <w:rPr>
                <w:rFonts w:hint="default" w:ascii="Times New Roman" w:hAnsi="Times New Roman" w:cs="Times New Roman"/>
                <w:color w:val="auto"/>
                <w:sz w:val="21"/>
                <w:szCs w:val="21"/>
                <w:highlight w:val="none"/>
                <w:lang w:val="en-US" w:eastAsia="zh-CN"/>
              </w:rPr>
              <w:t>检测、</w:t>
            </w:r>
            <w:r>
              <w:rPr>
                <w:rFonts w:hint="eastAsia" w:ascii="Times New Roman" w:cs="Times New Roman"/>
                <w:color w:val="auto"/>
                <w:sz w:val="21"/>
                <w:szCs w:val="21"/>
                <w:highlight w:val="none"/>
                <w:lang w:val="en-US" w:eastAsia="zh-CN"/>
              </w:rPr>
              <w:t>地表水</w:t>
            </w:r>
            <w:r>
              <w:rPr>
                <w:rFonts w:hint="default" w:ascii="Times New Roman" w:hAnsi="Times New Roman" w:cs="Times New Roman"/>
                <w:color w:val="auto"/>
                <w:sz w:val="21"/>
                <w:szCs w:val="21"/>
                <w:highlight w:val="none"/>
                <w:lang w:val="en-US" w:eastAsia="zh-CN"/>
              </w:rPr>
              <w:t>检测</w:t>
            </w:r>
            <w:r>
              <w:rPr>
                <w:rFonts w:hint="eastAsia" w:asci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土壤检测</w:t>
            </w:r>
            <w:r>
              <w:rPr>
                <w:rFonts w:hint="eastAsia" w:ascii="Times New Roman" w:cs="Times New Roman"/>
                <w:color w:val="auto"/>
                <w:sz w:val="21"/>
                <w:szCs w:val="21"/>
                <w:highlight w:val="none"/>
                <w:lang w:val="en-US" w:eastAsia="zh-CN"/>
              </w:rPr>
              <w:t>、固体废物</w:t>
            </w:r>
            <w:r>
              <w:rPr>
                <w:rFonts w:hint="eastAsia" w:cs="Times New Roman"/>
                <w:color w:val="auto"/>
                <w:sz w:val="21"/>
                <w:szCs w:val="21"/>
                <w:highlight w:val="none"/>
                <w:lang w:val="en-US" w:eastAsia="zh-CN"/>
              </w:rPr>
              <w:t>检测、废气（环境空气）</w:t>
            </w:r>
            <w:r>
              <w:rPr>
                <w:rFonts w:hint="eastAsia" w:ascii="Times New Roman" w:cs="Times New Roman"/>
                <w:color w:val="auto"/>
                <w:sz w:val="21"/>
                <w:szCs w:val="21"/>
                <w:highlight w:val="none"/>
                <w:lang w:val="en-US" w:eastAsia="zh-CN"/>
              </w:rPr>
              <w:t>检测。</w:t>
            </w:r>
            <w:r>
              <w:rPr>
                <w:rFonts w:hint="default" w:ascii="Times New Roman" w:hAnsi="Times New Roman" w:eastAsia="宋体" w:cs="Times New Roman"/>
                <w:b w:val="0"/>
                <w:bCs/>
                <w:color w:val="auto"/>
                <w:sz w:val="21"/>
                <w:szCs w:val="21"/>
                <w:highlight w:val="none"/>
                <w:lang w:val="en-US" w:eastAsia="zh-CN"/>
              </w:rPr>
              <w:t>年编制800份环境检测报告</w:t>
            </w:r>
            <w:r>
              <w:rPr>
                <w:rFonts w:hint="eastAsia" w:cs="Times New Roman"/>
                <w:b w:val="0"/>
                <w:bCs/>
                <w:color w:val="auto"/>
                <w:sz w:val="21"/>
                <w:szCs w:val="21"/>
                <w:highlight w:val="none"/>
                <w:lang w:val="en-US" w:eastAsia="zh-CN"/>
              </w:rPr>
              <w:t>。</w:t>
            </w:r>
          </w:p>
          <w:p w14:paraId="5DD458FB">
            <w:pPr>
              <w:keepNext w:val="0"/>
              <w:keepLines w:val="0"/>
              <w:widowControl/>
              <w:suppressLineNumbers w:val="0"/>
              <w:jc w:val="center"/>
              <w:rPr>
                <w:b/>
                <w:bCs w:val="0"/>
                <w:color w:val="auto"/>
                <w:sz w:val="24"/>
                <w:szCs w:val="24"/>
                <w:highlight w:val="none"/>
              </w:rPr>
            </w:pPr>
            <w:r>
              <w:rPr>
                <w:rFonts w:hint="eastAsia" w:cs="Times New Roman"/>
                <w:b/>
                <w:bCs w:val="0"/>
                <w:color w:val="auto"/>
                <w:sz w:val="24"/>
                <w:szCs w:val="24"/>
                <w:highlight w:val="none"/>
                <w:lang w:val="en-US" w:eastAsia="zh-CN"/>
              </w:rPr>
              <w:t>表4</w:t>
            </w:r>
            <w:r>
              <w:rPr>
                <w:rFonts w:hint="eastAsia" w:ascii="宋体" w:hAnsi="宋体" w:eastAsia="宋体" w:cs="宋体"/>
                <w:b/>
                <w:bCs w:val="0"/>
                <w:color w:val="auto"/>
                <w:kern w:val="0"/>
                <w:sz w:val="24"/>
                <w:szCs w:val="24"/>
                <w:highlight w:val="none"/>
                <w:lang w:val="en-US" w:eastAsia="zh-CN" w:bidi="ar"/>
              </w:rPr>
              <w:t>项目主要产品产量情况</w:t>
            </w:r>
          </w:p>
          <w:tbl>
            <w:tblPr>
              <w:tblStyle w:val="34"/>
              <w:tblW w:w="398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81"/>
              <w:gridCol w:w="2102"/>
              <w:gridCol w:w="2102"/>
              <w:gridCol w:w="1624"/>
            </w:tblGrid>
            <w:tr w14:paraId="44D784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6" w:type="pct"/>
                  <w:vAlign w:val="center"/>
                </w:tcPr>
                <w:p w14:paraId="6856BC1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序号</w:t>
                  </w:r>
                </w:p>
              </w:tc>
              <w:tc>
                <w:tcPr>
                  <w:tcW w:w="1566" w:type="pct"/>
                  <w:vAlign w:val="center"/>
                </w:tcPr>
                <w:p w14:paraId="4D0B8AC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产品</w:t>
                  </w:r>
                </w:p>
              </w:tc>
              <w:tc>
                <w:tcPr>
                  <w:tcW w:w="1566" w:type="pct"/>
                  <w:vAlign w:val="center"/>
                </w:tcPr>
                <w:p w14:paraId="722A58E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年产量</w:t>
                  </w:r>
                </w:p>
              </w:tc>
              <w:tc>
                <w:tcPr>
                  <w:tcW w:w="1210" w:type="pct"/>
                  <w:vAlign w:val="center"/>
                </w:tcPr>
                <w:p w14:paraId="066B670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备注</w:t>
                  </w:r>
                </w:p>
              </w:tc>
            </w:tr>
            <w:tr w14:paraId="5D13EA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6" w:type="pct"/>
                  <w:vAlign w:val="center"/>
                </w:tcPr>
                <w:p w14:paraId="4621334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1</w:t>
                  </w:r>
                </w:p>
              </w:tc>
              <w:tc>
                <w:tcPr>
                  <w:tcW w:w="1566" w:type="pct"/>
                  <w:vAlign w:val="center"/>
                </w:tcPr>
                <w:p w14:paraId="4F7DB0B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b w:val="0"/>
                      <w:bCs/>
                      <w:color w:val="auto"/>
                      <w:sz w:val="21"/>
                      <w:szCs w:val="21"/>
                      <w:highlight w:val="none"/>
                      <w:vertAlign w:val="baseline"/>
                      <w:lang w:val="en-US" w:eastAsia="zh-CN"/>
                    </w:rPr>
                  </w:pPr>
                  <w:r>
                    <w:rPr>
                      <w:rFonts w:hint="default" w:cs="Times New Roman"/>
                      <w:b w:val="0"/>
                      <w:bCs/>
                      <w:color w:val="auto"/>
                      <w:sz w:val="21"/>
                      <w:szCs w:val="21"/>
                      <w:highlight w:val="none"/>
                      <w:vertAlign w:val="baseline"/>
                      <w:lang w:val="en-US" w:eastAsia="zh-CN"/>
                    </w:rPr>
                    <w:t>地下水报告</w:t>
                  </w:r>
                </w:p>
              </w:tc>
              <w:tc>
                <w:tcPr>
                  <w:tcW w:w="1566" w:type="pct"/>
                  <w:vAlign w:val="center"/>
                </w:tcPr>
                <w:p w14:paraId="2424020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b w:val="0"/>
                      <w:bCs/>
                      <w:color w:val="auto"/>
                      <w:sz w:val="21"/>
                      <w:szCs w:val="21"/>
                      <w:highlight w:val="none"/>
                      <w:vertAlign w:val="baseline"/>
                      <w:lang w:val="en-US" w:eastAsia="zh-CN"/>
                    </w:rPr>
                  </w:pPr>
                  <w:r>
                    <w:rPr>
                      <w:rFonts w:hint="default" w:cs="Times New Roman"/>
                      <w:b w:val="0"/>
                      <w:bCs/>
                      <w:color w:val="auto"/>
                      <w:sz w:val="21"/>
                      <w:szCs w:val="21"/>
                      <w:highlight w:val="none"/>
                      <w:vertAlign w:val="baseline"/>
                      <w:lang w:val="en-US" w:eastAsia="zh-CN"/>
                    </w:rPr>
                    <w:t>120份</w:t>
                  </w:r>
                </w:p>
              </w:tc>
              <w:tc>
                <w:tcPr>
                  <w:tcW w:w="1210" w:type="pct"/>
                  <w:vAlign w:val="center"/>
                </w:tcPr>
                <w:p w14:paraId="1E06515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240份样品</w:t>
                  </w:r>
                </w:p>
              </w:tc>
            </w:tr>
            <w:tr w14:paraId="2462CE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6" w:type="pct"/>
                  <w:vAlign w:val="center"/>
                </w:tcPr>
                <w:p w14:paraId="10609CE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2</w:t>
                  </w:r>
                </w:p>
              </w:tc>
              <w:tc>
                <w:tcPr>
                  <w:tcW w:w="1566" w:type="pct"/>
                  <w:vAlign w:val="center"/>
                </w:tcPr>
                <w:p w14:paraId="392E1C8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b w:val="0"/>
                      <w:bCs/>
                      <w:color w:val="auto"/>
                      <w:sz w:val="21"/>
                      <w:szCs w:val="21"/>
                      <w:highlight w:val="none"/>
                      <w:vertAlign w:val="baseline"/>
                      <w:lang w:val="en-US" w:eastAsia="zh-CN"/>
                    </w:rPr>
                  </w:pPr>
                  <w:r>
                    <w:rPr>
                      <w:rFonts w:hint="default" w:cs="Times New Roman"/>
                      <w:b w:val="0"/>
                      <w:bCs/>
                      <w:color w:val="auto"/>
                      <w:sz w:val="21"/>
                      <w:szCs w:val="21"/>
                      <w:highlight w:val="none"/>
                      <w:vertAlign w:val="baseline"/>
                      <w:lang w:val="en-US" w:eastAsia="zh-CN"/>
                    </w:rPr>
                    <w:t>地表水报告</w:t>
                  </w:r>
                </w:p>
              </w:tc>
              <w:tc>
                <w:tcPr>
                  <w:tcW w:w="1566" w:type="pct"/>
                  <w:vAlign w:val="center"/>
                </w:tcPr>
                <w:p w14:paraId="4D48859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8</w:t>
                  </w:r>
                  <w:r>
                    <w:rPr>
                      <w:rFonts w:hint="default" w:cs="Times New Roman"/>
                      <w:b w:val="0"/>
                      <w:bCs/>
                      <w:color w:val="auto"/>
                      <w:sz w:val="21"/>
                      <w:szCs w:val="21"/>
                      <w:highlight w:val="none"/>
                      <w:vertAlign w:val="baseline"/>
                      <w:lang w:val="en-US" w:eastAsia="zh-CN"/>
                    </w:rPr>
                    <w:t>0份</w:t>
                  </w:r>
                </w:p>
              </w:tc>
              <w:tc>
                <w:tcPr>
                  <w:tcW w:w="1210" w:type="pct"/>
                  <w:vAlign w:val="center"/>
                </w:tcPr>
                <w:p w14:paraId="6FE72B2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160份样品</w:t>
                  </w:r>
                </w:p>
              </w:tc>
            </w:tr>
            <w:tr w14:paraId="16AA11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6" w:type="pct"/>
                  <w:vAlign w:val="center"/>
                </w:tcPr>
                <w:p w14:paraId="34713EA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3</w:t>
                  </w:r>
                </w:p>
              </w:tc>
              <w:tc>
                <w:tcPr>
                  <w:tcW w:w="1566" w:type="pct"/>
                  <w:vAlign w:val="center"/>
                </w:tcPr>
                <w:p w14:paraId="52EB65F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b w:val="0"/>
                      <w:bCs/>
                      <w:color w:val="auto"/>
                      <w:sz w:val="21"/>
                      <w:szCs w:val="21"/>
                      <w:highlight w:val="none"/>
                      <w:vertAlign w:val="baseline"/>
                      <w:lang w:val="en-US" w:eastAsia="zh-CN"/>
                    </w:rPr>
                  </w:pPr>
                  <w:r>
                    <w:rPr>
                      <w:rFonts w:hint="default" w:cs="Times New Roman"/>
                      <w:b w:val="0"/>
                      <w:bCs/>
                      <w:color w:val="auto"/>
                      <w:sz w:val="21"/>
                      <w:szCs w:val="21"/>
                      <w:highlight w:val="none"/>
                      <w:vertAlign w:val="baseline"/>
                      <w:lang w:val="en-US" w:eastAsia="zh-CN"/>
                    </w:rPr>
                    <w:t>土壤报告</w:t>
                  </w:r>
                </w:p>
              </w:tc>
              <w:tc>
                <w:tcPr>
                  <w:tcW w:w="1566" w:type="pct"/>
                  <w:vAlign w:val="center"/>
                </w:tcPr>
                <w:p w14:paraId="0725505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200份</w:t>
                  </w:r>
                </w:p>
              </w:tc>
              <w:tc>
                <w:tcPr>
                  <w:tcW w:w="1210" w:type="pct"/>
                  <w:vAlign w:val="center"/>
                </w:tcPr>
                <w:p w14:paraId="6016B82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400份样品</w:t>
                  </w:r>
                </w:p>
              </w:tc>
            </w:tr>
            <w:tr w14:paraId="16C76F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6" w:type="pct"/>
                  <w:vAlign w:val="center"/>
                </w:tcPr>
                <w:p w14:paraId="3CB2B2E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4</w:t>
                  </w:r>
                </w:p>
              </w:tc>
              <w:tc>
                <w:tcPr>
                  <w:tcW w:w="1566" w:type="pct"/>
                  <w:vAlign w:val="center"/>
                </w:tcPr>
                <w:p w14:paraId="4772A71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固废</w:t>
                  </w:r>
                  <w:r>
                    <w:rPr>
                      <w:rFonts w:hint="default" w:cs="Times New Roman"/>
                      <w:b w:val="0"/>
                      <w:bCs/>
                      <w:color w:val="auto"/>
                      <w:sz w:val="21"/>
                      <w:szCs w:val="21"/>
                      <w:highlight w:val="none"/>
                      <w:vertAlign w:val="baseline"/>
                      <w:lang w:val="en-US" w:eastAsia="zh-CN"/>
                    </w:rPr>
                    <w:t>报告</w:t>
                  </w:r>
                </w:p>
              </w:tc>
              <w:tc>
                <w:tcPr>
                  <w:tcW w:w="1566" w:type="pct"/>
                  <w:vAlign w:val="center"/>
                </w:tcPr>
                <w:p w14:paraId="756C00D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200份</w:t>
                  </w:r>
                </w:p>
              </w:tc>
              <w:tc>
                <w:tcPr>
                  <w:tcW w:w="1210" w:type="pct"/>
                  <w:vAlign w:val="center"/>
                </w:tcPr>
                <w:p w14:paraId="6E68CD2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400份样品</w:t>
                  </w:r>
                </w:p>
              </w:tc>
            </w:tr>
            <w:tr w14:paraId="5ED5D2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6" w:type="pct"/>
                  <w:vAlign w:val="center"/>
                </w:tcPr>
                <w:p w14:paraId="1B99E8E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5</w:t>
                  </w:r>
                </w:p>
              </w:tc>
              <w:tc>
                <w:tcPr>
                  <w:tcW w:w="1566" w:type="pct"/>
                  <w:vAlign w:val="center"/>
                </w:tcPr>
                <w:p w14:paraId="545A90C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b w:val="0"/>
                      <w:bCs/>
                      <w:color w:val="auto"/>
                      <w:sz w:val="21"/>
                      <w:szCs w:val="21"/>
                      <w:highlight w:val="none"/>
                      <w:vertAlign w:val="baseline"/>
                      <w:lang w:val="en-US" w:eastAsia="zh-CN"/>
                    </w:rPr>
                  </w:pPr>
                  <w:r>
                    <w:rPr>
                      <w:rFonts w:hint="default" w:cs="Times New Roman"/>
                      <w:b w:val="0"/>
                      <w:bCs/>
                      <w:color w:val="auto"/>
                      <w:sz w:val="21"/>
                      <w:szCs w:val="21"/>
                      <w:highlight w:val="none"/>
                      <w:vertAlign w:val="baseline"/>
                      <w:lang w:val="en-US" w:eastAsia="zh-CN"/>
                    </w:rPr>
                    <w:t>废气（环境空气）报告</w:t>
                  </w:r>
                </w:p>
              </w:tc>
              <w:tc>
                <w:tcPr>
                  <w:tcW w:w="1566" w:type="pct"/>
                  <w:vAlign w:val="center"/>
                </w:tcPr>
                <w:p w14:paraId="130363B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b w:val="0"/>
                      <w:bCs/>
                      <w:color w:val="auto"/>
                      <w:sz w:val="21"/>
                      <w:szCs w:val="21"/>
                      <w:highlight w:val="none"/>
                      <w:vertAlign w:val="baseline"/>
                      <w:lang w:val="en-US" w:eastAsia="zh-CN"/>
                    </w:rPr>
                  </w:pPr>
                  <w:r>
                    <w:rPr>
                      <w:rFonts w:hint="default" w:cs="Times New Roman"/>
                      <w:b w:val="0"/>
                      <w:bCs/>
                      <w:color w:val="auto"/>
                      <w:sz w:val="21"/>
                      <w:szCs w:val="21"/>
                      <w:highlight w:val="none"/>
                      <w:vertAlign w:val="baseline"/>
                      <w:lang w:val="en-US" w:eastAsia="zh-CN"/>
                    </w:rPr>
                    <w:t>200份</w:t>
                  </w:r>
                </w:p>
              </w:tc>
              <w:tc>
                <w:tcPr>
                  <w:tcW w:w="1210" w:type="pct"/>
                  <w:vAlign w:val="center"/>
                </w:tcPr>
                <w:p w14:paraId="318415C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600份样品</w:t>
                  </w:r>
                </w:p>
              </w:tc>
            </w:tr>
          </w:tbl>
          <w:p w14:paraId="72CD9943">
            <w:pPr>
              <w:keepNext w:val="0"/>
              <w:keepLines w:val="0"/>
              <w:pageBreakBefore w:val="0"/>
              <w:suppressLineNumbers w:val="0"/>
              <w:shd w:val="clear"/>
              <w:kinsoku/>
              <w:bidi w:val="0"/>
              <w:spacing w:before="0" w:beforeAutospacing="0" w:after="0" w:afterAutospacing="0" w:line="360" w:lineRule="auto"/>
              <w:ind w:left="0" w:right="0" w:firstLine="482" w:firstLineChars="200"/>
              <w:textAlignment w:val="baseline"/>
              <w:rPr>
                <w:rFonts w:hint="default" w:ascii="Times New Roman" w:hAnsi="Times New Roman" w:eastAsia="宋体" w:cs="Times New Roman"/>
                <w:b/>
                <w:color w:val="auto"/>
                <w:sz w:val="24"/>
                <w:szCs w:val="24"/>
                <w:highlight w:val="none"/>
                <w:lang w:val="zh-CN" w:eastAsia="zh-CN"/>
              </w:rPr>
            </w:pPr>
            <w:r>
              <w:rPr>
                <w:rFonts w:hint="default" w:ascii="Times New Roman" w:hAnsi="Times New Roman" w:eastAsia="宋体" w:cs="Times New Roman"/>
                <w:b/>
                <w:color w:val="auto"/>
                <w:sz w:val="24"/>
                <w:szCs w:val="24"/>
                <w:highlight w:val="none"/>
                <w:lang w:val="en-US" w:eastAsia="zh-CN"/>
              </w:rPr>
              <w:t>3</w:t>
            </w:r>
            <w:r>
              <w:rPr>
                <w:rFonts w:hint="default" w:ascii="Times New Roman" w:hAnsi="Times New Roman" w:eastAsia="宋体" w:cs="Times New Roman"/>
                <w:b/>
                <w:color w:val="auto"/>
                <w:sz w:val="24"/>
                <w:szCs w:val="24"/>
                <w:highlight w:val="none"/>
              </w:rPr>
              <w:t>、主要原辅材料</w:t>
            </w:r>
          </w:p>
          <w:p w14:paraId="2D97BD76">
            <w:pPr>
              <w:keepNext/>
              <w:keepLines/>
              <w:pageBreakBefore w:val="0"/>
              <w:widowControl w:val="0"/>
              <w:numPr>
                <w:ilvl w:val="0"/>
                <w:numId w:val="0"/>
              </w:numPr>
              <w:suppressLineNumbers w:val="0"/>
              <w:shd w:val="clear"/>
              <w:kinsoku/>
              <w:bidi w:val="0"/>
              <w:spacing w:before="0" w:beforeAutospacing="0" w:after="0" w:afterAutospacing="0" w:line="360" w:lineRule="auto"/>
              <w:ind w:left="420" w:leftChars="0" w:right="0" w:rightChars="0" w:hanging="420" w:firstLineChars="0"/>
              <w:jc w:val="center"/>
              <w:textAlignment w:val="baseline"/>
              <w:outlineLvl w:val="7"/>
              <w:rPr>
                <w:rFonts w:hint="default" w:ascii="Times New Roman" w:hAnsi="Times New Roman" w:eastAsia="宋体" w:cs="Times New Roman"/>
                <w:b/>
                <w:color w:val="auto"/>
                <w:kern w:val="2"/>
                <w:sz w:val="24"/>
                <w:szCs w:val="24"/>
                <w:highlight w:val="none"/>
                <w:lang w:val="en-US" w:eastAsia="zh-CN" w:bidi="ar-SA"/>
              </w:rPr>
            </w:pPr>
            <w:r>
              <w:rPr>
                <w:rFonts w:hint="default" w:ascii="Times New Roman" w:hAnsi="Times New Roman" w:eastAsia="宋体" w:cs="Times New Roman"/>
                <w:b/>
                <w:color w:val="auto"/>
                <w:kern w:val="2"/>
                <w:sz w:val="24"/>
                <w:szCs w:val="24"/>
                <w:highlight w:val="none"/>
                <w:lang w:val="en-US" w:eastAsia="zh-CN" w:bidi="ar-SA"/>
              </w:rPr>
              <w:t>表</w:t>
            </w:r>
            <w:r>
              <w:rPr>
                <w:rFonts w:hint="eastAsia" w:cs="Times New Roman"/>
                <w:b/>
                <w:color w:val="auto"/>
                <w:kern w:val="2"/>
                <w:sz w:val="24"/>
                <w:szCs w:val="24"/>
                <w:highlight w:val="none"/>
                <w:lang w:val="en-US" w:eastAsia="zh-CN" w:bidi="ar-SA"/>
              </w:rPr>
              <w:t>5</w:t>
            </w:r>
            <w:r>
              <w:rPr>
                <w:rFonts w:hint="default" w:ascii="Times New Roman" w:hAnsi="Times New Roman" w:eastAsia="宋体" w:cs="Times New Roman"/>
                <w:b/>
                <w:color w:val="auto"/>
                <w:kern w:val="2"/>
                <w:sz w:val="24"/>
                <w:szCs w:val="24"/>
                <w:highlight w:val="none"/>
                <w:lang w:val="en-US" w:eastAsia="zh-CN" w:bidi="ar-SA"/>
              </w:rPr>
              <w:t>主要生产原材料及年耗</w:t>
            </w:r>
            <w:r>
              <w:rPr>
                <w:rFonts w:hint="default" w:ascii="Times New Roman" w:hAnsi="Times New Roman" w:eastAsia="宋体" w:cs="Times New Roman"/>
                <w:b/>
                <w:bCs/>
                <w:color w:val="auto"/>
                <w:spacing w:val="-3"/>
                <w:sz w:val="24"/>
                <w:szCs w:val="24"/>
                <w:highlight w:val="none"/>
              </w:rPr>
              <w:t>表</w:t>
            </w:r>
          </w:p>
          <w:tbl>
            <w:tblPr>
              <w:tblStyle w:val="33"/>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06"/>
              <w:gridCol w:w="1640"/>
              <w:gridCol w:w="899"/>
              <w:gridCol w:w="1949"/>
              <w:gridCol w:w="1004"/>
              <w:gridCol w:w="1360"/>
              <w:gridCol w:w="949"/>
            </w:tblGrid>
            <w:tr w14:paraId="649744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80" w:type="pct"/>
                  <w:noWrap w:val="0"/>
                  <w:vAlign w:val="center"/>
                </w:tcPr>
                <w:p w14:paraId="4F200D41">
                  <w:pPr>
                    <w:adjustRightInd w:val="0"/>
                    <w:jc w:val="center"/>
                    <w:textAlignment w:val="baseline"/>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序号</w:t>
                  </w:r>
                </w:p>
              </w:tc>
              <w:tc>
                <w:tcPr>
                  <w:tcW w:w="994" w:type="pct"/>
                  <w:noWrap w:val="0"/>
                  <w:vAlign w:val="center"/>
                </w:tcPr>
                <w:p w14:paraId="3F47EB5A">
                  <w:pPr>
                    <w:adjustRightInd w:val="0"/>
                    <w:jc w:val="center"/>
                    <w:textAlignment w:val="baseline"/>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原材料名称</w:t>
                  </w:r>
                </w:p>
              </w:tc>
              <w:tc>
                <w:tcPr>
                  <w:tcW w:w="492" w:type="pct"/>
                  <w:noWrap w:val="0"/>
                  <w:vAlign w:val="center"/>
                </w:tcPr>
                <w:p w14:paraId="5FB0B244">
                  <w:pPr>
                    <w:adjustRightInd w:val="0"/>
                    <w:jc w:val="center"/>
                    <w:textAlignment w:val="baseline"/>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年用量</w:t>
                  </w:r>
                </w:p>
              </w:tc>
              <w:tc>
                <w:tcPr>
                  <w:tcW w:w="1177" w:type="pct"/>
                  <w:noWrap w:val="0"/>
                  <w:vAlign w:val="center"/>
                </w:tcPr>
                <w:p w14:paraId="47EB61C6">
                  <w:pPr>
                    <w:pStyle w:val="100"/>
                    <w:widowControl/>
                    <w:rPr>
                      <w:rFonts w:hint="default" w:ascii="Times New Roman" w:hAnsi="Times New Roman"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sz w:val="21"/>
                      <w:szCs w:val="21"/>
                      <w:highlight w:val="none"/>
                    </w:rPr>
                    <w:t>物态</w:t>
                  </w:r>
                </w:p>
              </w:tc>
              <w:tc>
                <w:tcPr>
                  <w:tcW w:w="543" w:type="pct"/>
                  <w:noWrap w:val="0"/>
                  <w:vAlign w:val="center"/>
                </w:tcPr>
                <w:p w14:paraId="794F36EA">
                  <w:pPr>
                    <w:pStyle w:val="100"/>
                    <w:widowControl/>
                    <w:rPr>
                      <w:rFonts w:hint="default" w:ascii="Times New Roman" w:hAnsi="Times New Roman" w:cs="Times New Roman"/>
                      <w:b/>
                      <w:bCs/>
                      <w:color w:val="auto"/>
                      <w:kern w:val="2"/>
                      <w:sz w:val="21"/>
                      <w:szCs w:val="21"/>
                      <w:highlight w:val="none"/>
                      <w:lang w:val="en-US" w:eastAsia="zh-CN" w:bidi="ar-SA"/>
                    </w:rPr>
                  </w:pPr>
                  <w:r>
                    <w:rPr>
                      <w:rFonts w:hint="default" w:ascii="Times New Roman" w:hAnsi="Times New Roman" w:cs="Times New Roman"/>
                      <w:b/>
                      <w:bCs/>
                      <w:color w:val="auto"/>
                      <w:sz w:val="21"/>
                      <w:szCs w:val="21"/>
                      <w:highlight w:val="none"/>
                    </w:rPr>
                    <w:t>最大储存量</w:t>
                  </w:r>
                </w:p>
              </w:tc>
              <w:tc>
                <w:tcPr>
                  <w:tcW w:w="827" w:type="pct"/>
                  <w:noWrap w:val="0"/>
                  <w:vAlign w:val="center"/>
                </w:tcPr>
                <w:p w14:paraId="0C56AA47">
                  <w:pPr>
                    <w:pStyle w:val="100"/>
                    <w:widowControl/>
                    <w:rPr>
                      <w:rFonts w:hint="default" w:ascii="Times New Roman" w:hAnsi="Times New Roman" w:cs="Times New Roman"/>
                      <w:b/>
                      <w:bCs/>
                      <w:color w:val="auto"/>
                      <w:kern w:val="2"/>
                      <w:sz w:val="21"/>
                      <w:szCs w:val="21"/>
                      <w:highlight w:val="none"/>
                      <w:lang w:val="en-US" w:eastAsia="zh-CN" w:bidi="ar-SA"/>
                    </w:rPr>
                  </w:pPr>
                  <w:r>
                    <w:rPr>
                      <w:rFonts w:hint="default" w:ascii="Times New Roman" w:hAnsi="Times New Roman" w:cs="Times New Roman"/>
                      <w:b/>
                      <w:bCs/>
                      <w:color w:val="auto"/>
                      <w:sz w:val="21"/>
                      <w:szCs w:val="21"/>
                      <w:highlight w:val="none"/>
                    </w:rPr>
                    <w:t>包装方式</w:t>
                  </w:r>
                </w:p>
              </w:tc>
              <w:tc>
                <w:tcPr>
                  <w:tcW w:w="583" w:type="pct"/>
                  <w:noWrap w:val="0"/>
                  <w:vAlign w:val="center"/>
                </w:tcPr>
                <w:p w14:paraId="1E6DF67B">
                  <w:pPr>
                    <w:pStyle w:val="100"/>
                    <w:widowControl/>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所在工序</w:t>
                  </w:r>
                </w:p>
              </w:tc>
            </w:tr>
            <w:tr w14:paraId="77091D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80" w:type="pct"/>
                  <w:noWrap w:val="0"/>
                  <w:vAlign w:val="center"/>
                </w:tcPr>
                <w:p w14:paraId="5367FA6E">
                  <w:pPr>
                    <w:widowControl/>
                    <w:jc w:val="center"/>
                    <w:textAlignment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w:t>
                  </w:r>
                </w:p>
              </w:tc>
              <w:tc>
                <w:tcPr>
                  <w:tcW w:w="994" w:type="pct"/>
                  <w:noWrap w:val="0"/>
                  <w:vAlign w:val="center"/>
                </w:tcPr>
                <w:p w14:paraId="10648C4F">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乙二胺四乙酸</w:t>
                  </w:r>
                </w:p>
              </w:tc>
              <w:tc>
                <w:tcPr>
                  <w:tcW w:w="492" w:type="pct"/>
                  <w:noWrap w:val="0"/>
                  <w:vAlign w:val="center"/>
                </w:tcPr>
                <w:p w14:paraId="5568E9ED">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5kg</w:t>
                  </w:r>
                </w:p>
              </w:tc>
              <w:tc>
                <w:tcPr>
                  <w:tcW w:w="1177" w:type="pct"/>
                  <w:noWrap w:val="0"/>
                  <w:vAlign w:val="center"/>
                </w:tcPr>
                <w:p w14:paraId="43361F4B">
                  <w:pPr>
                    <w:widowControl/>
                    <w:adjustRightInd w:val="0"/>
                    <w:snapToGrid w:val="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固态（粉状）</w:t>
                  </w:r>
                </w:p>
              </w:tc>
              <w:tc>
                <w:tcPr>
                  <w:tcW w:w="543" w:type="pct"/>
                  <w:noWrap w:val="0"/>
                  <w:vAlign w:val="center"/>
                </w:tcPr>
                <w:p w14:paraId="19CAD649">
                  <w:pPr>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5kg</w:t>
                  </w:r>
                </w:p>
              </w:tc>
              <w:tc>
                <w:tcPr>
                  <w:tcW w:w="827" w:type="pct"/>
                  <w:noWrap w:val="0"/>
                  <w:vAlign w:val="center"/>
                </w:tcPr>
                <w:p w14:paraId="7D6BD297">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bCs/>
                      <w:color w:val="auto"/>
                      <w:sz w:val="21"/>
                      <w:szCs w:val="21"/>
                      <w:highlight w:val="none"/>
                    </w:rPr>
                    <w:t>500g</w:t>
                  </w:r>
                  <w:r>
                    <w:rPr>
                      <w:rFonts w:hint="eastAsia" w:cs="Times New Roman"/>
                      <w:bCs/>
                      <w:color w:val="auto"/>
                      <w:sz w:val="21"/>
                      <w:szCs w:val="21"/>
                      <w:highlight w:val="none"/>
                      <w:lang w:val="en-US" w:eastAsia="zh-CN"/>
                    </w:rPr>
                    <w:t>/瓶</w:t>
                  </w:r>
                </w:p>
              </w:tc>
              <w:tc>
                <w:tcPr>
                  <w:tcW w:w="583" w:type="pct"/>
                  <w:noWrap w:val="0"/>
                  <w:vAlign w:val="center"/>
                </w:tcPr>
                <w:p w14:paraId="5C4E19D4">
                  <w:pPr>
                    <w:widowControl/>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检测</w:t>
                  </w:r>
                </w:p>
              </w:tc>
            </w:tr>
            <w:tr w14:paraId="0A3296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80" w:type="pct"/>
                  <w:noWrap w:val="0"/>
                  <w:vAlign w:val="center"/>
                </w:tcPr>
                <w:p w14:paraId="5962F839">
                  <w:pPr>
                    <w:widowControl/>
                    <w:jc w:val="center"/>
                    <w:textAlignment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w:t>
                  </w:r>
                </w:p>
              </w:tc>
              <w:tc>
                <w:tcPr>
                  <w:tcW w:w="994" w:type="pct"/>
                  <w:noWrap w:val="0"/>
                  <w:vAlign w:val="center"/>
                </w:tcPr>
                <w:p w14:paraId="3D9E036E">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溴百里香酚蓝（BTB）</w:t>
                  </w:r>
                </w:p>
              </w:tc>
              <w:tc>
                <w:tcPr>
                  <w:tcW w:w="492" w:type="pct"/>
                  <w:noWrap w:val="0"/>
                  <w:vAlign w:val="center"/>
                </w:tcPr>
                <w:p w14:paraId="3C64C800">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0.05kg</w:t>
                  </w:r>
                </w:p>
              </w:tc>
              <w:tc>
                <w:tcPr>
                  <w:tcW w:w="1177" w:type="pct"/>
                  <w:noWrap w:val="0"/>
                  <w:vAlign w:val="center"/>
                </w:tcPr>
                <w:p w14:paraId="64365848">
                  <w:pPr>
                    <w:widowControl/>
                    <w:adjustRightInd w:val="0"/>
                    <w:snapToGrid w:val="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固态（粉状）</w:t>
                  </w:r>
                </w:p>
              </w:tc>
              <w:tc>
                <w:tcPr>
                  <w:tcW w:w="543" w:type="pct"/>
                  <w:noWrap w:val="0"/>
                  <w:vAlign w:val="center"/>
                </w:tcPr>
                <w:p w14:paraId="27A11CEE">
                  <w:pPr>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0.0</w:t>
                  </w:r>
                  <w:r>
                    <w:rPr>
                      <w:rFonts w:hint="eastAsia" w:cs="Times New Roman"/>
                      <w:color w:val="auto"/>
                      <w:sz w:val="21"/>
                      <w:szCs w:val="21"/>
                      <w:highlight w:val="none"/>
                      <w:lang w:val="en-US" w:eastAsia="zh-CN"/>
                    </w:rPr>
                    <w:t>475</w:t>
                  </w:r>
                  <w:r>
                    <w:rPr>
                      <w:rFonts w:hint="default" w:ascii="Times New Roman" w:hAnsi="Times New Roman" w:cs="Times New Roman"/>
                      <w:color w:val="auto"/>
                      <w:sz w:val="21"/>
                      <w:szCs w:val="21"/>
                      <w:highlight w:val="none"/>
                    </w:rPr>
                    <w:t>kg</w:t>
                  </w:r>
                </w:p>
              </w:tc>
              <w:tc>
                <w:tcPr>
                  <w:tcW w:w="827" w:type="pct"/>
                  <w:noWrap w:val="0"/>
                  <w:vAlign w:val="center"/>
                </w:tcPr>
                <w:p w14:paraId="7F5CCF21">
                  <w:pPr>
                    <w:tabs>
                      <w:tab w:val="left" w:pos="1088"/>
                    </w:tabs>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bCs/>
                      <w:color w:val="auto"/>
                      <w:sz w:val="21"/>
                      <w:szCs w:val="21"/>
                      <w:highlight w:val="none"/>
                    </w:rPr>
                    <w:t>95%</w:t>
                  </w:r>
                  <w:r>
                    <w:rPr>
                      <w:rFonts w:hint="eastAsia" w:cs="Times New Roman"/>
                      <w:bCs/>
                      <w:color w:val="auto"/>
                      <w:sz w:val="21"/>
                      <w:szCs w:val="21"/>
                      <w:highlight w:val="none"/>
                      <w:lang w:eastAsia="zh-CN"/>
                    </w:rPr>
                    <w:t>，</w:t>
                  </w:r>
                  <w:r>
                    <w:rPr>
                      <w:rFonts w:hint="eastAsia" w:cs="Times New Roman"/>
                      <w:bCs/>
                      <w:color w:val="auto"/>
                      <w:sz w:val="21"/>
                      <w:szCs w:val="21"/>
                      <w:highlight w:val="none"/>
                      <w:lang w:val="en-US" w:eastAsia="zh-CN"/>
                    </w:rPr>
                    <w:t>25g/瓶</w:t>
                  </w:r>
                </w:p>
              </w:tc>
              <w:tc>
                <w:tcPr>
                  <w:tcW w:w="583" w:type="pct"/>
                  <w:noWrap w:val="0"/>
                  <w:vAlign w:val="center"/>
                </w:tcPr>
                <w:p w14:paraId="2A58EAA3">
                  <w:pPr>
                    <w:widowControl/>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检测</w:t>
                  </w:r>
                </w:p>
              </w:tc>
            </w:tr>
            <w:tr w14:paraId="39A27C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80" w:type="pct"/>
                  <w:noWrap w:val="0"/>
                  <w:vAlign w:val="center"/>
                </w:tcPr>
                <w:p w14:paraId="1E74E6EC">
                  <w:pPr>
                    <w:widowControl/>
                    <w:jc w:val="center"/>
                    <w:textAlignment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w:t>
                  </w:r>
                </w:p>
              </w:tc>
              <w:tc>
                <w:tcPr>
                  <w:tcW w:w="994" w:type="pct"/>
                  <w:noWrap w:val="0"/>
                  <w:vAlign w:val="center"/>
                </w:tcPr>
                <w:p w14:paraId="376CC38C">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酚酞</w:t>
                  </w:r>
                </w:p>
              </w:tc>
              <w:tc>
                <w:tcPr>
                  <w:tcW w:w="492" w:type="pct"/>
                  <w:noWrap w:val="0"/>
                  <w:vAlign w:val="center"/>
                </w:tcPr>
                <w:p w14:paraId="4EC33B23">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0.025kg</w:t>
                  </w:r>
                </w:p>
              </w:tc>
              <w:tc>
                <w:tcPr>
                  <w:tcW w:w="1177" w:type="pct"/>
                  <w:noWrap w:val="0"/>
                  <w:vAlign w:val="center"/>
                </w:tcPr>
                <w:p w14:paraId="7ED4AAA9">
                  <w:pPr>
                    <w:widowControl/>
                    <w:adjustRightInd w:val="0"/>
                    <w:snapToGrid w:val="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固态（粉状）</w:t>
                  </w:r>
                </w:p>
              </w:tc>
              <w:tc>
                <w:tcPr>
                  <w:tcW w:w="543" w:type="pct"/>
                  <w:noWrap w:val="0"/>
                  <w:vAlign w:val="center"/>
                </w:tcPr>
                <w:p w14:paraId="19C1E8CA">
                  <w:pPr>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0.025kg</w:t>
                  </w:r>
                </w:p>
              </w:tc>
              <w:tc>
                <w:tcPr>
                  <w:tcW w:w="827" w:type="pct"/>
                  <w:noWrap w:val="0"/>
                  <w:vAlign w:val="center"/>
                </w:tcPr>
                <w:p w14:paraId="40CA79EE">
                  <w:pPr>
                    <w:tabs>
                      <w:tab w:val="left" w:pos="1088"/>
                    </w:tabs>
                    <w:jc w:val="center"/>
                    <w:rPr>
                      <w:rFonts w:hint="default" w:ascii="Times New Roman" w:hAnsi="Times New Roman" w:cs="Times New Roman"/>
                      <w:color w:val="auto"/>
                      <w:sz w:val="21"/>
                      <w:szCs w:val="21"/>
                      <w:highlight w:val="none"/>
                    </w:rPr>
                  </w:pPr>
                  <w:r>
                    <w:rPr>
                      <w:rFonts w:hint="default" w:ascii="Times New Roman" w:hAnsi="Times New Roman" w:cs="Times New Roman"/>
                      <w:bCs/>
                      <w:color w:val="auto"/>
                      <w:sz w:val="21"/>
                      <w:szCs w:val="21"/>
                      <w:highlight w:val="none"/>
                    </w:rPr>
                    <w:t>科欧，25g</w:t>
                  </w:r>
                  <w:r>
                    <w:rPr>
                      <w:rFonts w:hint="eastAsia" w:cs="Times New Roman"/>
                      <w:bCs/>
                      <w:color w:val="auto"/>
                      <w:sz w:val="21"/>
                      <w:szCs w:val="21"/>
                      <w:highlight w:val="none"/>
                      <w:lang w:val="en-US" w:eastAsia="zh-CN"/>
                    </w:rPr>
                    <w:t>/瓶</w:t>
                  </w:r>
                </w:p>
              </w:tc>
              <w:tc>
                <w:tcPr>
                  <w:tcW w:w="583" w:type="pct"/>
                  <w:noWrap w:val="0"/>
                  <w:vAlign w:val="center"/>
                </w:tcPr>
                <w:p w14:paraId="2B2029BC">
                  <w:pPr>
                    <w:widowControl/>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检测</w:t>
                  </w:r>
                </w:p>
              </w:tc>
            </w:tr>
            <w:tr w14:paraId="607E06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80" w:type="pct"/>
                  <w:noWrap w:val="0"/>
                  <w:vAlign w:val="center"/>
                </w:tcPr>
                <w:p w14:paraId="42781478">
                  <w:pPr>
                    <w:widowControl/>
                    <w:jc w:val="center"/>
                    <w:textAlignment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4</w:t>
                  </w:r>
                </w:p>
              </w:tc>
              <w:tc>
                <w:tcPr>
                  <w:tcW w:w="994" w:type="pct"/>
                  <w:noWrap w:val="0"/>
                  <w:vAlign w:val="center"/>
                </w:tcPr>
                <w:p w14:paraId="33516971">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甲基红</w:t>
                  </w:r>
                </w:p>
              </w:tc>
              <w:tc>
                <w:tcPr>
                  <w:tcW w:w="492" w:type="pct"/>
                  <w:noWrap w:val="0"/>
                  <w:vAlign w:val="center"/>
                </w:tcPr>
                <w:p w14:paraId="7AAEB866">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0.025kg</w:t>
                  </w:r>
                </w:p>
              </w:tc>
              <w:tc>
                <w:tcPr>
                  <w:tcW w:w="1177" w:type="pct"/>
                  <w:noWrap w:val="0"/>
                  <w:vAlign w:val="center"/>
                </w:tcPr>
                <w:p w14:paraId="3343C2FD">
                  <w:pPr>
                    <w:widowControl/>
                    <w:adjustRightInd w:val="0"/>
                    <w:snapToGrid w:val="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固态（粉状）</w:t>
                  </w:r>
                </w:p>
              </w:tc>
              <w:tc>
                <w:tcPr>
                  <w:tcW w:w="543" w:type="pct"/>
                  <w:noWrap w:val="0"/>
                  <w:vAlign w:val="center"/>
                </w:tcPr>
                <w:p w14:paraId="06C4EF92">
                  <w:pPr>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0.025kg</w:t>
                  </w:r>
                </w:p>
              </w:tc>
              <w:tc>
                <w:tcPr>
                  <w:tcW w:w="827" w:type="pct"/>
                  <w:noWrap w:val="0"/>
                  <w:vAlign w:val="center"/>
                </w:tcPr>
                <w:p w14:paraId="09659269">
                  <w:pPr>
                    <w:tabs>
                      <w:tab w:val="left" w:pos="1088"/>
                    </w:tabs>
                    <w:jc w:val="center"/>
                    <w:rPr>
                      <w:rFonts w:hint="default" w:ascii="Times New Roman" w:hAnsi="Times New Roman" w:cs="Times New Roman"/>
                      <w:color w:val="auto"/>
                      <w:sz w:val="21"/>
                      <w:szCs w:val="21"/>
                      <w:highlight w:val="none"/>
                    </w:rPr>
                  </w:pPr>
                  <w:r>
                    <w:rPr>
                      <w:rFonts w:hint="default" w:ascii="Times New Roman" w:hAnsi="Times New Roman" w:cs="Times New Roman"/>
                      <w:bCs/>
                      <w:color w:val="auto"/>
                      <w:sz w:val="21"/>
                      <w:szCs w:val="21"/>
                      <w:highlight w:val="none"/>
                    </w:rPr>
                    <w:t>25g</w:t>
                  </w:r>
                  <w:r>
                    <w:rPr>
                      <w:rFonts w:hint="eastAsia" w:cs="Times New Roman"/>
                      <w:bCs/>
                      <w:color w:val="auto"/>
                      <w:sz w:val="21"/>
                      <w:szCs w:val="21"/>
                      <w:highlight w:val="none"/>
                      <w:lang w:val="en-US" w:eastAsia="zh-CN"/>
                    </w:rPr>
                    <w:t>/瓶</w:t>
                  </w:r>
                </w:p>
              </w:tc>
              <w:tc>
                <w:tcPr>
                  <w:tcW w:w="583" w:type="pct"/>
                  <w:noWrap w:val="0"/>
                  <w:vAlign w:val="center"/>
                </w:tcPr>
                <w:p w14:paraId="527BE48F">
                  <w:pPr>
                    <w:adjustRightInd w:val="0"/>
                    <w:jc w:val="center"/>
                    <w:textAlignment w:val="baseline"/>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检测</w:t>
                  </w:r>
                </w:p>
              </w:tc>
            </w:tr>
            <w:tr w14:paraId="34959C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7" w:hRule="atLeast"/>
                <w:jc w:val="center"/>
              </w:trPr>
              <w:tc>
                <w:tcPr>
                  <w:tcW w:w="380" w:type="pct"/>
                  <w:noWrap w:val="0"/>
                  <w:vAlign w:val="center"/>
                </w:tcPr>
                <w:p w14:paraId="0A97038C">
                  <w:pPr>
                    <w:widowControl/>
                    <w:jc w:val="center"/>
                    <w:textAlignment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5</w:t>
                  </w:r>
                </w:p>
              </w:tc>
              <w:tc>
                <w:tcPr>
                  <w:tcW w:w="994" w:type="pct"/>
                  <w:noWrap w:val="0"/>
                  <w:vAlign w:val="center"/>
                </w:tcPr>
                <w:p w14:paraId="352A8745">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百里香酚蓝</w:t>
                  </w:r>
                </w:p>
              </w:tc>
              <w:tc>
                <w:tcPr>
                  <w:tcW w:w="492" w:type="pct"/>
                  <w:noWrap w:val="0"/>
                  <w:vAlign w:val="center"/>
                </w:tcPr>
                <w:p w14:paraId="0EC5E163">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0.125kg</w:t>
                  </w:r>
                </w:p>
              </w:tc>
              <w:tc>
                <w:tcPr>
                  <w:tcW w:w="1177" w:type="pct"/>
                  <w:noWrap w:val="0"/>
                  <w:vAlign w:val="center"/>
                </w:tcPr>
                <w:p w14:paraId="07EF43A9">
                  <w:pPr>
                    <w:widowControl/>
                    <w:adjustRightInd w:val="0"/>
                    <w:snapToGrid w:val="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固态（粉状）</w:t>
                  </w:r>
                </w:p>
              </w:tc>
              <w:tc>
                <w:tcPr>
                  <w:tcW w:w="543" w:type="pct"/>
                  <w:noWrap w:val="0"/>
                  <w:vAlign w:val="center"/>
                </w:tcPr>
                <w:p w14:paraId="42A5969C">
                  <w:pPr>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0.125kg</w:t>
                  </w:r>
                </w:p>
              </w:tc>
              <w:tc>
                <w:tcPr>
                  <w:tcW w:w="827" w:type="pct"/>
                  <w:noWrap w:val="0"/>
                  <w:vAlign w:val="center"/>
                </w:tcPr>
                <w:p w14:paraId="5BFFD009">
                  <w:pPr>
                    <w:tabs>
                      <w:tab w:val="left" w:pos="1088"/>
                    </w:tabs>
                    <w:jc w:val="center"/>
                    <w:rPr>
                      <w:rFonts w:hint="default" w:ascii="Times New Roman" w:hAnsi="Times New Roman" w:cs="Times New Roman"/>
                      <w:color w:val="auto"/>
                      <w:sz w:val="21"/>
                      <w:szCs w:val="21"/>
                      <w:highlight w:val="none"/>
                    </w:rPr>
                  </w:pPr>
                  <w:r>
                    <w:rPr>
                      <w:rFonts w:hint="default" w:ascii="Times New Roman" w:hAnsi="Times New Roman" w:cs="Times New Roman"/>
                      <w:bCs/>
                      <w:color w:val="auto"/>
                      <w:sz w:val="21"/>
                      <w:szCs w:val="21"/>
                      <w:highlight w:val="none"/>
                    </w:rPr>
                    <w:t>25g</w:t>
                  </w:r>
                  <w:r>
                    <w:rPr>
                      <w:rFonts w:hint="eastAsia" w:cs="Times New Roman"/>
                      <w:bCs/>
                      <w:color w:val="auto"/>
                      <w:sz w:val="21"/>
                      <w:szCs w:val="21"/>
                      <w:highlight w:val="none"/>
                      <w:lang w:val="en-US" w:eastAsia="zh-CN"/>
                    </w:rPr>
                    <w:t>/瓶</w:t>
                  </w:r>
                </w:p>
              </w:tc>
              <w:tc>
                <w:tcPr>
                  <w:tcW w:w="583" w:type="pct"/>
                  <w:noWrap w:val="0"/>
                  <w:vAlign w:val="center"/>
                </w:tcPr>
                <w:p w14:paraId="38D25474">
                  <w:pPr>
                    <w:widowControl/>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检测</w:t>
                  </w:r>
                </w:p>
              </w:tc>
            </w:tr>
            <w:tr w14:paraId="172FAB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80" w:type="pct"/>
                  <w:noWrap w:val="0"/>
                  <w:vAlign w:val="center"/>
                </w:tcPr>
                <w:p w14:paraId="4335D222">
                  <w:pPr>
                    <w:widowControl/>
                    <w:jc w:val="center"/>
                    <w:textAlignment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6</w:t>
                  </w:r>
                </w:p>
              </w:tc>
              <w:tc>
                <w:tcPr>
                  <w:tcW w:w="994" w:type="pct"/>
                  <w:noWrap w:val="0"/>
                  <w:vAlign w:val="center"/>
                </w:tcPr>
                <w:p w14:paraId="7BAB06F2">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甲基橙</w:t>
                  </w:r>
                </w:p>
              </w:tc>
              <w:tc>
                <w:tcPr>
                  <w:tcW w:w="492" w:type="pct"/>
                  <w:noWrap w:val="0"/>
                  <w:vAlign w:val="center"/>
                </w:tcPr>
                <w:p w14:paraId="742D806F">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0.05kg</w:t>
                  </w:r>
                </w:p>
              </w:tc>
              <w:tc>
                <w:tcPr>
                  <w:tcW w:w="1177" w:type="pct"/>
                  <w:noWrap w:val="0"/>
                  <w:vAlign w:val="center"/>
                </w:tcPr>
                <w:p w14:paraId="6227EFDB">
                  <w:pPr>
                    <w:widowControl/>
                    <w:adjustRightInd w:val="0"/>
                    <w:snapToGrid w:val="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固态（粉状）</w:t>
                  </w:r>
                </w:p>
              </w:tc>
              <w:tc>
                <w:tcPr>
                  <w:tcW w:w="543" w:type="pct"/>
                  <w:noWrap w:val="0"/>
                  <w:vAlign w:val="center"/>
                </w:tcPr>
                <w:p w14:paraId="6239E96B">
                  <w:pPr>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0.05kg</w:t>
                  </w:r>
                </w:p>
              </w:tc>
              <w:tc>
                <w:tcPr>
                  <w:tcW w:w="827" w:type="pct"/>
                  <w:noWrap w:val="0"/>
                  <w:vAlign w:val="center"/>
                </w:tcPr>
                <w:p w14:paraId="620FA02A">
                  <w:pPr>
                    <w:jc w:val="center"/>
                    <w:rPr>
                      <w:rFonts w:hint="default" w:ascii="Times New Roman" w:hAnsi="Times New Roman" w:cs="Times New Roman"/>
                      <w:color w:val="auto"/>
                      <w:sz w:val="21"/>
                      <w:szCs w:val="21"/>
                      <w:highlight w:val="none"/>
                    </w:rPr>
                  </w:pPr>
                  <w:r>
                    <w:rPr>
                      <w:rFonts w:hint="default" w:ascii="Times New Roman" w:hAnsi="Times New Roman" w:cs="Times New Roman"/>
                      <w:bCs/>
                      <w:color w:val="auto"/>
                      <w:sz w:val="21"/>
                      <w:szCs w:val="21"/>
                      <w:highlight w:val="none"/>
                    </w:rPr>
                    <w:t>25g</w:t>
                  </w:r>
                  <w:r>
                    <w:rPr>
                      <w:rFonts w:hint="eastAsia" w:cs="Times New Roman"/>
                      <w:bCs/>
                      <w:color w:val="auto"/>
                      <w:sz w:val="21"/>
                      <w:szCs w:val="21"/>
                      <w:highlight w:val="none"/>
                      <w:lang w:val="en-US" w:eastAsia="zh-CN"/>
                    </w:rPr>
                    <w:t>/瓶</w:t>
                  </w:r>
                </w:p>
              </w:tc>
              <w:tc>
                <w:tcPr>
                  <w:tcW w:w="583" w:type="pct"/>
                  <w:noWrap w:val="0"/>
                  <w:vAlign w:val="center"/>
                </w:tcPr>
                <w:p w14:paraId="4153DC73">
                  <w:pPr>
                    <w:widowControl/>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检测</w:t>
                  </w:r>
                </w:p>
              </w:tc>
            </w:tr>
            <w:tr w14:paraId="7215D7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80" w:type="pct"/>
                  <w:noWrap w:val="0"/>
                  <w:vAlign w:val="center"/>
                </w:tcPr>
                <w:p w14:paraId="420F78AB">
                  <w:pPr>
                    <w:widowControl/>
                    <w:jc w:val="center"/>
                    <w:textAlignment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7</w:t>
                  </w:r>
                </w:p>
              </w:tc>
              <w:tc>
                <w:tcPr>
                  <w:tcW w:w="994" w:type="pct"/>
                  <w:noWrap w:val="0"/>
                  <w:vAlign w:val="center"/>
                </w:tcPr>
                <w:p w14:paraId="096BD29F">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水杨酸</w:t>
                  </w:r>
                </w:p>
              </w:tc>
              <w:tc>
                <w:tcPr>
                  <w:tcW w:w="492" w:type="pct"/>
                  <w:noWrap w:val="0"/>
                  <w:vAlign w:val="center"/>
                </w:tcPr>
                <w:p w14:paraId="3B553217">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1kg</w:t>
                  </w:r>
                </w:p>
              </w:tc>
              <w:tc>
                <w:tcPr>
                  <w:tcW w:w="1177" w:type="pct"/>
                  <w:noWrap w:val="0"/>
                  <w:vAlign w:val="center"/>
                </w:tcPr>
                <w:p w14:paraId="7CD86761">
                  <w:pPr>
                    <w:pStyle w:val="100"/>
                    <w:widowControl/>
                    <w:adjustRightInd w:val="0"/>
                    <w:snapToGrid w:val="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rPr>
                    <w:t>固态（晶状粉末）</w:t>
                  </w:r>
                </w:p>
              </w:tc>
              <w:tc>
                <w:tcPr>
                  <w:tcW w:w="543" w:type="pct"/>
                  <w:noWrap w:val="0"/>
                  <w:vAlign w:val="center"/>
                </w:tcPr>
                <w:p w14:paraId="506BC8D5">
                  <w:pPr>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1kg</w:t>
                  </w:r>
                </w:p>
              </w:tc>
              <w:tc>
                <w:tcPr>
                  <w:tcW w:w="827" w:type="pct"/>
                  <w:noWrap w:val="0"/>
                  <w:vAlign w:val="center"/>
                </w:tcPr>
                <w:p w14:paraId="2F557457">
                  <w:pPr>
                    <w:tabs>
                      <w:tab w:val="left" w:pos="1088"/>
                    </w:tabs>
                    <w:jc w:val="center"/>
                    <w:rPr>
                      <w:rFonts w:hint="default" w:ascii="Times New Roman" w:hAnsi="Times New Roman" w:cs="Times New Roman"/>
                      <w:color w:val="auto"/>
                      <w:sz w:val="21"/>
                      <w:szCs w:val="21"/>
                      <w:highlight w:val="none"/>
                    </w:rPr>
                  </w:pPr>
                  <w:r>
                    <w:rPr>
                      <w:rFonts w:hint="default" w:ascii="Times New Roman" w:hAnsi="Times New Roman" w:cs="Times New Roman"/>
                      <w:bCs/>
                      <w:color w:val="auto"/>
                      <w:sz w:val="21"/>
                      <w:szCs w:val="21"/>
                      <w:highlight w:val="none"/>
                    </w:rPr>
                    <w:t>250g</w:t>
                  </w:r>
                  <w:r>
                    <w:rPr>
                      <w:rFonts w:hint="eastAsia" w:cs="Times New Roman"/>
                      <w:bCs/>
                      <w:color w:val="auto"/>
                      <w:sz w:val="21"/>
                      <w:szCs w:val="21"/>
                      <w:highlight w:val="none"/>
                      <w:lang w:val="en-US" w:eastAsia="zh-CN"/>
                    </w:rPr>
                    <w:t>/瓶</w:t>
                  </w:r>
                </w:p>
              </w:tc>
              <w:tc>
                <w:tcPr>
                  <w:tcW w:w="583" w:type="pct"/>
                  <w:noWrap w:val="0"/>
                  <w:vAlign w:val="center"/>
                </w:tcPr>
                <w:p w14:paraId="6884DB77">
                  <w:pPr>
                    <w:widowControl/>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检测</w:t>
                  </w:r>
                </w:p>
              </w:tc>
            </w:tr>
            <w:tr w14:paraId="6C174C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80" w:type="pct"/>
                  <w:noWrap w:val="0"/>
                  <w:vAlign w:val="center"/>
                </w:tcPr>
                <w:p w14:paraId="0216B993">
                  <w:pPr>
                    <w:widowControl/>
                    <w:jc w:val="center"/>
                    <w:textAlignment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8</w:t>
                  </w:r>
                </w:p>
              </w:tc>
              <w:tc>
                <w:tcPr>
                  <w:tcW w:w="994" w:type="pct"/>
                  <w:noWrap w:val="0"/>
                  <w:vAlign w:val="center"/>
                </w:tcPr>
                <w:p w14:paraId="52E5DF84">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草酸钠</w:t>
                  </w:r>
                </w:p>
              </w:tc>
              <w:tc>
                <w:tcPr>
                  <w:tcW w:w="492" w:type="pct"/>
                  <w:noWrap w:val="0"/>
                  <w:vAlign w:val="center"/>
                </w:tcPr>
                <w:p w14:paraId="5B4E0825">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2.5kg</w:t>
                  </w:r>
                </w:p>
              </w:tc>
              <w:tc>
                <w:tcPr>
                  <w:tcW w:w="1177" w:type="pct"/>
                  <w:noWrap w:val="0"/>
                  <w:vAlign w:val="center"/>
                </w:tcPr>
                <w:p w14:paraId="15769C3C">
                  <w:pPr>
                    <w:widowControl/>
                    <w:adjustRightInd w:val="0"/>
                    <w:snapToGrid w:val="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rPr>
                    <w:t>固态（晶状粉末）</w:t>
                  </w:r>
                </w:p>
              </w:tc>
              <w:tc>
                <w:tcPr>
                  <w:tcW w:w="543" w:type="pct"/>
                  <w:noWrap w:val="0"/>
                  <w:vAlign w:val="center"/>
                </w:tcPr>
                <w:p w14:paraId="4DF09E66">
                  <w:pPr>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2.5kg</w:t>
                  </w:r>
                </w:p>
              </w:tc>
              <w:tc>
                <w:tcPr>
                  <w:tcW w:w="827" w:type="pct"/>
                  <w:noWrap w:val="0"/>
                  <w:vAlign w:val="center"/>
                </w:tcPr>
                <w:p w14:paraId="6DCDE5C8">
                  <w:pPr>
                    <w:tabs>
                      <w:tab w:val="left" w:pos="1088"/>
                    </w:tabs>
                    <w:jc w:val="center"/>
                    <w:rPr>
                      <w:rFonts w:hint="default" w:ascii="Times New Roman" w:hAnsi="Times New Roman" w:cs="Times New Roman"/>
                      <w:color w:val="auto"/>
                      <w:sz w:val="21"/>
                      <w:szCs w:val="21"/>
                      <w:highlight w:val="none"/>
                    </w:rPr>
                  </w:pPr>
                  <w:r>
                    <w:rPr>
                      <w:rFonts w:hint="default" w:ascii="Times New Roman" w:hAnsi="Times New Roman" w:cs="Times New Roman"/>
                      <w:bCs/>
                      <w:color w:val="auto"/>
                      <w:sz w:val="21"/>
                      <w:szCs w:val="21"/>
                      <w:highlight w:val="none"/>
                    </w:rPr>
                    <w:t>500g</w:t>
                  </w:r>
                  <w:r>
                    <w:rPr>
                      <w:rFonts w:hint="eastAsia" w:cs="Times New Roman"/>
                      <w:bCs/>
                      <w:color w:val="auto"/>
                      <w:sz w:val="21"/>
                      <w:szCs w:val="21"/>
                      <w:highlight w:val="none"/>
                      <w:lang w:val="en-US" w:eastAsia="zh-CN"/>
                    </w:rPr>
                    <w:t>/瓶</w:t>
                  </w:r>
                </w:p>
              </w:tc>
              <w:tc>
                <w:tcPr>
                  <w:tcW w:w="583" w:type="pct"/>
                  <w:noWrap w:val="0"/>
                  <w:vAlign w:val="center"/>
                </w:tcPr>
                <w:p w14:paraId="3D94D7BB">
                  <w:pPr>
                    <w:widowControl/>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检测</w:t>
                  </w:r>
                </w:p>
              </w:tc>
            </w:tr>
            <w:tr w14:paraId="7AABB8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80" w:type="pct"/>
                  <w:noWrap w:val="0"/>
                  <w:vAlign w:val="center"/>
                </w:tcPr>
                <w:p w14:paraId="2038F967">
                  <w:pPr>
                    <w:widowControl/>
                    <w:jc w:val="center"/>
                    <w:textAlignment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9</w:t>
                  </w:r>
                </w:p>
              </w:tc>
              <w:tc>
                <w:tcPr>
                  <w:tcW w:w="994" w:type="pct"/>
                  <w:noWrap w:val="0"/>
                  <w:vAlign w:val="center"/>
                </w:tcPr>
                <w:p w14:paraId="14071D7B">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无水乙酸钠</w:t>
                  </w:r>
                </w:p>
              </w:tc>
              <w:tc>
                <w:tcPr>
                  <w:tcW w:w="492" w:type="pct"/>
                  <w:noWrap w:val="0"/>
                  <w:vAlign w:val="center"/>
                </w:tcPr>
                <w:p w14:paraId="5081F72D">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1kg</w:t>
                  </w:r>
                </w:p>
              </w:tc>
              <w:tc>
                <w:tcPr>
                  <w:tcW w:w="1177" w:type="pct"/>
                  <w:noWrap w:val="0"/>
                  <w:vAlign w:val="center"/>
                </w:tcPr>
                <w:p w14:paraId="6D02D91E">
                  <w:pPr>
                    <w:widowControl/>
                    <w:adjustRightInd w:val="0"/>
                    <w:snapToGrid w:val="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rPr>
                    <w:t>固态（晶状粉末）</w:t>
                  </w:r>
                </w:p>
              </w:tc>
              <w:tc>
                <w:tcPr>
                  <w:tcW w:w="543" w:type="pct"/>
                  <w:noWrap w:val="0"/>
                  <w:vAlign w:val="center"/>
                </w:tcPr>
                <w:p w14:paraId="16D816E5">
                  <w:pPr>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1kg</w:t>
                  </w:r>
                </w:p>
              </w:tc>
              <w:tc>
                <w:tcPr>
                  <w:tcW w:w="827" w:type="pct"/>
                  <w:noWrap w:val="0"/>
                  <w:vAlign w:val="center"/>
                </w:tcPr>
                <w:p w14:paraId="4507B140">
                  <w:pPr>
                    <w:jc w:val="center"/>
                    <w:rPr>
                      <w:rFonts w:hint="default" w:ascii="Times New Roman" w:hAnsi="Times New Roman" w:cs="Times New Roman"/>
                      <w:color w:val="auto"/>
                      <w:sz w:val="21"/>
                      <w:szCs w:val="21"/>
                      <w:highlight w:val="none"/>
                    </w:rPr>
                  </w:pPr>
                  <w:r>
                    <w:rPr>
                      <w:rFonts w:hint="default" w:ascii="Times New Roman" w:hAnsi="Times New Roman" w:cs="Times New Roman"/>
                      <w:bCs/>
                      <w:color w:val="auto"/>
                      <w:sz w:val="21"/>
                      <w:szCs w:val="21"/>
                      <w:highlight w:val="none"/>
                    </w:rPr>
                    <w:t>500g</w:t>
                  </w:r>
                  <w:r>
                    <w:rPr>
                      <w:rFonts w:hint="eastAsia" w:cs="Times New Roman"/>
                      <w:bCs/>
                      <w:color w:val="auto"/>
                      <w:sz w:val="21"/>
                      <w:szCs w:val="21"/>
                      <w:highlight w:val="none"/>
                      <w:lang w:val="en-US" w:eastAsia="zh-CN"/>
                    </w:rPr>
                    <w:t>/瓶</w:t>
                  </w:r>
                </w:p>
              </w:tc>
              <w:tc>
                <w:tcPr>
                  <w:tcW w:w="583" w:type="pct"/>
                  <w:noWrap w:val="0"/>
                  <w:vAlign w:val="center"/>
                </w:tcPr>
                <w:p w14:paraId="03124B1F">
                  <w:pPr>
                    <w:widowControl/>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检测</w:t>
                  </w:r>
                </w:p>
              </w:tc>
            </w:tr>
            <w:tr w14:paraId="720F9F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80" w:type="pct"/>
                  <w:noWrap w:val="0"/>
                  <w:vAlign w:val="center"/>
                </w:tcPr>
                <w:p w14:paraId="57F11A18">
                  <w:pPr>
                    <w:widowControl/>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10</w:t>
                  </w:r>
                </w:p>
              </w:tc>
              <w:tc>
                <w:tcPr>
                  <w:tcW w:w="994" w:type="pct"/>
                  <w:noWrap w:val="0"/>
                  <w:vAlign w:val="center"/>
                </w:tcPr>
                <w:p w14:paraId="55FF8AA3">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尿素</w:t>
                  </w:r>
                </w:p>
              </w:tc>
              <w:tc>
                <w:tcPr>
                  <w:tcW w:w="492" w:type="pct"/>
                  <w:noWrap w:val="0"/>
                  <w:vAlign w:val="center"/>
                </w:tcPr>
                <w:p w14:paraId="241DFA8D">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1kg</w:t>
                  </w:r>
                </w:p>
              </w:tc>
              <w:tc>
                <w:tcPr>
                  <w:tcW w:w="1177" w:type="pct"/>
                  <w:noWrap w:val="0"/>
                  <w:vAlign w:val="center"/>
                </w:tcPr>
                <w:p w14:paraId="2DAAAB3F">
                  <w:pPr>
                    <w:widowControl/>
                    <w:adjustRightInd w:val="0"/>
                    <w:snapToGrid w:val="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固态（颗粒状）</w:t>
                  </w:r>
                </w:p>
              </w:tc>
              <w:tc>
                <w:tcPr>
                  <w:tcW w:w="543" w:type="pct"/>
                  <w:noWrap w:val="0"/>
                  <w:vAlign w:val="center"/>
                </w:tcPr>
                <w:p w14:paraId="7081EF0C">
                  <w:pPr>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1kg</w:t>
                  </w:r>
                </w:p>
              </w:tc>
              <w:tc>
                <w:tcPr>
                  <w:tcW w:w="827" w:type="pct"/>
                  <w:noWrap w:val="0"/>
                  <w:vAlign w:val="center"/>
                </w:tcPr>
                <w:p w14:paraId="4C8348BB">
                  <w:pPr>
                    <w:tabs>
                      <w:tab w:val="left" w:pos="1088"/>
                    </w:tabs>
                    <w:jc w:val="center"/>
                    <w:rPr>
                      <w:rFonts w:hint="default" w:ascii="Times New Roman" w:hAnsi="Times New Roman" w:cs="Times New Roman"/>
                      <w:color w:val="auto"/>
                      <w:sz w:val="21"/>
                      <w:szCs w:val="21"/>
                      <w:highlight w:val="none"/>
                    </w:rPr>
                  </w:pPr>
                  <w:r>
                    <w:rPr>
                      <w:rFonts w:hint="default" w:ascii="Times New Roman" w:hAnsi="Times New Roman" w:cs="Times New Roman"/>
                      <w:bCs/>
                      <w:color w:val="auto"/>
                      <w:sz w:val="21"/>
                      <w:szCs w:val="21"/>
                      <w:highlight w:val="none"/>
                    </w:rPr>
                    <w:t>500g</w:t>
                  </w:r>
                  <w:r>
                    <w:rPr>
                      <w:rFonts w:hint="eastAsia" w:cs="Times New Roman"/>
                      <w:bCs/>
                      <w:color w:val="auto"/>
                      <w:sz w:val="21"/>
                      <w:szCs w:val="21"/>
                      <w:highlight w:val="none"/>
                      <w:lang w:val="en-US" w:eastAsia="zh-CN"/>
                    </w:rPr>
                    <w:t>/瓶</w:t>
                  </w:r>
                </w:p>
              </w:tc>
              <w:tc>
                <w:tcPr>
                  <w:tcW w:w="583" w:type="pct"/>
                  <w:noWrap w:val="0"/>
                  <w:vAlign w:val="center"/>
                </w:tcPr>
                <w:p w14:paraId="7DE797C1">
                  <w:pPr>
                    <w:widowControl/>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检测</w:t>
                  </w:r>
                </w:p>
              </w:tc>
            </w:tr>
            <w:tr w14:paraId="322116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80" w:type="pct"/>
                  <w:noWrap w:val="0"/>
                  <w:vAlign w:val="center"/>
                </w:tcPr>
                <w:p w14:paraId="26403475">
                  <w:pPr>
                    <w:widowControl/>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11</w:t>
                  </w:r>
                </w:p>
              </w:tc>
              <w:tc>
                <w:tcPr>
                  <w:tcW w:w="994" w:type="pct"/>
                  <w:noWrap w:val="0"/>
                  <w:vAlign w:val="center"/>
                </w:tcPr>
                <w:p w14:paraId="282849B3">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甲醇</w:t>
                  </w:r>
                </w:p>
              </w:tc>
              <w:tc>
                <w:tcPr>
                  <w:tcW w:w="492" w:type="pct"/>
                  <w:noWrap w:val="0"/>
                  <w:vAlign w:val="center"/>
                </w:tcPr>
                <w:p w14:paraId="22981348">
                  <w:pPr>
                    <w:jc w:val="center"/>
                    <w:rPr>
                      <w:rFonts w:hint="eastAsia"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2.5</w:t>
                  </w:r>
                  <w:r>
                    <w:rPr>
                      <w:rFonts w:hint="eastAsia" w:cs="Times New Roman"/>
                      <w:color w:val="auto"/>
                      <w:sz w:val="21"/>
                      <w:szCs w:val="21"/>
                      <w:highlight w:val="none"/>
                      <w:lang w:val="en-US" w:eastAsia="zh-CN"/>
                    </w:rPr>
                    <w:t>kg</w:t>
                  </w:r>
                </w:p>
              </w:tc>
              <w:tc>
                <w:tcPr>
                  <w:tcW w:w="1177" w:type="pct"/>
                  <w:noWrap w:val="0"/>
                  <w:vAlign w:val="center"/>
                </w:tcPr>
                <w:p w14:paraId="27D6599F">
                  <w:pPr>
                    <w:widowControl/>
                    <w:adjustRightInd w:val="0"/>
                    <w:snapToGrid w:val="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液态</w:t>
                  </w:r>
                </w:p>
              </w:tc>
              <w:tc>
                <w:tcPr>
                  <w:tcW w:w="543" w:type="pct"/>
                  <w:noWrap w:val="0"/>
                  <w:vAlign w:val="center"/>
                </w:tcPr>
                <w:p w14:paraId="531E510E">
                  <w:pPr>
                    <w:jc w:val="center"/>
                    <w:rPr>
                      <w:rFonts w:hint="eastAsia"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2.5</w:t>
                  </w:r>
                  <w:r>
                    <w:rPr>
                      <w:rFonts w:hint="eastAsia" w:cs="Times New Roman"/>
                      <w:color w:val="auto"/>
                      <w:sz w:val="21"/>
                      <w:szCs w:val="21"/>
                      <w:highlight w:val="none"/>
                      <w:lang w:val="en-US" w:eastAsia="zh-CN"/>
                    </w:rPr>
                    <w:t>kg</w:t>
                  </w:r>
                </w:p>
              </w:tc>
              <w:tc>
                <w:tcPr>
                  <w:tcW w:w="827" w:type="pct"/>
                  <w:noWrap w:val="0"/>
                  <w:vAlign w:val="center"/>
                </w:tcPr>
                <w:p w14:paraId="2E7B48A4">
                  <w:pPr>
                    <w:tabs>
                      <w:tab w:val="left" w:pos="1088"/>
                    </w:tabs>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rPr>
                    <w:t>500ml</w:t>
                  </w:r>
                  <w:r>
                    <w:rPr>
                      <w:rFonts w:hint="eastAsia" w:cs="Times New Roman"/>
                      <w:bCs/>
                      <w:color w:val="auto"/>
                      <w:sz w:val="21"/>
                      <w:szCs w:val="21"/>
                      <w:highlight w:val="none"/>
                      <w:lang w:val="en-US" w:eastAsia="zh-CN"/>
                    </w:rPr>
                    <w:t>/瓶</w:t>
                  </w:r>
                </w:p>
              </w:tc>
              <w:tc>
                <w:tcPr>
                  <w:tcW w:w="583" w:type="pct"/>
                  <w:noWrap w:val="0"/>
                  <w:vAlign w:val="center"/>
                </w:tcPr>
                <w:p w14:paraId="67B6417F">
                  <w:pPr>
                    <w:widowControl/>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检测</w:t>
                  </w:r>
                </w:p>
              </w:tc>
            </w:tr>
            <w:tr w14:paraId="2084E1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80" w:type="pct"/>
                  <w:noWrap w:val="0"/>
                  <w:vAlign w:val="center"/>
                </w:tcPr>
                <w:p w14:paraId="373A269E">
                  <w:pPr>
                    <w:widowControl/>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12</w:t>
                  </w:r>
                </w:p>
              </w:tc>
              <w:tc>
                <w:tcPr>
                  <w:tcW w:w="994" w:type="pct"/>
                  <w:noWrap w:val="0"/>
                  <w:vAlign w:val="center"/>
                </w:tcPr>
                <w:p w14:paraId="1AE08AAD">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无水乙醇</w:t>
                  </w:r>
                </w:p>
              </w:tc>
              <w:tc>
                <w:tcPr>
                  <w:tcW w:w="492" w:type="pct"/>
                  <w:noWrap w:val="0"/>
                  <w:vAlign w:val="center"/>
                </w:tcPr>
                <w:p w14:paraId="5D993B2C">
                  <w:pPr>
                    <w:jc w:val="center"/>
                    <w:rPr>
                      <w:rFonts w:hint="eastAsia"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4</w:t>
                  </w:r>
                  <w:r>
                    <w:rPr>
                      <w:rFonts w:hint="eastAsia" w:cs="Times New Roman"/>
                      <w:color w:val="auto"/>
                      <w:sz w:val="21"/>
                      <w:szCs w:val="21"/>
                      <w:highlight w:val="none"/>
                      <w:lang w:val="en-US" w:eastAsia="zh-CN"/>
                    </w:rPr>
                    <w:t>kg</w:t>
                  </w:r>
                </w:p>
              </w:tc>
              <w:tc>
                <w:tcPr>
                  <w:tcW w:w="1177" w:type="pct"/>
                  <w:noWrap w:val="0"/>
                  <w:vAlign w:val="center"/>
                </w:tcPr>
                <w:p w14:paraId="554E70D9">
                  <w:pPr>
                    <w:widowControl/>
                    <w:adjustRightInd w:val="0"/>
                    <w:snapToGrid w:val="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液态</w:t>
                  </w:r>
                </w:p>
              </w:tc>
              <w:tc>
                <w:tcPr>
                  <w:tcW w:w="543" w:type="pct"/>
                  <w:noWrap w:val="0"/>
                  <w:vAlign w:val="center"/>
                </w:tcPr>
                <w:p w14:paraId="1CBEEC59">
                  <w:pPr>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4</w:t>
                  </w:r>
                  <w:r>
                    <w:rPr>
                      <w:rFonts w:hint="eastAsia" w:cs="Times New Roman"/>
                      <w:color w:val="auto"/>
                      <w:sz w:val="21"/>
                      <w:szCs w:val="21"/>
                      <w:highlight w:val="none"/>
                      <w:lang w:val="en-US" w:eastAsia="zh-CN"/>
                    </w:rPr>
                    <w:t>kg</w:t>
                  </w:r>
                </w:p>
              </w:tc>
              <w:tc>
                <w:tcPr>
                  <w:tcW w:w="827" w:type="pct"/>
                  <w:noWrap w:val="0"/>
                  <w:vAlign w:val="center"/>
                </w:tcPr>
                <w:p w14:paraId="5FE68D9F">
                  <w:pPr>
                    <w:tabs>
                      <w:tab w:val="left" w:pos="1088"/>
                    </w:tabs>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rPr>
                    <w:t>500ml</w:t>
                  </w:r>
                  <w:r>
                    <w:rPr>
                      <w:rFonts w:hint="eastAsia" w:cs="Times New Roman"/>
                      <w:bCs/>
                      <w:color w:val="auto"/>
                      <w:sz w:val="21"/>
                      <w:szCs w:val="21"/>
                      <w:highlight w:val="none"/>
                      <w:lang w:val="en-US" w:eastAsia="zh-CN"/>
                    </w:rPr>
                    <w:t>/瓶</w:t>
                  </w:r>
                </w:p>
              </w:tc>
              <w:tc>
                <w:tcPr>
                  <w:tcW w:w="583" w:type="pct"/>
                  <w:noWrap w:val="0"/>
                  <w:vAlign w:val="center"/>
                </w:tcPr>
                <w:p w14:paraId="1459374B">
                  <w:pPr>
                    <w:widowControl/>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检测</w:t>
                  </w:r>
                </w:p>
              </w:tc>
            </w:tr>
            <w:tr w14:paraId="55E69F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80" w:type="pct"/>
                  <w:noWrap w:val="0"/>
                  <w:vAlign w:val="center"/>
                </w:tcPr>
                <w:p w14:paraId="173A3CE6">
                  <w:pPr>
                    <w:widowControl/>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13</w:t>
                  </w:r>
                </w:p>
              </w:tc>
              <w:tc>
                <w:tcPr>
                  <w:tcW w:w="994" w:type="pct"/>
                  <w:noWrap w:val="0"/>
                  <w:vAlign w:val="center"/>
                </w:tcPr>
                <w:p w14:paraId="03F3D1A8">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丙酮</w:t>
                  </w:r>
                </w:p>
              </w:tc>
              <w:tc>
                <w:tcPr>
                  <w:tcW w:w="492" w:type="pct"/>
                  <w:noWrap w:val="0"/>
                  <w:vAlign w:val="center"/>
                </w:tcPr>
                <w:p w14:paraId="7412761C">
                  <w:pPr>
                    <w:jc w:val="center"/>
                    <w:rPr>
                      <w:rFonts w:hint="eastAsia"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5.5</w:t>
                  </w:r>
                  <w:r>
                    <w:rPr>
                      <w:rFonts w:hint="eastAsia" w:cs="Times New Roman"/>
                      <w:color w:val="auto"/>
                      <w:sz w:val="21"/>
                      <w:szCs w:val="21"/>
                      <w:highlight w:val="none"/>
                      <w:lang w:val="en-US" w:eastAsia="zh-CN"/>
                    </w:rPr>
                    <w:t>kg</w:t>
                  </w:r>
                </w:p>
              </w:tc>
              <w:tc>
                <w:tcPr>
                  <w:tcW w:w="1177" w:type="pct"/>
                  <w:noWrap w:val="0"/>
                  <w:vAlign w:val="center"/>
                </w:tcPr>
                <w:p w14:paraId="3959A337">
                  <w:pPr>
                    <w:pStyle w:val="100"/>
                    <w:widowControl/>
                    <w:adjustRightInd w:val="0"/>
                    <w:snapToGrid w:val="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液态</w:t>
                  </w:r>
                </w:p>
              </w:tc>
              <w:tc>
                <w:tcPr>
                  <w:tcW w:w="543" w:type="pct"/>
                  <w:noWrap w:val="0"/>
                  <w:vAlign w:val="center"/>
                </w:tcPr>
                <w:p w14:paraId="5230A8F1">
                  <w:pPr>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5.</w:t>
                  </w:r>
                  <w:r>
                    <w:rPr>
                      <w:rFonts w:hint="eastAsia" w:cs="Times New Roman"/>
                      <w:color w:val="auto"/>
                      <w:sz w:val="21"/>
                      <w:szCs w:val="21"/>
                      <w:highlight w:val="none"/>
                      <w:lang w:val="en-US" w:eastAsia="zh-CN"/>
                    </w:rPr>
                    <w:t>4725kg</w:t>
                  </w:r>
                </w:p>
              </w:tc>
              <w:tc>
                <w:tcPr>
                  <w:tcW w:w="827" w:type="pct"/>
                  <w:noWrap w:val="0"/>
                  <w:vAlign w:val="center"/>
                </w:tcPr>
                <w:p w14:paraId="29ED77ED">
                  <w:pPr>
                    <w:tabs>
                      <w:tab w:val="left" w:pos="1088"/>
                    </w:tabs>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rPr>
                    <w:t>99.5%，500ml</w:t>
                  </w:r>
                  <w:r>
                    <w:rPr>
                      <w:rFonts w:hint="eastAsia" w:cs="Times New Roman"/>
                      <w:bCs/>
                      <w:color w:val="auto"/>
                      <w:sz w:val="21"/>
                      <w:szCs w:val="21"/>
                      <w:highlight w:val="none"/>
                      <w:lang w:val="en-US" w:eastAsia="zh-CN"/>
                    </w:rPr>
                    <w:t>/瓶</w:t>
                  </w:r>
                </w:p>
              </w:tc>
              <w:tc>
                <w:tcPr>
                  <w:tcW w:w="583" w:type="pct"/>
                  <w:noWrap w:val="0"/>
                  <w:vAlign w:val="center"/>
                </w:tcPr>
                <w:p w14:paraId="5E0CF364">
                  <w:pPr>
                    <w:widowControl/>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检测</w:t>
                  </w:r>
                </w:p>
              </w:tc>
            </w:tr>
            <w:tr w14:paraId="332846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80" w:type="pct"/>
                  <w:noWrap w:val="0"/>
                  <w:vAlign w:val="center"/>
                </w:tcPr>
                <w:p w14:paraId="43A02C9C">
                  <w:pPr>
                    <w:widowControl/>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14</w:t>
                  </w:r>
                </w:p>
              </w:tc>
              <w:tc>
                <w:tcPr>
                  <w:tcW w:w="994" w:type="pct"/>
                  <w:noWrap w:val="0"/>
                  <w:vAlign w:val="center"/>
                </w:tcPr>
                <w:p w14:paraId="420EB641">
                  <w:pPr>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苯酚</w:t>
                  </w:r>
                </w:p>
              </w:tc>
              <w:tc>
                <w:tcPr>
                  <w:tcW w:w="492" w:type="pct"/>
                  <w:noWrap w:val="0"/>
                  <w:vAlign w:val="center"/>
                </w:tcPr>
                <w:p w14:paraId="6381106F">
                  <w:pPr>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1kg</w:t>
                  </w:r>
                </w:p>
              </w:tc>
              <w:tc>
                <w:tcPr>
                  <w:tcW w:w="1177" w:type="pct"/>
                  <w:noWrap w:val="0"/>
                  <w:vAlign w:val="center"/>
                </w:tcPr>
                <w:p w14:paraId="632ED74D">
                  <w:pPr>
                    <w:widowControl/>
                    <w:adjustRightInd w:val="0"/>
                    <w:snapToGrid w:val="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rPr>
                    <w:t>固态（晶状粉末）</w:t>
                  </w:r>
                </w:p>
              </w:tc>
              <w:tc>
                <w:tcPr>
                  <w:tcW w:w="543" w:type="pct"/>
                  <w:noWrap w:val="0"/>
                  <w:vAlign w:val="center"/>
                </w:tcPr>
                <w:p w14:paraId="39ACE5C7">
                  <w:pPr>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1kg</w:t>
                  </w:r>
                </w:p>
              </w:tc>
              <w:tc>
                <w:tcPr>
                  <w:tcW w:w="827" w:type="pct"/>
                  <w:noWrap w:val="0"/>
                  <w:vAlign w:val="center"/>
                </w:tcPr>
                <w:p w14:paraId="4B40DAAF">
                  <w:pPr>
                    <w:tabs>
                      <w:tab w:val="left" w:pos="1088"/>
                    </w:tabs>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rPr>
                    <w:t>500g</w:t>
                  </w:r>
                  <w:r>
                    <w:rPr>
                      <w:rFonts w:hint="eastAsia" w:cs="Times New Roman"/>
                      <w:bCs/>
                      <w:color w:val="auto"/>
                      <w:sz w:val="21"/>
                      <w:szCs w:val="21"/>
                      <w:highlight w:val="none"/>
                      <w:lang w:val="en-US" w:eastAsia="zh-CN"/>
                    </w:rPr>
                    <w:t>/瓶</w:t>
                  </w:r>
                </w:p>
              </w:tc>
              <w:tc>
                <w:tcPr>
                  <w:tcW w:w="583" w:type="pct"/>
                  <w:noWrap w:val="0"/>
                  <w:vAlign w:val="center"/>
                </w:tcPr>
                <w:p w14:paraId="06EC1247">
                  <w:pPr>
                    <w:widowControl/>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检测</w:t>
                  </w:r>
                </w:p>
              </w:tc>
            </w:tr>
            <w:tr w14:paraId="58E342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80" w:type="pct"/>
                  <w:noWrap w:val="0"/>
                  <w:vAlign w:val="center"/>
                </w:tcPr>
                <w:p w14:paraId="7DB48125">
                  <w:pPr>
                    <w:widowControl/>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15</w:t>
                  </w:r>
                </w:p>
              </w:tc>
              <w:tc>
                <w:tcPr>
                  <w:tcW w:w="994" w:type="pct"/>
                  <w:noWrap w:val="0"/>
                  <w:vAlign w:val="center"/>
                </w:tcPr>
                <w:p w14:paraId="1337BA09">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磷酸氢二铵</w:t>
                  </w:r>
                </w:p>
              </w:tc>
              <w:tc>
                <w:tcPr>
                  <w:tcW w:w="492" w:type="pct"/>
                  <w:noWrap w:val="0"/>
                  <w:vAlign w:val="center"/>
                </w:tcPr>
                <w:p w14:paraId="14CAD527">
                  <w:pPr>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3.5kg</w:t>
                  </w:r>
                </w:p>
              </w:tc>
              <w:tc>
                <w:tcPr>
                  <w:tcW w:w="1177" w:type="pct"/>
                  <w:noWrap w:val="0"/>
                  <w:vAlign w:val="center"/>
                </w:tcPr>
                <w:p w14:paraId="4C303B2F">
                  <w:pPr>
                    <w:pStyle w:val="100"/>
                    <w:widowControl/>
                    <w:adjustRightInd w:val="0"/>
                    <w:snapToGrid w:val="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固态（粉状）</w:t>
                  </w:r>
                </w:p>
              </w:tc>
              <w:tc>
                <w:tcPr>
                  <w:tcW w:w="543" w:type="pct"/>
                  <w:noWrap w:val="0"/>
                  <w:vAlign w:val="center"/>
                </w:tcPr>
                <w:p w14:paraId="7294FD86">
                  <w:pPr>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3.5kg</w:t>
                  </w:r>
                </w:p>
              </w:tc>
              <w:tc>
                <w:tcPr>
                  <w:tcW w:w="827" w:type="pct"/>
                  <w:noWrap w:val="0"/>
                  <w:vAlign w:val="center"/>
                </w:tcPr>
                <w:p w14:paraId="23C802E0">
                  <w:pPr>
                    <w:tabs>
                      <w:tab w:val="left" w:pos="1088"/>
                    </w:tabs>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rPr>
                    <w:t>500g</w:t>
                  </w:r>
                  <w:r>
                    <w:rPr>
                      <w:rFonts w:hint="eastAsia" w:cs="Times New Roman"/>
                      <w:bCs/>
                      <w:color w:val="auto"/>
                      <w:sz w:val="21"/>
                      <w:szCs w:val="21"/>
                      <w:highlight w:val="none"/>
                      <w:lang w:val="en-US" w:eastAsia="zh-CN"/>
                    </w:rPr>
                    <w:t>/瓶</w:t>
                  </w:r>
                </w:p>
              </w:tc>
              <w:tc>
                <w:tcPr>
                  <w:tcW w:w="583" w:type="pct"/>
                  <w:noWrap w:val="0"/>
                  <w:vAlign w:val="center"/>
                </w:tcPr>
                <w:p w14:paraId="21413145">
                  <w:pPr>
                    <w:widowControl/>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检测</w:t>
                  </w:r>
                </w:p>
              </w:tc>
            </w:tr>
            <w:tr w14:paraId="50722B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80" w:type="pct"/>
                  <w:noWrap w:val="0"/>
                  <w:vAlign w:val="center"/>
                </w:tcPr>
                <w:p w14:paraId="0E982FED">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16</w:t>
                  </w:r>
                </w:p>
              </w:tc>
              <w:tc>
                <w:tcPr>
                  <w:tcW w:w="994" w:type="pct"/>
                  <w:noWrap w:val="0"/>
                  <w:vAlign w:val="center"/>
                </w:tcPr>
                <w:p w14:paraId="4C38A508">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氯化铵</w:t>
                  </w:r>
                </w:p>
              </w:tc>
              <w:tc>
                <w:tcPr>
                  <w:tcW w:w="492" w:type="pct"/>
                  <w:noWrap w:val="0"/>
                  <w:vAlign w:val="center"/>
                </w:tcPr>
                <w:p w14:paraId="58DC2980">
                  <w:pPr>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3kg</w:t>
                  </w:r>
                </w:p>
              </w:tc>
              <w:tc>
                <w:tcPr>
                  <w:tcW w:w="1177" w:type="pct"/>
                  <w:noWrap w:val="0"/>
                  <w:vAlign w:val="center"/>
                </w:tcPr>
                <w:p w14:paraId="4DB2CAED">
                  <w:pPr>
                    <w:pStyle w:val="100"/>
                    <w:widowControl/>
                    <w:adjustRightInd w:val="0"/>
                    <w:snapToGrid w:val="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固态（粉状）</w:t>
                  </w:r>
                </w:p>
              </w:tc>
              <w:tc>
                <w:tcPr>
                  <w:tcW w:w="543" w:type="pct"/>
                  <w:noWrap w:val="0"/>
                  <w:vAlign w:val="center"/>
                </w:tcPr>
                <w:p w14:paraId="6CC29F4C">
                  <w:pPr>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3kg</w:t>
                  </w:r>
                </w:p>
              </w:tc>
              <w:tc>
                <w:tcPr>
                  <w:tcW w:w="827" w:type="pct"/>
                  <w:noWrap w:val="0"/>
                  <w:vAlign w:val="center"/>
                </w:tcPr>
                <w:p w14:paraId="326B51C8">
                  <w:pPr>
                    <w:tabs>
                      <w:tab w:val="left" w:pos="1088"/>
                    </w:tabs>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rPr>
                    <w:t>500g</w:t>
                  </w:r>
                  <w:r>
                    <w:rPr>
                      <w:rFonts w:hint="eastAsia" w:cs="Times New Roman"/>
                      <w:bCs/>
                      <w:color w:val="auto"/>
                      <w:sz w:val="21"/>
                      <w:szCs w:val="21"/>
                      <w:highlight w:val="none"/>
                      <w:lang w:val="en-US" w:eastAsia="zh-CN"/>
                    </w:rPr>
                    <w:t>/瓶</w:t>
                  </w:r>
                </w:p>
              </w:tc>
              <w:tc>
                <w:tcPr>
                  <w:tcW w:w="583" w:type="pct"/>
                  <w:noWrap w:val="0"/>
                  <w:vAlign w:val="center"/>
                </w:tcPr>
                <w:p w14:paraId="06CDF54B">
                  <w:pPr>
                    <w:widowControl/>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检测</w:t>
                  </w:r>
                </w:p>
              </w:tc>
            </w:tr>
            <w:tr w14:paraId="3EE50A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80" w:type="pct"/>
                  <w:noWrap w:val="0"/>
                  <w:vAlign w:val="center"/>
                </w:tcPr>
                <w:p w14:paraId="35E9A214">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17</w:t>
                  </w:r>
                </w:p>
              </w:tc>
              <w:tc>
                <w:tcPr>
                  <w:tcW w:w="994" w:type="pct"/>
                  <w:noWrap w:val="0"/>
                  <w:vAlign w:val="center"/>
                </w:tcPr>
                <w:p w14:paraId="2F46C765">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氯化钠</w:t>
                  </w:r>
                </w:p>
              </w:tc>
              <w:tc>
                <w:tcPr>
                  <w:tcW w:w="492" w:type="pct"/>
                  <w:noWrap w:val="0"/>
                  <w:vAlign w:val="center"/>
                </w:tcPr>
                <w:p w14:paraId="20FB2DCB">
                  <w:pPr>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3</w:t>
                  </w:r>
                  <w:r>
                    <w:rPr>
                      <w:rFonts w:hint="eastAsia" w:ascii="Times New Roman" w:hAnsi="Times New Roman" w:cs="Times New Roman"/>
                      <w:color w:val="auto"/>
                      <w:sz w:val="21"/>
                      <w:szCs w:val="21"/>
                      <w:highlight w:val="none"/>
                      <w:lang w:val="en-US" w:eastAsia="zh-CN"/>
                    </w:rPr>
                    <w:t>.5</w:t>
                  </w:r>
                  <w:r>
                    <w:rPr>
                      <w:rFonts w:hint="default" w:ascii="Times New Roman" w:hAnsi="Times New Roman" w:cs="Times New Roman"/>
                      <w:color w:val="auto"/>
                      <w:sz w:val="21"/>
                      <w:szCs w:val="21"/>
                      <w:highlight w:val="none"/>
                    </w:rPr>
                    <w:t>kg</w:t>
                  </w:r>
                </w:p>
              </w:tc>
              <w:tc>
                <w:tcPr>
                  <w:tcW w:w="1177" w:type="pct"/>
                  <w:noWrap w:val="0"/>
                  <w:vAlign w:val="center"/>
                </w:tcPr>
                <w:p w14:paraId="245E495D">
                  <w:pPr>
                    <w:pStyle w:val="100"/>
                    <w:widowControl/>
                    <w:adjustRightInd w:val="0"/>
                    <w:snapToGrid w:val="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rPr>
                    <w:t>固态（晶状粉末）</w:t>
                  </w:r>
                </w:p>
              </w:tc>
              <w:tc>
                <w:tcPr>
                  <w:tcW w:w="543" w:type="pct"/>
                  <w:noWrap w:val="0"/>
                  <w:vAlign w:val="center"/>
                </w:tcPr>
                <w:p w14:paraId="4A542186">
                  <w:pPr>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3</w:t>
                  </w:r>
                  <w:r>
                    <w:rPr>
                      <w:rFonts w:hint="eastAsia" w:ascii="Times New Roman" w:hAnsi="Times New Roman" w:cs="Times New Roman"/>
                      <w:color w:val="auto"/>
                      <w:sz w:val="21"/>
                      <w:szCs w:val="21"/>
                      <w:highlight w:val="none"/>
                      <w:lang w:val="en-US" w:eastAsia="zh-CN"/>
                    </w:rPr>
                    <w:t>.5</w:t>
                  </w:r>
                  <w:r>
                    <w:rPr>
                      <w:rFonts w:hint="default" w:ascii="Times New Roman" w:hAnsi="Times New Roman" w:cs="Times New Roman"/>
                      <w:color w:val="auto"/>
                      <w:sz w:val="21"/>
                      <w:szCs w:val="21"/>
                      <w:highlight w:val="none"/>
                    </w:rPr>
                    <w:t>kg</w:t>
                  </w:r>
                </w:p>
              </w:tc>
              <w:tc>
                <w:tcPr>
                  <w:tcW w:w="827" w:type="pct"/>
                  <w:noWrap w:val="0"/>
                  <w:vAlign w:val="center"/>
                </w:tcPr>
                <w:p w14:paraId="26A4CD06">
                  <w:pPr>
                    <w:tabs>
                      <w:tab w:val="left" w:pos="1088"/>
                    </w:tabs>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rPr>
                    <w:t>500g</w:t>
                  </w:r>
                  <w:r>
                    <w:rPr>
                      <w:rFonts w:hint="eastAsia" w:cs="Times New Roman"/>
                      <w:bCs/>
                      <w:color w:val="auto"/>
                      <w:sz w:val="21"/>
                      <w:szCs w:val="21"/>
                      <w:highlight w:val="none"/>
                      <w:lang w:val="en-US" w:eastAsia="zh-CN"/>
                    </w:rPr>
                    <w:t>/瓶</w:t>
                  </w:r>
                </w:p>
              </w:tc>
              <w:tc>
                <w:tcPr>
                  <w:tcW w:w="583" w:type="pct"/>
                  <w:noWrap w:val="0"/>
                  <w:vAlign w:val="center"/>
                </w:tcPr>
                <w:p w14:paraId="36930E39">
                  <w:pPr>
                    <w:widowControl/>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检测</w:t>
                  </w:r>
                </w:p>
              </w:tc>
            </w:tr>
            <w:tr w14:paraId="794D51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80" w:type="pct"/>
                  <w:noWrap w:val="0"/>
                  <w:vAlign w:val="center"/>
                </w:tcPr>
                <w:p w14:paraId="74C2F4C5">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18</w:t>
                  </w:r>
                </w:p>
              </w:tc>
              <w:tc>
                <w:tcPr>
                  <w:tcW w:w="994" w:type="pct"/>
                  <w:noWrap w:val="0"/>
                  <w:vAlign w:val="center"/>
                </w:tcPr>
                <w:p w14:paraId="1D57EF5B">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氢氧化钠</w:t>
                  </w:r>
                </w:p>
              </w:tc>
              <w:tc>
                <w:tcPr>
                  <w:tcW w:w="492" w:type="pct"/>
                  <w:noWrap w:val="0"/>
                  <w:vAlign w:val="center"/>
                </w:tcPr>
                <w:p w14:paraId="27AA3940">
                  <w:pPr>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1</w:t>
                  </w:r>
                  <w:r>
                    <w:rPr>
                      <w:rFonts w:hint="eastAsia" w:ascii="Times New Roman" w:hAnsi="Times New Roman" w:cs="Times New Roman"/>
                      <w:color w:val="auto"/>
                      <w:sz w:val="21"/>
                      <w:szCs w:val="21"/>
                      <w:highlight w:val="none"/>
                      <w:lang w:val="en-US" w:eastAsia="zh-CN"/>
                    </w:rPr>
                    <w:t>6</w:t>
                  </w:r>
                  <w:r>
                    <w:rPr>
                      <w:rFonts w:hint="default" w:ascii="Times New Roman" w:hAnsi="Times New Roman" w:cs="Times New Roman"/>
                      <w:color w:val="auto"/>
                      <w:sz w:val="21"/>
                      <w:szCs w:val="21"/>
                      <w:highlight w:val="none"/>
                    </w:rPr>
                    <w:t>kg</w:t>
                  </w:r>
                </w:p>
              </w:tc>
              <w:tc>
                <w:tcPr>
                  <w:tcW w:w="1177" w:type="pct"/>
                  <w:noWrap w:val="0"/>
                  <w:vAlign w:val="center"/>
                </w:tcPr>
                <w:p w14:paraId="617710EE">
                  <w:pPr>
                    <w:pStyle w:val="100"/>
                    <w:widowControl/>
                    <w:adjustRightInd w:val="0"/>
                    <w:snapToGrid w:val="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rPr>
                    <w:t>固态（晶状粉末）</w:t>
                  </w:r>
                </w:p>
              </w:tc>
              <w:tc>
                <w:tcPr>
                  <w:tcW w:w="543" w:type="pct"/>
                  <w:noWrap w:val="0"/>
                  <w:vAlign w:val="center"/>
                </w:tcPr>
                <w:p w14:paraId="7BA3C660">
                  <w:pPr>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1</w:t>
                  </w:r>
                  <w:r>
                    <w:rPr>
                      <w:rFonts w:hint="eastAsia" w:ascii="Times New Roman" w:hAnsi="Times New Roman" w:cs="Times New Roman"/>
                      <w:color w:val="auto"/>
                      <w:sz w:val="21"/>
                      <w:szCs w:val="21"/>
                      <w:highlight w:val="none"/>
                      <w:lang w:val="en-US" w:eastAsia="zh-CN"/>
                    </w:rPr>
                    <w:t>6</w:t>
                  </w:r>
                  <w:r>
                    <w:rPr>
                      <w:rFonts w:hint="default" w:ascii="Times New Roman" w:hAnsi="Times New Roman" w:cs="Times New Roman"/>
                      <w:color w:val="auto"/>
                      <w:sz w:val="21"/>
                      <w:szCs w:val="21"/>
                      <w:highlight w:val="none"/>
                    </w:rPr>
                    <w:t>kg</w:t>
                  </w:r>
                </w:p>
              </w:tc>
              <w:tc>
                <w:tcPr>
                  <w:tcW w:w="827" w:type="pct"/>
                  <w:noWrap w:val="0"/>
                  <w:vAlign w:val="center"/>
                </w:tcPr>
                <w:p w14:paraId="1F0F4F0D">
                  <w:pPr>
                    <w:tabs>
                      <w:tab w:val="left" w:pos="1088"/>
                    </w:tabs>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rPr>
                    <w:t>500g</w:t>
                  </w:r>
                  <w:r>
                    <w:rPr>
                      <w:rFonts w:hint="eastAsia" w:cs="Times New Roman"/>
                      <w:bCs/>
                      <w:color w:val="auto"/>
                      <w:sz w:val="21"/>
                      <w:szCs w:val="21"/>
                      <w:highlight w:val="none"/>
                      <w:lang w:val="en-US" w:eastAsia="zh-CN"/>
                    </w:rPr>
                    <w:t>/瓶</w:t>
                  </w:r>
                </w:p>
              </w:tc>
              <w:tc>
                <w:tcPr>
                  <w:tcW w:w="583" w:type="pct"/>
                  <w:noWrap w:val="0"/>
                  <w:vAlign w:val="center"/>
                </w:tcPr>
                <w:p w14:paraId="12283075">
                  <w:pPr>
                    <w:widowControl/>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检测</w:t>
                  </w:r>
                </w:p>
              </w:tc>
            </w:tr>
            <w:tr w14:paraId="695A07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80" w:type="pct"/>
                  <w:noWrap w:val="0"/>
                  <w:vAlign w:val="center"/>
                </w:tcPr>
                <w:p w14:paraId="4F5DE11D">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19</w:t>
                  </w:r>
                </w:p>
              </w:tc>
              <w:tc>
                <w:tcPr>
                  <w:tcW w:w="994" w:type="pct"/>
                  <w:noWrap w:val="0"/>
                  <w:vAlign w:val="center"/>
                </w:tcPr>
                <w:p w14:paraId="3BAF267C">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碳酸氢钠</w:t>
                  </w:r>
                </w:p>
              </w:tc>
              <w:tc>
                <w:tcPr>
                  <w:tcW w:w="492" w:type="pct"/>
                  <w:noWrap w:val="0"/>
                  <w:vAlign w:val="center"/>
                </w:tcPr>
                <w:p w14:paraId="6A8AEF89">
                  <w:pPr>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3kg</w:t>
                  </w:r>
                </w:p>
              </w:tc>
              <w:tc>
                <w:tcPr>
                  <w:tcW w:w="1177" w:type="pct"/>
                  <w:noWrap w:val="0"/>
                  <w:vAlign w:val="center"/>
                </w:tcPr>
                <w:p w14:paraId="65CE5FA9">
                  <w:pPr>
                    <w:pStyle w:val="100"/>
                    <w:widowControl/>
                    <w:adjustRightInd w:val="0"/>
                    <w:snapToGrid w:val="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rPr>
                    <w:t>固态（晶状粉末）</w:t>
                  </w:r>
                </w:p>
              </w:tc>
              <w:tc>
                <w:tcPr>
                  <w:tcW w:w="543" w:type="pct"/>
                  <w:noWrap w:val="0"/>
                  <w:vAlign w:val="center"/>
                </w:tcPr>
                <w:p w14:paraId="10189F6D">
                  <w:pPr>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3kg</w:t>
                  </w:r>
                </w:p>
              </w:tc>
              <w:tc>
                <w:tcPr>
                  <w:tcW w:w="827" w:type="pct"/>
                  <w:noWrap w:val="0"/>
                  <w:vAlign w:val="center"/>
                </w:tcPr>
                <w:p w14:paraId="3A51021F">
                  <w:pPr>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rPr>
                    <w:t>500g</w:t>
                  </w:r>
                  <w:r>
                    <w:rPr>
                      <w:rFonts w:hint="eastAsia" w:cs="Times New Roman"/>
                      <w:bCs/>
                      <w:color w:val="auto"/>
                      <w:sz w:val="21"/>
                      <w:szCs w:val="21"/>
                      <w:highlight w:val="none"/>
                      <w:lang w:val="en-US" w:eastAsia="zh-CN"/>
                    </w:rPr>
                    <w:t>/瓶</w:t>
                  </w:r>
                </w:p>
              </w:tc>
              <w:tc>
                <w:tcPr>
                  <w:tcW w:w="583" w:type="pct"/>
                  <w:noWrap w:val="0"/>
                  <w:vAlign w:val="center"/>
                </w:tcPr>
                <w:p w14:paraId="55558A90">
                  <w:pPr>
                    <w:widowControl/>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检测</w:t>
                  </w:r>
                </w:p>
              </w:tc>
            </w:tr>
            <w:tr w14:paraId="6E5C06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80" w:type="pct"/>
                  <w:noWrap w:val="0"/>
                  <w:vAlign w:val="center"/>
                </w:tcPr>
                <w:p w14:paraId="39C56F84">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20</w:t>
                  </w:r>
                </w:p>
              </w:tc>
              <w:tc>
                <w:tcPr>
                  <w:tcW w:w="994" w:type="pct"/>
                  <w:noWrap w:val="0"/>
                  <w:vAlign w:val="center"/>
                </w:tcPr>
                <w:p w14:paraId="0FFF6711">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硫酸铜</w:t>
                  </w:r>
                </w:p>
              </w:tc>
              <w:tc>
                <w:tcPr>
                  <w:tcW w:w="492" w:type="pct"/>
                  <w:noWrap w:val="0"/>
                  <w:vAlign w:val="center"/>
                </w:tcPr>
                <w:p w14:paraId="4D86B614">
                  <w:pPr>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2.5kg</w:t>
                  </w:r>
                </w:p>
              </w:tc>
              <w:tc>
                <w:tcPr>
                  <w:tcW w:w="1177" w:type="pct"/>
                  <w:noWrap w:val="0"/>
                  <w:vAlign w:val="center"/>
                </w:tcPr>
                <w:p w14:paraId="2977C312">
                  <w:pPr>
                    <w:pStyle w:val="100"/>
                    <w:widowControl/>
                    <w:adjustRightInd w:val="0"/>
                    <w:snapToGrid w:val="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固态（粉状）</w:t>
                  </w:r>
                </w:p>
              </w:tc>
              <w:tc>
                <w:tcPr>
                  <w:tcW w:w="543" w:type="pct"/>
                  <w:noWrap w:val="0"/>
                  <w:vAlign w:val="center"/>
                </w:tcPr>
                <w:p w14:paraId="3D4BC260">
                  <w:pPr>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2.5kg</w:t>
                  </w:r>
                </w:p>
              </w:tc>
              <w:tc>
                <w:tcPr>
                  <w:tcW w:w="827" w:type="pct"/>
                  <w:noWrap w:val="0"/>
                  <w:vAlign w:val="center"/>
                </w:tcPr>
                <w:p w14:paraId="57800D2E">
                  <w:pPr>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rPr>
                    <w:t>500g</w:t>
                  </w:r>
                  <w:r>
                    <w:rPr>
                      <w:rFonts w:hint="eastAsia" w:cs="Times New Roman"/>
                      <w:bCs/>
                      <w:color w:val="auto"/>
                      <w:sz w:val="21"/>
                      <w:szCs w:val="21"/>
                      <w:highlight w:val="none"/>
                      <w:lang w:val="en-US" w:eastAsia="zh-CN"/>
                    </w:rPr>
                    <w:t>/瓶</w:t>
                  </w:r>
                </w:p>
              </w:tc>
              <w:tc>
                <w:tcPr>
                  <w:tcW w:w="583" w:type="pct"/>
                  <w:noWrap w:val="0"/>
                  <w:vAlign w:val="center"/>
                </w:tcPr>
                <w:p w14:paraId="6B5044D3">
                  <w:pPr>
                    <w:widowControl/>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检测</w:t>
                  </w:r>
                </w:p>
              </w:tc>
            </w:tr>
            <w:tr w14:paraId="06C3B0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80" w:type="pct"/>
                  <w:noWrap w:val="0"/>
                  <w:vAlign w:val="center"/>
                </w:tcPr>
                <w:p w14:paraId="20B0F819">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21</w:t>
                  </w:r>
                </w:p>
              </w:tc>
              <w:tc>
                <w:tcPr>
                  <w:tcW w:w="994" w:type="pct"/>
                  <w:noWrap w:val="0"/>
                  <w:vAlign w:val="center"/>
                </w:tcPr>
                <w:p w14:paraId="58CE8F73">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硫酸钾</w:t>
                  </w:r>
                </w:p>
              </w:tc>
              <w:tc>
                <w:tcPr>
                  <w:tcW w:w="492" w:type="pct"/>
                  <w:noWrap w:val="0"/>
                  <w:vAlign w:val="center"/>
                </w:tcPr>
                <w:p w14:paraId="646889F5">
                  <w:pPr>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2.5kg</w:t>
                  </w:r>
                </w:p>
              </w:tc>
              <w:tc>
                <w:tcPr>
                  <w:tcW w:w="1177" w:type="pct"/>
                  <w:noWrap w:val="0"/>
                  <w:vAlign w:val="center"/>
                </w:tcPr>
                <w:p w14:paraId="0C279449">
                  <w:pPr>
                    <w:pStyle w:val="100"/>
                    <w:widowControl/>
                    <w:adjustRightInd w:val="0"/>
                    <w:snapToGrid w:val="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固态（粉状）</w:t>
                  </w:r>
                </w:p>
              </w:tc>
              <w:tc>
                <w:tcPr>
                  <w:tcW w:w="543" w:type="pct"/>
                  <w:noWrap w:val="0"/>
                  <w:vAlign w:val="center"/>
                </w:tcPr>
                <w:p w14:paraId="743F5872">
                  <w:pPr>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2.5kg</w:t>
                  </w:r>
                </w:p>
              </w:tc>
              <w:tc>
                <w:tcPr>
                  <w:tcW w:w="827" w:type="pct"/>
                  <w:noWrap w:val="0"/>
                  <w:vAlign w:val="center"/>
                </w:tcPr>
                <w:p w14:paraId="23DD7141">
                  <w:pPr>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rPr>
                    <w:t>500g</w:t>
                  </w:r>
                  <w:r>
                    <w:rPr>
                      <w:rFonts w:hint="eastAsia" w:cs="Times New Roman"/>
                      <w:bCs/>
                      <w:color w:val="auto"/>
                      <w:sz w:val="21"/>
                      <w:szCs w:val="21"/>
                      <w:highlight w:val="none"/>
                      <w:lang w:val="en-US" w:eastAsia="zh-CN"/>
                    </w:rPr>
                    <w:t>/瓶</w:t>
                  </w:r>
                </w:p>
              </w:tc>
              <w:tc>
                <w:tcPr>
                  <w:tcW w:w="583" w:type="pct"/>
                  <w:noWrap w:val="0"/>
                  <w:vAlign w:val="center"/>
                </w:tcPr>
                <w:p w14:paraId="44833661">
                  <w:pPr>
                    <w:widowControl/>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检测</w:t>
                  </w:r>
                </w:p>
              </w:tc>
            </w:tr>
            <w:tr w14:paraId="046E97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80" w:type="pct"/>
                  <w:noWrap w:val="0"/>
                  <w:vAlign w:val="center"/>
                </w:tcPr>
                <w:p w14:paraId="28D08573">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22</w:t>
                  </w:r>
                </w:p>
              </w:tc>
              <w:tc>
                <w:tcPr>
                  <w:tcW w:w="994" w:type="pct"/>
                  <w:noWrap w:val="0"/>
                  <w:vAlign w:val="center"/>
                </w:tcPr>
                <w:p w14:paraId="03792ADB">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重铬酸钾</w:t>
                  </w:r>
                </w:p>
              </w:tc>
              <w:tc>
                <w:tcPr>
                  <w:tcW w:w="492" w:type="pct"/>
                  <w:noWrap w:val="0"/>
                  <w:vAlign w:val="center"/>
                </w:tcPr>
                <w:p w14:paraId="15B65A6B">
                  <w:pPr>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4kg</w:t>
                  </w:r>
                </w:p>
              </w:tc>
              <w:tc>
                <w:tcPr>
                  <w:tcW w:w="1177" w:type="pct"/>
                  <w:noWrap w:val="0"/>
                  <w:vAlign w:val="center"/>
                </w:tcPr>
                <w:p w14:paraId="7860C4BD">
                  <w:pPr>
                    <w:widowControl/>
                    <w:adjustRightInd w:val="0"/>
                    <w:snapToGrid w:val="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rPr>
                    <w:t>固态（晶状粉末）</w:t>
                  </w:r>
                </w:p>
              </w:tc>
              <w:tc>
                <w:tcPr>
                  <w:tcW w:w="543" w:type="pct"/>
                  <w:noWrap w:val="0"/>
                  <w:vAlign w:val="center"/>
                </w:tcPr>
                <w:p w14:paraId="19644898">
                  <w:pPr>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4kg</w:t>
                  </w:r>
                </w:p>
              </w:tc>
              <w:tc>
                <w:tcPr>
                  <w:tcW w:w="827" w:type="pct"/>
                  <w:noWrap w:val="0"/>
                  <w:vAlign w:val="center"/>
                </w:tcPr>
                <w:p w14:paraId="63922AEF">
                  <w:pPr>
                    <w:tabs>
                      <w:tab w:val="left" w:pos="1088"/>
                    </w:tabs>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rPr>
                    <w:t>500g</w:t>
                  </w:r>
                  <w:r>
                    <w:rPr>
                      <w:rFonts w:hint="eastAsia" w:cs="Times New Roman"/>
                      <w:bCs/>
                      <w:color w:val="auto"/>
                      <w:sz w:val="21"/>
                      <w:szCs w:val="21"/>
                      <w:highlight w:val="none"/>
                      <w:lang w:val="en-US" w:eastAsia="zh-CN"/>
                    </w:rPr>
                    <w:t>/瓶</w:t>
                  </w:r>
                </w:p>
              </w:tc>
              <w:tc>
                <w:tcPr>
                  <w:tcW w:w="583" w:type="pct"/>
                  <w:noWrap w:val="0"/>
                  <w:vAlign w:val="center"/>
                </w:tcPr>
                <w:p w14:paraId="5CEC749B">
                  <w:pPr>
                    <w:widowControl/>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检测</w:t>
                  </w:r>
                </w:p>
              </w:tc>
            </w:tr>
            <w:tr w14:paraId="05F556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80" w:type="pct"/>
                  <w:noWrap w:val="0"/>
                  <w:vAlign w:val="center"/>
                </w:tcPr>
                <w:p w14:paraId="723F6AB0">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23</w:t>
                  </w:r>
                </w:p>
              </w:tc>
              <w:tc>
                <w:tcPr>
                  <w:tcW w:w="994" w:type="pct"/>
                  <w:noWrap w:val="0"/>
                  <w:vAlign w:val="center"/>
                </w:tcPr>
                <w:p w14:paraId="466A40A0">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硼酸</w:t>
                  </w:r>
                </w:p>
              </w:tc>
              <w:tc>
                <w:tcPr>
                  <w:tcW w:w="492" w:type="pct"/>
                  <w:noWrap w:val="0"/>
                  <w:vAlign w:val="center"/>
                </w:tcPr>
                <w:p w14:paraId="27EC1CD7">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9kg</w:t>
                  </w:r>
                </w:p>
              </w:tc>
              <w:tc>
                <w:tcPr>
                  <w:tcW w:w="1177" w:type="pct"/>
                  <w:noWrap w:val="0"/>
                  <w:vAlign w:val="center"/>
                </w:tcPr>
                <w:p w14:paraId="5549133C">
                  <w:pPr>
                    <w:widowControl/>
                    <w:adjustRightInd w:val="0"/>
                    <w:snapToGrid w:val="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固态（晶体</w:t>
                  </w:r>
                  <w:r>
                    <w:rPr>
                      <w:rFonts w:hint="default" w:ascii="Times New Roman" w:hAnsi="Times New Roman" w:eastAsia="宋体" w:cs="Times New Roman"/>
                      <w:color w:val="auto"/>
                      <w:kern w:val="0"/>
                      <w:sz w:val="21"/>
                      <w:szCs w:val="21"/>
                      <w:highlight w:val="none"/>
                      <w:lang w:val="en-US" w:eastAsia="zh-CN"/>
                    </w:rPr>
                    <w:t>粉末</w:t>
                  </w:r>
                  <w:r>
                    <w:rPr>
                      <w:rFonts w:hint="default" w:ascii="Times New Roman" w:hAnsi="Times New Roman" w:eastAsia="宋体" w:cs="Times New Roman"/>
                      <w:color w:val="auto"/>
                      <w:kern w:val="0"/>
                      <w:sz w:val="21"/>
                      <w:szCs w:val="21"/>
                      <w:highlight w:val="none"/>
                      <w:lang w:val="en-US" w:eastAsia="zh-CN" w:bidi="ar-SA"/>
                    </w:rPr>
                    <w:t>）</w:t>
                  </w:r>
                </w:p>
              </w:tc>
              <w:tc>
                <w:tcPr>
                  <w:tcW w:w="543" w:type="pct"/>
                  <w:noWrap w:val="0"/>
                  <w:vAlign w:val="center"/>
                </w:tcPr>
                <w:p w14:paraId="2FE6D254">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9kg</w:t>
                  </w:r>
                </w:p>
              </w:tc>
              <w:tc>
                <w:tcPr>
                  <w:tcW w:w="827" w:type="pct"/>
                  <w:noWrap w:val="0"/>
                  <w:vAlign w:val="center"/>
                </w:tcPr>
                <w:p w14:paraId="415DD415">
                  <w:pPr>
                    <w:tabs>
                      <w:tab w:val="left" w:pos="1088"/>
                    </w:tabs>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rPr>
                    <w:t>500g</w:t>
                  </w:r>
                  <w:r>
                    <w:rPr>
                      <w:rFonts w:hint="eastAsia" w:cs="Times New Roman"/>
                      <w:bCs/>
                      <w:color w:val="auto"/>
                      <w:sz w:val="21"/>
                      <w:szCs w:val="21"/>
                      <w:highlight w:val="none"/>
                      <w:lang w:val="en-US" w:eastAsia="zh-CN"/>
                    </w:rPr>
                    <w:t>/瓶</w:t>
                  </w:r>
                </w:p>
              </w:tc>
              <w:tc>
                <w:tcPr>
                  <w:tcW w:w="583" w:type="pct"/>
                  <w:noWrap w:val="0"/>
                  <w:vAlign w:val="center"/>
                </w:tcPr>
                <w:p w14:paraId="1E856E9B">
                  <w:pPr>
                    <w:widowControl/>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检测</w:t>
                  </w:r>
                </w:p>
              </w:tc>
            </w:tr>
            <w:tr w14:paraId="085C5E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80" w:type="pct"/>
                  <w:noWrap w:val="0"/>
                  <w:vAlign w:val="center"/>
                </w:tcPr>
                <w:p w14:paraId="262763DF">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24</w:t>
                  </w:r>
                </w:p>
              </w:tc>
              <w:tc>
                <w:tcPr>
                  <w:tcW w:w="994" w:type="pct"/>
                  <w:noWrap w:val="0"/>
                  <w:vAlign w:val="center"/>
                </w:tcPr>
                <w:p w14:paraId="607F58FF">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无水硫酸钠</w:t>
                  </w:r>
                </w:p>
              </w:tc>
              <w:tc>
                <w:tcPr>
                  <w:tcW w:w="492" w:type="pct"/>
                  <w:noWrap w:val="0"/>
                  <w:vAlign w:val="center"/>
                </w:tcPr>
                <w:p w14:paraId="36A9929D">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1.5kg</w:t>
                  </w:r>
                </w:p>
              </w:tc>
              <w:tc>
                <w:tcPr>
                  <w:tcW w:w="1177" w:type="pct"/>
                  <w:noWrap w:val="0"/>
                  <w:vAlign w:val="center"/>
                </w:tcPr>
                <w:p w14:paraId="7FF5B7C4">
                  <w:pPr>
                    <w:widowControl/>
                    <w:adjustRightInd w:val="0"/>
                    <w:snapToGrid w:val="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固态（粉状）</w:t>
                  </w:r>
                </w:p>
              </w:tc>
              <w:tc>
                <w:tcPr>
                  <w:tcW w:w="543" w:type="pct"/>
                  <w:noWrap w:val="0"/>
                  <w:vAlign w:val="center"/>
                </w:tcPr>
                <w:p w14:paraId="12D903B2">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1.5kg</w:t>
                  </w:r>
                </w:p>
              </w:tc>
              <w:tc>
                <w:tcPr>
                  <w:tcW w:w="827" w:type="pct"/>
                  <w:noWrap w:val="0"/>
                  <w:vAlign w:val="center"/>
                </w:tcPr>
                <w:p w14:paraId="14099DF8">
                  <w:pPr>
                    <w:tabs>
                      <w:tab w:val="left" w:pos="1088"/>
                    </w:tabs>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rPr>
                    <w:t>500g</w:t>
                  </w:r>
                  <w:r>
                    <w:rPr>
                      <w:rFonts w:hint="eastAsia" w:cs="Times New Roman"/>
                      <w:bCs/>
                      <w:color w:val="auto"/>
                      <w:sz w:val="21"/>
                      <w:szCs w:val="21"/>
                      <w:highlight w:val="none"/>
                      <w:lang w:val="en-US" w:eastAsia="zh-CN"/>
                    </w:rPr>
                    <w:t>/瓶</w:t>
                  </w:r>
                </w:p>
              </w:tc>
              <w:tc>
                <w:tcPr>
                  <w:tcW w:w="583" w:type="pct"/>
                  <w:noWrap w:val="0"/>
                  <w:vAlign w:val="center"/>
                </w:tcPr>
                <w:p w14:paraId="7C6D3B80">
                  <w:pPr>
                    <w:widowControl/>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检测</w:t>
                  </w:r>
                </w:p>
              </w:tc>
            </w:tr>
            <w:tr w14:paraId="5D9F27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80" w:type="pct"/>
                  <w:noWrap w:val="0"/>
                  <w:vAlign w:val="center"/>
                </w:tcPr>
                <w:p w14:paraId="4C58B642">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25</w:t>
                  </w:r>
                </w:p>
              </w:tc>
              <w:tc>
                <w:tcPr>
                  <w:tcW w:w="994" w:type="pct"/>
                  <w:noWrap w:val="0"/>
                  <w:vAlign w:val="center"/>
                </w:tcPr>
                <w:p w14:paraId="7D2D4F95">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亚硝酸钠</w:t>
                  </w:r>
                </w:p>
              </w:tc>
              <w:tc>
                <w:tcPr>
                  <w:tcW w:w="492" w:type="pct"/>
                  <w:noWrap w:val="0"/>
                  <w:vAlign w:val="center"/>
                </w:tcPr>
                <w:p w14:paraId="49561B07">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1kg</w:t>
                  </w:r>
                </w:p>
              </w:tc>
              <w:tc>
                <w:tcPr>
                  <w:tcW w:w="1177" w:type="pct"/>
                  <w:noWrap w:val="0"/>
                  <w:vAlign w:val="center"/>
                </w:tcPr>
                <w:p w14:paraId="13DAF6BB">
                  <w:pPr>
                    <w:widowControl/>
                    <w:adjustRightInd w:val="0"/>
                    <w:snapToGrid w:val="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固态（晶体</w:t>
                  </w:r>
                  <w:r>
                    <w:rPr>
                      <w:rFonts w:hint="default" w:ascii="Times New Roman" w:hAnsi="Times New Roman" w:eastAsia="宋体" w:cs="Times New Roman"/>
                      <w:color w:val="auto"/>
                      <w:kern w:val="0"/>
                      <w:sz w:val="21"/>
                      <w:szCs w:val="21"/>
                      <w:highlight w:val="none"/>
                      <w:lang w:val="en-US" w:eastAsia="zh-CN"/>
                    </w:rPr>
                    <w:t>粉末）</w:t>
                  </w:r>
                </w:p>
              </w:tc>
              <w:tc>
                <w:tcPr>
                  <w:tcW w:w="543" w:type="pct"/>
                  <w:noWrap w:val="0"/>
                  <w:vAlign w:val="center"/>
                </w:tcPr>
                <w:p w14:paraId="2C4C251B">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1kg</w:t>
                  </w:r>
                </w:p>
              </w:tc>
              <w:tc>
                <w:tcPr>
                  <w:tcW w:w="827" w:type="pct"/>
                  <w:noWrap w:val="0"/>
                  <w:vAlign w:val="center"/>
                </w:tcPr>
                <w:p w14:paraId="738B4212">
                  <w:pPr>
                    <w:tabs>
                      <w:tab w:val="left" w:pos="1088"/>
                    </w:tabs>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rPr>
                    <w:t>500g</w:t>
                  </w:r>
                  <w:r>
                    <w:rPr>
                      <w:rFonts w:hint="eastAsia" w:cs="Times New Roman"/>
                      <w:bCs/>
                      <w:color w:val="auto"/>
                      <w:sz w:val="21"/>
                      <w:szCs w:val="21"/>
                      <w:highlight w:val="none"/>
                      <w:lang w:val="en-US" w:eastAsia="zh-CN"/>
                    </w:rPr>
                    <w:t>/瓶</w:t>
                  </w:r>
                </w:p>
              </w:tc>
              <w:tc>
                <w:tcPr>
                  <w:tcW w:w="583" w:type="pct"/>
                  <w:noWrap w:val="0"/>
                  <w:vAlign w:val="center"/>
                </w:tcPr>
                <w:p w14:paraId="0C85D851">
                  <w:pPr>
                    <w:widowControl/>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检测</w:t>
                  </w:r>
                </w:p>
              </w:tc>
            </w:tr>
            <w:tr w14:paraId="2CB87D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80" w:type="pct"/>
                  <w:noWrap w:val="0"/>
                  <w:vAlign w:val="center"/>
                </w:tcPr>
                <w:p w14:paraId="0B14B5D9">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26</w:t>
                  </w:r>
                </w:p>
              </w:tc>
              <w:tc>
                <w:tcPr>
                  <w:tcW w:w="994" w:type="pct"/>
                  <w:noWrap w:val="0"/>
                  <w:vAlign w:val="center"/>
                </w:tcPr>
                <w:p w14:paraId="12B04A9D">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亚硫酸氢钠</w:t>
                  </w:r>
                </w:p>
              </w:tc>
              <w:tc>
                <w:tcPr>
                  <w:tcW w:w="492" w:type="pct"/>
                  <w:noWrap w:val="0"/>
                  <w:vAlign w:val="center"/>
                </w:tcPr>
                <w:p w14:paraId="5A1F790D">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1kg</w:t>
                  </w:r>
                </w:p>
              </w:tc>
              <w:tc>
                <w:tcPr>
                  <w:tcW w:w="1177" w:type="pct"/>
                  <w:noWrap w:val="0"/>
                  <w:vAlign w:val="center"/>
                </w:tcPr>
                <w:p w14:paraId="3995D8A8">
                  <w:pPr>
                    <w:widowControl/>
                    <w:adjustRightInd w:val="0"/>
                    <w:snapToGrid w:val="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固态（晶体</w:t>
                  </w:r>
                  <w:r>
                    <w:rPr>
                      <w:rFonts w:hint="default" w:ascii="Times New Roman" w:hAnsi="Times New Roman" w:eastAsia="宋体" w:cs="Times New Roman"/>
                      <w:color w:val="auto"/>
                      <w:kern w:val="0"/>
                      <w:sz w:val="21"/>
                      <w:szCs w:val="21"/>
                      <w:highlight w:val="none"/>
                      <w:lang w:val="en-US" w:eastAsia="zh-CN"/>
                    </w:rPr>
                    <w:t>粉末）</w:t>
                  </w:r>
                </w:p>
              </w:tc>
              <w:tc>
                <w:tcPr>
                  <w:tcW w:w="543" w:type="pct"/>
                  <w:noWrap w:val="0"/>
                  <w:vAlign w:val="center"/>
                </w:tcPr>
                <w:p w14:paraId="200FF11D">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1kg</w:t>
                  </w:r>
                </w:p>
              </w:tc>
              <w:tc>
                <w:tcPr>
                  <w:tcW w:w="827" w:type="pct"/>
                  <w:noWrap w:val="0"/>
                  <w:vAlign w:val="center"/>
                </w:tcPr>
                <w:p w14:paraId="0C3F406E">
                  <w:pPr>
                    <w:tabs>
                      <w:tab w:val="left" w:pos="1088"/>
                    </w:tabs>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rPr>
                    <w:t>500g</w:t>
                  </w:r>
                  <w:r>
                    <w:rPr>
                      <w:rFonts w:hint="eastAsia" w:cs="Times New Roman"/>
                      <w:bCs/>
                      <w:color w:val="auto"/>
                      <w:sz w:val="21"/>
                      <w:szCs w:val="21"/>
                      <w:highlight w:val="none"/>
                      <w:lang w:val="en-US" w:eastAsia="zh-CN"/>
                    </w:rPr>
                    <w:t>/瓶</w:t>
                  </w:r>
                </w:p>
              </w:tc>
              <w:tc>
                <w:tcPr>
                  <w:tcW w:w="583" w:type="pct"/>
                  <w:noWrap w:val="0"/>
                  <w:vAlign w:val="center"/>
                </w:tcPr>
                <w:p w14:paraId="36D26180">
                  <w:pPr>
                    <w:widowControl/>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检测</w:t>
                  </w:r>
                </w:p>
              </w:tc>
            </w:tr>
            <w:tr w14:paraId="6263E9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80" w:type="pct"/>
                  <w:noWrap w:val="0"/>
                  <w:vAlign w:val="center"/>
                </w:tcPr>
                <w:p w14:paraId="783AB67C">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27</w:t>
                  </w:r>
                </w:p>
              </w:tc>
              <w:tc>
                <w:tcPr>
                  <w:tcW w:w="994" w:type="pct"/>
                  <w:noWrap w:val="0"/>
                  <w:vAlign w:val="center"/>
                </w:tcPr>
                <w:p w14:paraId="22613572">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硫代硫酸钠</w:t>
                  </w:r>
                </w:p>
              </w:tc>
              <w:tc>
                <w:tcPr>
                  <w:tcW w:w="492" w:type="pct"/>
                  <w:noWrap w:val="0"/>
                  <w:vAlign w:val="center"/>
                </w:tcPr>
                <w:p w14:paraId="04F578BE">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1kg</w:t>
                  </w:r>
                </w:p>
              </w:tc>
              <w:tc>
                <w:tcPr>
                  <w:tcW w:w="1177" w:type="pct"/>
                  <w:noWrap w:val="0"/>
                  <w:vAlign w:val="center"/>
                </w:tcPr>
                <w:p w14:paraId="23605CB6">
                  <w:pPr>
                    <w:widowControl/>
                    <w:adjustRightInd w:val="0"/>
                    <w:snapToGrid w:val="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固态（晶体</w:t>
                  </w:r>
                  <w:r>
                    <w:rPr>
                      <w:rFonts w:hint="default" w:ascii="Times New Roman" w:hAnsi="Times New Roman" w:eastAsia="宋体" w:cs="Times New Roman"/>
                      <w:color w:val="auto"/>
                      <w:kern w:val="0"/>
                      <w:sz w:val="21"/>
                      <w:szCs w:val="21"/>
                      <w:highlight w:val="none"/>
                      <w:lang w:val="en-US" w:eastAsia="zh-CN"/>
                    </w:rPr>
                    <w:t>粉末）</w:t>
                  </w:r>
                </w:p>
              </w:tc>
              <w:tc>
                <w:tcPr>
                  <w:tcW w:w="543" w:type="pct"/>
                  <w:noWrap w:val="0"/>
                  <w:vAlign w:val="center"/>
                </w:tcPr>
                <w:p w14:paraId="70FA07F5">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1kg</w:t>
                  </w:r>
                </w:p>
              </w:tc>
              <w:tc>
                <w:tcPr>
                  <w:tcW w:w="827" w:type="pct"/>
                  <w:noWrap w:val="0"/>
                  <w:vAlign w:val="center"/>
                </w:tcPr>
                <w:p w14:paraId="1CE48831">
                  <w:pPr>
                    <w:tabs>
                      <w:tab w:val="left" w:pos="1088"/>
                    </w:tabs>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rPr>
                    <w:t>500g</w:t>
                  </w:r>
                  <w:r>
                    <w:rPr>
                      <w:rFonts w:hint="eastAsia" w:cs="Times New Roman"/>
                      <w:bCs/>
                      <w:color w:val="auto"/>
                      <w:sz w:val="21"/>
                      <w:szCs w:val="21"/>
                      <w:highlight w:val="none"/>
                      <w:lang w:val="en-US" w:eastAsia="zh-CN"/>
                    </w:rPr>
                    <w:t>/瓶</w:t>
                  </w:r>
                </w:p>
              </w:tc>
              <w:tc>
                <w:tcPr>
                  <w:tcW w:w="583" w:type="pct"/>
                  <w:noWrap w:val="0"/>
                  <w:vAlign w:val="center"/>
                </w:tcPr>
                <w:p w14:paraId="6BEDBA82">
                  <w:pPr>
                    <w:widowControl/>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检测</w:t>
                  </w:r>
                </w:p>
              </w:tc>
            </w:tr>
            <w:tr w14:paraId="231BF2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80" w:type="pct"/>
                  <w:noWrap w:val="0"/>
                  <w:vAlign w:val="center"/>
                </w:tcPr>
                <w:p w14:paraId="48FE544C">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28</w:t>
                  </w:r>
                </w:p>
              </w:tc>
              <w:tc>
                <w:tcPr>
                  <w:tcW w:w="994" w:type="pct"/>
                  <w:noWrap w:val="0"/>
                  <w:vAlign w:val="center"/>
                </w:tcPr>
                <w:p w14:paraId="53A0F6BE">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磷酸氢二钠</w:t>
                  </w:r>
                </w:p>
              </w:tc>
              <w:tc>
                <w:tcPr>
                  <w:tcW w:w="492" w:type="pct"/>
                  <w:noWrap w:val="0"/>
                  <w:vAlign w:val="center"/>
                </w:tcPr>
                <w:p w14:paraId="408EDB67">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0.5kg</w:t>
                  </w:r>
                </w:p>
              </w:tc>
              <w:tc>
                <w:tcPr>
                  <w:tcW w:w="1177" w:type="pct"/>
                  <w:noWrap w:val="0"/>
                  <w:vAlign w:val="center"/>
                </w:tcPr>
                <w:p w14:paraId="6FCFA284">
                  <w:pPr>
                    <w:widowControl/>
                    <w:adjustRightInd w:val="0"/>
                    <w:snapToGrid w:val="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固态（晶体</w:t>
                  </w:r>
                  <w:r>
                    <w:rPr>
                      <w:rFonts w:hint="default" w:ascii="Times New Roman" w:hAnsi="Times New Roman" w:eastAsia="宋体" w:cs="Times New Roman"/>
                      <w:color w:val="auto"/>
                      <w:kern w:val="0"/>
                      <w:sz w:val="21"/>
                      <w:szCs w:val="21"/>
                      <w:highlight w:val="none"/>
                      <w:lang w:val="en-US" w:eastAsia="zh-CN"/>
                    </w:rPr>
                    <w:t>粉末）</w:t>
                  </w:r>
                </w:p>
              </w:tc>
              <w:tc>
                <w:tcPr>
                  <w:tcW w:w="543" w:type="pct"/>
                  <w:noWrap w:val="0"/>
                  <w:vAlign w:val="center"/>
                </w:tcPr>
                <w:p w14:paraId="4E9677D6">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0.5kg</w:t>
                  </w:r>
                </w:p>
              </w:tc>
              <w:tc>
                <w:tcPr>
                  <w:tcW w:w="827" w:type="pct"/>
                  <w:noWrap w:val="0"/>
                  <w:vAlign w:val="center"/>
                </w:tcPr>
                <w:p w14:paraId="5D0499A2">
                  <w:pPr>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rPr>
                    <w:t>500g</w:t>
                  </w:r>
                  <w:r>
                    <w:rPr>
                      <w:rFonts w:hint="eastAsia" w:cs="Times New Roman"/>
                      <w:bCs/>
                      <w:color w:val="auto"/>
                      <w:sz w:val="21"/>
                      <w:szCs w:val="21"/>
                      <w:highlight w:val="none"/>
                      <w:lang w:val="en-US" w:eastAsia="zh-CN"/>
                    </w:rPr>
                    <w:t>/瓶</w:t>
                  </w:r>
                </w:p>
              </w:tc>
              <w:tc>
                <w:tcPr>
                  <w:tcW w:w="583" w:type="pct"/>
                  <w:noWrap w:val="0"/>
                  <w:vAlign w:val="center"/>
                </w:tcPr>
                <w:p w14:paraId="51FAB28E">
                  <w:pPr>
                    <w:widowControl/>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检测</w:t>
                  </w:r>
                </w:p>
              </w:tc>
            </w:tr>
            <w:tr w14:paraId="7902EF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80" w:type="pct"/>
                  <w:noWrap w:val="0"/>
                  <w:vAlign w:val="center"/>
                </w:tcPr>
                <w:p w14:paraId="40313CEF">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29</w:t>
                  </w:r>
                </w:p>
              </w:tc>
              <w:tc>
                <w:tcPr>
                  <w:tcW w:w="994" w:type="pct"/>
                  <w:noWrap w:val="0"/>
                  <w:vAlign w:val="center"/>
                </w:tcPr>
                <w:p w14:paraId="65C75348">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无水碳酸钾</w:t>
                  </w:r>
                </w:p>
              </w:tc>
              <w:tc>
                <w:tcPr>
                  <w:tcW w:w="492" w:type="pct"/>
                  <w:noWrap w:val="0"/>
                  <w:vAlign w:val="center"/>
                </w:tcPr>
                <w:p w14:paraId="178CE0ED">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1kg</w:t>
                  </w:r>
                </w:p>
              </w:tc>
              <w:tc>
                <w:tcPr>
                  <w:tcW w:w="1177" w:type="pct"/>
                  <w:noWrap w:val="0"/>
                  <w:vAlign w:val="center"/>
                </w:tcPr>
                <w:p w14:paraId="2CCE6ED4">
                  <w:pPr>
                    <w:widowControl/>
                    <w:adjustRightInd w:val="0"/>
                    <w:snapToGrid w:val="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固态（晶体</w:t>
                  </w:r>
                  <w:r>
                    <w:rPr>
                      <w:rFonts w:hint="default" w:ascii="Times New Roman" w:hAnsi="Times New Roman" w:eastAsia="宋体" w:cs="Times New Roman"/>
                      <w:color w:val="auto"/>
                      <w:kern w:val="0"/>
                      <w:sz w:val="21"/>
                      <w:szCs w:val="21"/>
                      <w:highlight w:val="none"/>
                      <w:lang w:val="en-US" w:eastAsia="zh-CN"/>
                    </w:rPr>
                    <w:t>粉末）</w:t>
                  </w:r>
                </w:p>
              </w:tc>
              <w:tc>
                <w:tcPr>
                  <w:tcW w:w="543" w:type="pct"/>
                  <w:noWrap w:val="0"/>
                  <w:vAlign w:val="center"/>
                </w:tcPr>
                <w:p w14:paraId="1F392C0F">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1kg</w:t>
                  </w:r>
                </w:p>
              </w:tc>
              <w:tc>
                <w:tcPr>
                  <w:tcW w:w="827" w:type="pct"/>
                  <w:noWrap w:val="0"/>
                  <w:vAlign w:val="center"/>
                </w:tcPr>
                <w:p w14:paraId="75C8CA59">
                  <w:pPr>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rPr>
                    <w:t>500g</w:t>
                  </w:r>
                  <w:r>
                    <w:rPr>
                      <w:rFonts w:hint="eastAsia" w:cs="Times New Roman"/>
                      <w:bCs/>
                      <w:color w:val="auto"/>
                      <w:sz w:val="21"/>
                      <w:szCs w:val="21"/>
                      <w:highlight w:val="none"/>
                      <w:lang w:val="en-US" w:eastAsia="zh-CN"/>
                    </w:rPr>
                    <w:t>/瓶</w:t>
                  </w:r>
                </w:p>
              </w:tc>
              <w:tc>
                <w:tcPr>
                  <w:tcW w:w="583" w:type="pct"/>
                  <w:noWrap w:val="0"/>
                  <w:vAlign w:val="center"/>
                </w:tcPr>
                <w:p w14:paraId="6C2CB02A">
                  <w:pPr>
                    <w:widowControl/>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检测</w:t>
                  </w:r>
                </w:p>
              </w:tc>
            </w:tr>
            <w:tr w14:paraId="5C1002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80" w:type="pct"/>
                  <w:noWrap w:val="0"/>
                  <w:vAlign w:val="center"/>
                </w:tcPr>
                <w:p w14:paraId="2497C98C">
                  <w:pPr>
                    <w:widowControl/>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30</w:t>
                  </w:r>
                </w:p>
              </w:tc>
              <w:tc>
                <w:tcPr>
                  <w:tcW w:w="994" w:type="pct"/>
                  <w:noWrap w:val="0"/>
                  <w:vAlign w:val="center"/>
                </w:tcPr>
                <w:p w14:paraId="7546AC65">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硝酸钾</w:t>
                  </w:r>
                </w:p>
              </w:tc>
              <w:tc>
                <w:tcPr>
                  <w:tcW w:w="492" w:type="pct"/>
                  <w:noWrap w:val="0"/>
                  <w:vAlign w:val="center"/>
                </w:tcPr>
                <w:p w14:paraId="0F74C4CC">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1kg</w:t>
                  </w:r>
                </w:p>
              </w:tc>
              <w:tc>
                <w:tcPr>
                  <w:tcW w:w="1177" w:type="pct"/>
                  <w:noWrap w:val="0"/>
                  <w:vAlign w:val="center"/>
                </w:tcPr>
                <w:p w14:paraId="30DD2DCB">
                  <w:pPr>
                    <w:widowControl/>
                    <w:adjustRightInd w:val="0"/>
                    <w:snapToGrid w:val="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固态（晶体</w:t>
                  </w:r>
                  <w:r>
                    <w:rPr>
                      <w:rFonts w:hint="default" w:ascii="Times New Roman" w:hAnsi="Times New Roman" w:eastAsia="宋体" w:cs="Times New Roman"/>
                      <w:color w:val="auto"/>
                      <w:kern w:val="0"/>
                      <w:sz w:val="21"/>
                      <w:szCs w:val="21"/>
                      <w:highlight w:val="none"/>
                      <w:lang w:val="en-US" w:eastAsia="zh-CN"/>
                    </w:rPr>
                    <w:t>粉末）</w:t>
                  </w:r>
                </w:p>
              </w:tc>
              <w:tc>
                <w:tcPr>
                  <w:tcW w:w="543" w:type="pct"/>
                  <w:noWrap w:val="0"/>
                  <w:vAlign w:val="center"/>
                </w:tcPr>
                <w:p w14:paraId="1A0D699E">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1kg</w:t>
                  </w:r>
                </w:p>
              </w:tc>
              <w:tc>
                <w:tcPr>
                  <w:tcW w:w="827" w:type="pct"/>
                  <w:noWrap w:val="0"/>
                  <w:vAlign w:val="center"/>
                </w:tcPr>
                <w:p w14:paraId="13C331BE">
                  <w:pPr>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rPr>
                    <w:t>500g</w:t>
                  </w:r>
                  <w:r>
                    <w:rPr>
                      <w:rFonts w:hint="eastAsia" w:cs="Times New Roman"/>
                      <w:bCs/>
                      <w:color w:val="auto"/>
                      <w:sz w:val="21"/>
                      <w:szCs w:val="21"/>
                      <w:highlight w:val="none"/>
                      <w:lang w:val="en-US" w:eastAsia="zh-CN"/>
                    </w:rPr>
                    <w:t>/瓶</w:t>
                  </w:r>
                </w:p>
              </w:tc>
              <w:tc>
                <w:tcPr>
                  <w:tcW w:w="583" w:type="pct"/>
                  <w:noWrap w:val="0"/>
                  <w:vAlign w:val="center"/>
                </w:tcPr>
                <w:p w14:paraId="0C09EC31">
                  <w:pPr>
                    <w:widowControl/>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检测</w:t>
                  </w:r>
                </w:p>
              </w:tc>
            </w:tr>
            <w:tr w14:paraId="2602A7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80" w:type="pct"/>
                  <w:noWrap w:val="0"/>
                  <w:vAlign w:val="center"/>
                </w:tcPr>
                <w:p w14:paraId="0CA74CE2">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31</w:t>
                  </w:r>
                </w:p>
              </w:tc>
              <w:tc>
                <w:tcPr>
                  <w:tcW w:w="994" w:type="pct"/>
                  <w:noWrap w:val="0"/>
                  <w:vAlign w:val="center"/>
                </w:tcPr>
                <w:p w14:paraId="28D7423A">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氯化钡</w:t>
                  </w:r>
                </w:p>
              </w:tc>
              <w:tc>
                <w:tcPr>
                  <w:tcW w:w="492" w:type="pct"/>
                  <w:noWrap w:val="0"/>
                  <w:vAlign w:val="center"/>
                </w:tcPr>
                <w:p w14:paraId="44ADD9EC">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2.5kg</w:t>
                  </w:r>
                </w:p>
              </w:tc>
              <w:tc>
                <w:tcPr>
                  <w:tcW w:w="1177" w:type="pct"/>
                  <w:noWrap w:val="0"/>
                  <w:vAlign w:val="center"/>
                </w:tcPr>
                <w:p w14:paraId="05840B15">
                  <w:pPr>
                    <w:widowControl/>
                    <w:adjustRightInd w:val="0"/>
                    <w:snapToGrid w:val="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固态（晶体</w:t>
                  </w:r>
                  <w:r>
                    <w:rPr>
                      <w:rFonts w:hint="default" w:ascii="Times New Roman" w:hAnsi="Times New Roman" w:eastAsia="宋体" w:cs="Times New Roman"/>
                      <w:color w:val="auto"/>
                      <w:kern w:val="0"/>
                      <w:sz w:val="21"/>
                      <w:szCs w:val="21"/>
                      <w:highlight w:val="none"/>
                      <w:lang w:val="en-US" w:eastAsia="zh-CN"/>
                    </w:rPr>
                    <w:t>粉末）</w:t>
                  </w:r>
                </w:p>
              </w:tc>
              <w:tc>
                <w:tcPr>
                  <w:tcW w:w="543" w:type="pct"/>
                  <w:noWrap w:val="0"/>
                  <w:vAlign w:val="center"/>
                </w:tcPr>
                <w:p w14:paraId="222A9261">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2.5kg</w:t>
                  </w:r>
                </w:p>
              </w:tc>
              <w:tc>
                <w:tcPr>
                  <w:tcW w:w="827" w:type="pct"/>
                  <w:noWrap w:val="0"/>
                  <w:vAlign w:val="center"/>
                </w:tcPr>
                <w:p w14:paraId="16F20936">
                  <w:pPr>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rPr>
                    <w:t>500g</w:t>
                  </w:r>
                  <w:r>
                    <w:rPr>
                      <w:rFonts w:hint="eastAsia" w:cs="Times New Roman"/>
                      <w:bCs/>
                      <w:color w:val="auto"/>
                      <w:sz w:val="21"/>
                      <w:szCs w:val="21"/>
                      <w:highlight w:val="none"/>
                      <w:lang w:val="en-US" w:eastAsia="zh-CN"/>
                    </w:rPr>
                    <w:t>/瓶</w:t>
                  </w:r>
                </w:p>
              </w:tc>
              <w:tc>
                <w:tcPr>
                  <w:tcW w:w="583" w:type="pct"/>
                  <w:noWrap w:val="0"/>
                  <w:vAlign w:val="center"/>
                </w:tcPr>
                <w:p w14:paraId="7E5D36FD">
                  <w:pPr>
                    <w:widowControl/>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检测</w:t>
                  </w:r>
                </w:p>
              </w:tc>
            </w:tr>
            <w:tr w14:paraId="1D152E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80" w:type="pct"/>
                  <w:noWrap w:val="0"/>
                  <w:vAlign w:val="center"/>
                </w:tcPr>
                <w:p w14:paraId="06C7DF0F">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32</w:t>
                  </w:r>
                </w:p>
              </w:tc>
              <w:tc>
                <w:tcPr>
                  <w:tcW w:w="994" w:type="pct"/>
                  <w:noWrap w:val="0"/>
                  <w:vAlign w:val="center"/>
                </w:tcPr>
                <w:p w14:paraId="3F3FF6B6">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高锰酸钾</w:t>
                  </w:r>
                </w:p>
              </w:tc>
              <w:tc>
                <w:tcPr>
                  <w:tcW w:w="492" w:type="pct"/>
                  <w:noWrap w:val="0"/>
                  <w:vAlign w:val="center"/>
                </w:tcPr>
                <w:p w14:paraId="67504302">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0.5kg</w:t>
                  </w:r>
                </w:p>
              </w:tc>
              <w:tc>
                <w:tcPr>
                  <w:tcW w:w="1177" w:type="pct"/>
                  <w:noWrap w:val="0"/>
                  <w:vAlign w:val="center"/>
                </w:tcPr>
                <w:p w14:paraId="0091FEB7">
                  <w:pPr>
                    <w:widowControl/>
                    <w:adjustRightInd w:val="0"/>
                    <w:snapToGrid w:val="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固态（晶体</w:t>
                  </w:r>
                  <w:r>
                    <w:rPr>
                      <w:rFonts w:hint="default" w:ascii="Times New Roman" w:hAnsi="Times New Roman" w:eastAsia="宋体" w:cs="Times New Roman"/>
                      <w:color w:val="auto"/>
                      <w:kern w:val="0"/>
                      <w:sz w:val="21"/>
                      <w:szCs w:val="21"/>
                      <w:highlight w:val="none"/>
                      <w:lang w:val="en-US" w:eastAsia="zh-CN"/>
                    </w:rPr>
                    <w:t>块末）</w:t>
                  </w:r>
                </w:p>
              </w:tc>
              <w:tc>
                <w:tcPr>
                  <w:tcW w:w="543" w:type="pct"/>
                  <w:noWrap w:val="0"/>
                  <w:vAlign w:val="center"/>
                </w:tcPr>
                <w:p w14:paraId="4BD3BCFB">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0.5kg</w:t>
                  </w:r>
                </w:p>
              </w:tc>
              <w:tc>
                <w:tcPr>
                  <w:tcW w:w="827" w:type="pct"/>
                  <w:noWrap w:val="0"/>
                  <w:vAlign w:val="center"/>
                </w:tcPr>
                <w:p w14:paraId="17136D40">
                  <w:pPr>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rPr>
                    <w:t>500g</w:t>
                  </w:r>
                  <w:r>
                    <w:rPr>
                      <w:rFonts w:hint="eastAsia" w:cs="Times New Roman"/>
                      <w:bCs/>
                      <w:color w:val="auto"/>
                      <w:sz w:val="21"/>
                      <w:szCs w:val="21"/>
                      <w:highlight w:val="none"/>
                      <w:lang w:val="en-US" w:eastAsia="zh-CN"/>
                    </w:rPr>
                    <w:t>/瓶</w:t>
                  </w:r>
                </w:p>
              </w:tc>
              <w:tc>
                <w:tcPr>
                  <w:tcW w:w="583" w:type="pct"/>
                  <w:noWrap w:val="0"/>
                  <w:vAlign w:val="center"/>
                </w:tcPr>
                <w:p w14:paraId="5E25C3D4">
                  <w:pPr>
                    <w:widowControl/>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检测</w:t>
                  </w:r>
                </w:p>
              </w:tc>
            </w:tr>
            <w:tr w14:paraId="7BF5F3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80" w:type="pct"/>
                  <w:noWrap w:val="0"/>
                  <w:vAlign w:val="center"/>
                </w:tcPr>
                <w:p w14:paraId="267ADA19">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33</w:t>
                  </w:r>
                </w:p>
              </w:tc>
              <w:tc>
                <w:tcPr>
                  <w:tcW w:w="994" w:type="pct"/>
                  <w:noWrap w:val="0"/>
                  <w:vAlign w:val="center"/>
                </w:tcPr>
                <w:p w14:paraId="3E4D372B">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二氧化硅</w:t>
                  </w:r>
                </w:p>
              </w:tc>
              <w:tc>
                <w:tcPr>
                  <w:tcW w:w="492" w:type="pct"/>
                  <w:noWrap w:val="0"/>
                  <w:vAlign w:val="center"/>
                </w:tcPr>
                <w:p w14:paraId="32E7B9CE">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0.5kg</w:t>
                  </w:r>
                </w:p>
              </w:tc>
              <w:tc>
                <w:tcPr>
                  <w:tcW w:w="1177" w:type="pct"/>
                  <w:noWrap w:val="0"/>
                  <w:vAlign w:val="center"/>
                </w:tcPr>
                <w:p w14:paraId="2BF17514">
                  <w:pPr>
                    <w:widowControl/>
                    <w:adjustRightInd w:val="0"/>
                    <w:snapToGrid w:val="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固态（晶体</w:t>
                  </w:r>
                  <w:r>
                    <w:rPr>
                      <w:rFonts w:hint="default" w:ascii="Times New Roman" w:hAnsi="Times New Roman" w:eastAsia="宋体" w:cs="Times New Roman"/>
                      <w:color w:val="auto"/>
                      <w:kern w:val="0"/>
                      <w:sz w:val="21"/>
                      <w:szCs w:val="21"/>
                      <w:highlight w:val="none"/>
                      <w:lang w:val="en-US" w:eastAsia="zh-CN"/>
                    </w:rPr>
                    <w:t>块末）</w:t>
                  </w:r>
                </w:p>
              </w:tc>
              <w:tc>
                <w:tcPr>
                  <w:tcW w:w="543" w:type="pct"/>
                  <w:noWrap w:val="0"/>
                  <w:vAlign w:val="center"/>
                </w:tcPr>
                <w:p w14:paraId="055FC629">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0.5kg</w:t>
                  </w:r>
                </w:p>
              </w:tc>
              <w:tc>
                <w:tcPr>
                  <w:tcW w:w="827" w:type="pct"/>
                  <w:noWrap w:val="0"/>
                  <w:vAlign w:val="center"/>
                </w:tcPr>
                <w:p w14:paraId="65139F2B">
                  <w:pPr>
                    <w:tabs>
                      <w:tab w:val="left" w:pos="1088"/>
                    </w:tabs>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rPr>
                    <w:t>500g</w:t>
                  </w:r>
                  <w:r>
                    <w:rPr>
                      <w:rFonts w:hint="eastAsia" w:cs="Times New Roman"/>
                      <w:bCs/>
                      <w:color w:val="auto"/>
                      <w:sz w:val="21"/>
                      <w:szCs w:val="21"/>
                      <w:highlight w:val="none"/>
                      <w:lang w:val="en-US" w:eastAsia="zh-CN"/>
                    </w:rPr>
                    <w:t>/瓶</w:t>
                  </w:r>
                </w:p>
              </w:tc>
              <w:tc>
                <w:tcPr>
                  <w:tcW w:w="583" w:type="pct"/>
                  <w:noWrap w:val="0"/>
                  <w:vAlign w:val="center"/>
                </w:tcPr>
                <w:p w14:paraId="5C1EFEB3">
                  <w:pPr>
                    <w:widowControl/>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检测</w:t>
                  </w:r>
                </w:p>
              </w:tc>
            </w:tr>
            <w:tr w14:paraId="4C6E31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80" w:type="pct"/>
                  <w:noWrap w:val="0"/>
                  <w:vAlign w:val="center"/>
                </w:tcPr>
                <w:p w14:paraId="3D8DC4C4">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34</w:t>
                  </w:r>
                </w:p>
              </w:tc>
              <w:tc>
                <w:tcPr>
                  <w:tcW w:w="994" w:type="pct"/>
                  <w:noWrap w:val="0"/>
                  <w:vAlign w:val="center"/>
                </w:tcPr>
                <w:p w14:paraId="38D2F128">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氯化钾</w:t>
                  </w:r>
                </w:p>
              </w:tc>
              <w:tc>
                <w:tcPr>
                  <w:tcW w:w="492" w:type="pct"/>
                  <w:noWrap w:val="0"/>
                  <w:vAlign w:val="center"/>
                </w:tcPr>
                <w:p w14:paraId="0A1A6C8A">
                  <w:pPr>
                    <w:jc w:val="center"/>
                    <w:rPr>
                      <w:rFonts w:hint="eastAsia"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1</w:t>
                  </w:r>
                  <w:r>
                    <w:rPr>
                      <w:rFonts w:hint="eastAsia" w:cs="Times New Roman"/>
                      <w:color w:val="auto"/>
                      <w:sz w:val="21"/>
                      <w:szCs w:val="21"/>
                      <w:highlight w:val="none"/>
                      <w:lang w:val="en-US" w:eastAsia="zh-CN"/>
                    </w:rPr>
                    <w:t>kg</w:t>
                  </w:r>
                </w:p>
              </w:tc>
              <w:tc>
                <w:tcPr>
                  <w:tcW w:w="1177" w:type="pct"/>
                  <w:noWrap w:val="0"/>
                  <w:vAlign w:val="center"/>
                </w:tcPr>
                <w:p w14:paraId="0B3F6923">
                  <w:pPr>
                    <w:widowControl/>
                    <w:adjustRightInd w:val="0"/>
                    <w:snapToGrid w:val="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液态</w:t>
                  </w:r>
                </w:p>
              </w:tc>
              <w:tc>
                <w:tcPr>
                  <w:tcW w:w="543" w:type="pct"/>
                  <w:noWrap w:val="0"/>
                  <w:vAlign w:val="center"/>
                </w:tcPr>
                <w:p w14:paraId="3B3BD175">
                  <w:pPr>
                    <w:jc w:val="center"/>
                    <w:rPr>
                      <w:rFonts w:hint="eastAsia"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1</w:t>
                  </w:r>
                  <w:r>
                    <w:rPr>
                      <w:rFonts w:hint="eastAsia" w:cs="Times New Roman"/>
                      <w:color w:val="auto"/>
                      <w:sz w:val="21"/>
                      <w:szCs w:val="21"/>
                      <w:highlight w:val="none"/>
                      <w:lang w:val="en-US" w:eastAsia="zh-CN"/>
                    </w:rPr>
                    <w:t>kg</w:t>
                  </w:r>
                </w:p>
              </w:tc>
              <w:tc>
                <w:tcPr>
                  <w:tcW w:w="827" w:type="pct"/>
                  <w:noWrap w:val="0"/>
                  <w:vAlign w:val="center"/>
                </w:tcPr>
                <w:p w14:paraId="085275B3">
                  <w:pPr>
                    <w:tabs>
                      <w:tab w:val="left" w:pos="1088"/>
                    </w:tabs>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rPr>
                    <w:t>500ml</w:t>
                  </w:r>
                  <w:r>
                    <w:rPr>
                      <w:rFonts w:hint="eastAsia" w:cs="Times New Roman"/>
                      <w:bCs/>
                      <w:color w:val="auto"/>
                      <w:sz w:val="21"/>
                      <w:szCs w:val="21"/>
                      <w:highlight w:val="none"/>
                      <w:lang w:val="en-US" w:eastAsia="zh-CN"/>
                    </w:rPr>
                    <w:t>/瓶</w:t>
                  </w:r>
                </w:p>
              </w:tc>
              <w:tc>
                <w:tcPr>
                  <w:tcW w:w="583" w:type="pct"/>
                  <w:noWrap w:val="0"/>
                  <w:vAlign w:val="center"/>
                </w:tcPr>
                <w:p w14:paraId="292C54A7">
                  <w:pPr>
                    <w:widowControl/>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检测</w:t>
                  </w:r>
                </w:p>
              </w:tc>
            </w:tr>
            <w:tr w14:paraId="507886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80" w:type="pct"/>
                  <w:noWrap w:val="0"/>
                  <w:vAlign w:val="center"/>
                </w:tcPr>
                <w:p w14:paraId="1B6C5B9E">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35</w:t>
                  </w:r>
                </w:p>
              </w:tc>
              <w:tc>
                <w:tcPr>
                  <w:tcW w:w="994" w:type="pct"/>
                  <w:noWrap w:val="0"/>
                  <w:vAlign w:val="center"/>
                </w:tcPr>
                <w:p w14:paraId="2EE85544">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硫酸铁</w:t>
                  </w:r>
                </w:p>
              </w:tc>
              <w:tc>
                <w:tcPr>
                  <w:tcW w:w="492" w:type="pct"/>
                  <w:noWrap w:val="0"/>
                  <w:vAlign w:val="center"/>
                </w:tcPr>
                <w:p w14:paraId="4B72DF1E">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0.5kg</w:t>
                  </w:r>
                </w:p>
              </w:tc>
              <w:tc>
                <w:tcPr>
                  <w:tcW w:w="1177" w:type="pct"/>
                  <w:noWrap w:val="0"/>
                  <w:vAlign w:val="center"/>
                </w:tcPr>
                <w:p w14:paraId="17E8345D">
                  <w:pPr>
                    <w:widowControl/>
                    <w:adjustRightInd w:val="0"/>
                    <w:snapToGrid w:val="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固态（晶体</w:t>
                  </w:r>
                  <w:r>
                    <w:rPr>
                      <w:rFonts w:hint="default" w:ascii="Times New Roman" w:hAnsi="Times New Roman" w:eastAsia="宋体" w:cs="Times New Roman"/>
                      <w:color w:val="auto"/>
                      <w:kern w:val="0"/>
                      <w:sz w:val="21"/>
                      <w:szCs w:val="21"/>
                      <w:highlight w:val="none"/>
                      <w:lang w:val="en-US" w:eastAsia="zh-CN"/>
                    </w:rPr>
                    <w:t>粉末）</w:t>
                  </w:r>
                </w:p>
              </w:tc>
              <w:tc>
                <w:tcPr>
                  <w:tcW w:w="543" w:type="pct"/>
                  <w:noWrap w:val="0"/>
                  <w:vAlign w:val="center"/>
                </w:tcPr>
                <w:p w14:paraId="5CEB34F5">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0.5kg</w:t>
                  </w:r>
                </w:p>
              </w:tc>
              <w:tc>
                <w:tcPr>
                  <w:tcW w:w="827" w:type="pct"/>
                  <w:noWrap w:val="0"/>
                  <w:vAlign w:val="center"/>
                </w:tcPr>
                <w:p w14:paraId="3C24BCE7">
                  <w:pPr>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rPr>
                    <w:t>500g</w:t>
                  </w:r>
                  <w:r>
                    <w:rPr>
                      <w:rFonts w:hint="eastAsia" w:cs="Times New Roman"/>
                      <w:bCs/>
                      <w:color w:val="auto"/>
                      <w:sz w:val="21"/>
                      <w:szCs w:val="21"/>
                      <w:highlight w:val="none"/>
                      <w:lang w:val="en-US" w:eastAsia="zh-CN"/>
                    </w:rPr>
                    <w:t>/瓶</w:t>
                  </w:r>
                </w:p>
              </w:tc>
              <w:tc>
                <w:tcPr>
                  <w:tcW w:w="583" w:type="pct"/>
                  <w:noWrap w:val="0"/>
                  <w:vAlign w:val="center"/>
                </w:tcPr>
                <w:p w14:paraId="725353DB">
                  <w:pPr>
                    <w:widowControl/>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检测</w:t>
                  </w:r>
                </w:p>
              </w:tc>
            </w:tr>
            <w:tr w14:paraId="0BB4A4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80" w:type="pct"/>
                  <w:noWrap w:val="0"/>
                  <w:vAlign w:val="center"/>
                </w:tcPr>
                <w:p w14:paraId="5804E2AA">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36</w:t>
                  </w:r>
                </w:p>
              </w:tc>
              <w:tc>
                <w:tcPr>
                  <w:tcW w:w="994" w:type="pct"/>
                  <w:noWrap w:val="0"/>
                  <w:vAlign w:val="center"/>
                </w:tcPr>
                <w:p w14:paraId="4208632E">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盐酸</w:t>
                  </w:r>
                </w:p>
              </w:tc>
              <w:tc>
                <w:tcPr>
                  <w:tcW w:w="492" w:type="pct"/>
                  <w:noWrap w:val="0"/>
                  <w:vAlign w:val="center"/>
                </w:tcPr>
                <w:p w14:paraId="777729F0">
                  <w:pPr>
                    <w:jc w:val="center"/>
                    <w:rPr>
                      <w:rFonts w:hint="eastAsia"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11</w:t>
                  </w:r>
                  <w:r>
                    <w:rPr>
                      <w:rFonts w:hint="eastAsia" w:cs="Times New Roman"/>
                      <w:color w:val="auto"/>
                      <w:sz w:val="21"/>
                      <w:szCs w:val="21"/>
                      <w:highlight w:val="none"/>
                      <w:lang w:val="en-US" w:eastAsia="zh-CN"/>
                    </w:rPr>
                    <w:t>kg</w:t>
                  </w:r>
                </w:p>
              </w:tc>
              <w:tc>
                <w:tcPr>
                  <w:tcW w:w="1177" w:type="pct"/>
                  <w:noWrap w:val="0"/>
                  <w:vAlign w:val="center"/>
                </w:tcPr>
                <w:p w14:paraId="031CDED2">
                  <w:pPr>
                    <w:widowControl/>
                    <w:adjustRightInd w:val="0"/>
                    <w:snapToGrid w:val="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液态</w:t>
                  </w:r>
                </w:p>
              </w:tc>
              <w:tc>
                <w:tcPr>
                  <w:tcW w:w="543" w:type="pct"/>
                  <w:noWrap w:val="0"/>
                  <w:vAlign w:val="center"/>
                </w:tcPr>
                <w:p w14:paraId="557C3010">
                  <w:pPr>
                    <w:jc w:val="center"/>
                    <w:rPr>
                      <w:rFonts w:hint="eastAsia" w:ascii="Times New Roman" w:hAnsi="Times New Roman" w:eastAsia="宋体" w:cs="Times New Roman"/>
                      <w:color w:val="auto"/>
                      <w:kern w:val="0"/>
                      <w:sz w:val="21"/>
                      <w:szCs w:val="21"/>
                      <w:highlight w:val="none"/>
                      <w:lang w:val="en-US" w:eastAsia="zh-CN" w:bidi="ar"/>
                    </w:rPr>
                  </w:pPr>
                  <w:r>
                    <w:rPr>
                      <w:rFonts w:hint="eastAsia" w:cs="Times New Roman"/>
                      <w:color w:val="auto"/>
                      <w:sz w:val="21"/>
                      <w:szCs w:val="21"/>
                      <w:highlight w:val="none"/>
                      <w:lang w:val="en-US" w:eastAsia="zh-CN"/>
                    </w:rPr>
                    <w:t>4.18kg</w:t>
                  </w:r>
                </w:p>
              </w:tc>
              <w:tc>
                <w:tcPr>
                  <w:tcW w:w="827" w:type="pct"/>
                  <w:noWrap w:val="0"/>
                  <w:vAlign w:val="center"/>
                </w:tcPr>
                <w:p w14:paraId="692D24B4">
                  <w:pPr>
                    <w:tabs>
                      <w:tab w:val="left" w:pos="1088"/>
                    </w:tabs>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rPr>
                    <w:t>500ml</w:t>
                  </w:r>
                  <w:r>
                    <w:rPr>
                      <w:rFonts w:hint="eastAsia" w:cs="Times New Roman"/>
                      <w:bCs/>
                      <w:color w:val="auto"/>
                      <w:sz w:val="21"/>
                      <w:szCs w:val="21"/>
                      <w:highlight w:val="none"/>
                      <w:lang w:val="en-US" w:eastAsia="zh-CN"/>
                    </w:rPr>
                    <w:t>/瓶</w:t>
                  </w:r>
                </w:p>
              </w:tc>
              <w:tc>
                <w:tcPr>
                  <w:tcW w:w="583" w:type="pct"/>
                  <w:noWrap w:val="0"/>
                  <w:vAlign w:val="center"/>
                </w:tcPr>
                <w:p w14:paraId="29AFD40E">
                  <w:pPr>
                    <w:widowControl/>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检测</w:t>
                  </w:r>
                </w:p>
              </w:tc>
            </w:tr>
            <w:tr w14:paraId="06BDE7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80" w:type="pct"/>
                  <w:noWrap w:val="0"/>
                  <w:vAlign w:val="center"/>
                </w:tcPr>
                <w:p w14:paraId="0017B611">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37</w:t>
                  </w:r>
                </w:p>
              </w:tc>
              <w:tc>
                <w:tcPr>
                  <w:tcW w:w="994" w:type="pct"/>
                  <w:noWrap w:val="0"/>
                  <w:vAlign w:val="center"/>
                </w:tcPr>
                <w:p w14:paraId="2D746A0C">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磷酸</w:t>
                  </w:r>
                </w:p>
              </w:tc>
              <w:tc>
                <w:tcPr>
                  <w:tcW w:w="492" w:type="pct"/>
                  <w:noWrap w:val="0"/>
                  <w:vAlign w:val="center"/>
                </w:tcPr>
                <w:p w14:paraId="6D982771">
                  <w:pPr>
                    <w:jc w:val="center"/>
                    <w:rPr>
                      <w:rFonts w:hint="eastAsia"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1.5</w:t>
                  </w:r>
                  <w:r>
                    <w:rPr>
                      <w:rFonts w:hint="eastAsia" w:cs="Times New Roman"/>
                      <w:color w:val="auto"/>
                      <w:sz w:val="21"/>
                      <w:szCs w:val="21"/>
                      <w:highlight w:val="none"/>
                      <w:lang w:val="en-US" w:eastAsia="zh-CN"/>
                    </w:rPr>
                    <w:t>kg</w:t>
                  </w:r>
                </w:p>
              </w:tc>
              <w:tc>
                <w:tcPr>
                  <w:tcW w:w="1177" w:type="pct"/>
                  <w:noWrap w:val="0"/>
                  <w:vAlign w:val="center"/>
                </w:tcPr>
                <w:p w14:paraId="0286AC0B">
                  <w:pPr>
                    <w:widowControl/>
                    <w:adjustRightInd w:val="0"/>
                    <w:snapToGrid w:val="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液态</w:t>
                  </w:r>
                </w:p>
              </w:tc>
              <w:tc>
                <w:tcPr>
                  <w:tcW w:w="543" w:type="pct"/>
                  <w:noWrap w:val="0"/>
                  <w:vAlign w:val="center"/>
                </w:tcPr>
                <w:p w14:paraId="619A4BFE">
                  <w:pPr>
                    <w:jc w:val="center"/>
                    <w:rPr>
                      <w:rFonts w:hint="eastAsia"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1.</w:t>
                  </w:r>
                  <w:r>
                    <w:rPr>
                      <w:rFonts w:hint="eastAsia" w:cs="Times New Roman"/>
                      <w:color w:val="auto"/>
                      <w:sz w:val="21"/>
                      <w:szCs w:val="21"/>
                      <w:highlight w:val="none"/>
                      <w:lang w:val="en-US" w:eastAsia="zh-CN"/>
                    </w:rPr>
                    <w:t>275kg</w:t>
                  </w:r>
                </w:p>
              </w:tc>
              <w:tc>
                <w:tcPr>
                  <w:tcW w:w="827" w:type="pct"/>
                  <w:noWrap w:val="0"/>
                  <w:vAlign w:val="center"/>
                </w:tcPr>
                <w:p w14:paraId="7CECE520">
                  <w:pPr>
                    <w:tabs>
                      <w:tab w:val="left" w:pos="1088"/>
                    </w:tabs>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rPr>
                    <w:t>500ml</w:t>
                  </w:r>
                  <w:r>
                    <w:rPr>
                      <w:rFonts w:hint="eastAsia" w:cs="Times New Roman"/>
                      <w:bCs/>
                      <w:color w:val="auto"/>
                      <w:sz w:val="21"/>
                      <w:szCs w:val="21"/>
                      <w:highlight w:val="none"/>
                      <w:lang w:val="en-US" w:eastAsia="zh-CN"/>
                    </w:rPr>
                    <w:t>/瓶</w:t>
                  </w:r>
                </w:p>
              </w:tc>
              <w:tc>
                <w:tcPr>
                  <w:tcW w:w="583" w:type="pct"/>
                  <w:noWrap w:val="0"/>
                  <w:vAlign w:val="center"/>
                </w:tcPr>
                <w:p w14:paraId="57829E2C">
                  <w:pPr>
                    <w:widowControl/>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检测</w:t>
                  </w:r>
                </w:p>
              </w:tc>
            </w:tr>
            <w:tr w14:paraId="5700C7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80" w:type="pct"/>
                  <w:noWrap w:val="0"/>
                  <w:vAlign w:val="center"/>
                </w:tcPr>
                <w:p w14:paraId="4D362BCB">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38</w:t>
                  </w:r>
                </w:p>
              </w:tc>
              <w:tc>
                <w:tcPr>
                  <w:tcW w:w="994" w:type="pct"/>
                  <w:noWrap w:val="0"/>
                  <w:vAlign w:val="center"/>
                </w:tcPr>
                <w:p w14:paraId="42763214">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硫酸</w:t>
                  </w:r>
                </w:p>
              </w:tc>
              <w:tc>
                <w:tcPr>
                  <w:tcW w:w="492" w:type="pct"/>
                  <w:noWrap w:val="0"/>
                  <w:vAlign w:val="center"/>
                </w:tcPr>
                <w:p w14:paraId="75ED7766">
                  <w:pPr>
                    <w:jc w:val="center"/>
                    <w:rPr>
                      <w:rFonts w:hint="eastAsia"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23.5</w:t>
                  </w:r>
                  <w:r>
                    <w:rPr>
                      <w:rFonts w:hint="eastAsia" w:cs="Times New Roman"/>
                      <w:color w:val="auto"/>
                      <w:sz w:val="21"/>
                      <w:szCs w:val="21"/>
                      <w:highlight w:val="none"/>
                      <w:lang w:val="en-US" w:eastAsia="zh-CN"/>
                    </w:rPr>
                    <w:t>kg</w:t>
                  </w:r>
                </w:p>
              </w:tc>
              <w:tc>
                <w:tcPr>
                  <w:tcW w:w="1177" w:type="pct"/>
                  <w:noWrap w:val="0"/>
                  <w:vAlign w:val="center"/>
                </w:tcPr>
                <w:p w14:paraId="408FAED9">
                  <w:pPr>
                    <w:widowControl/>
                    <w:adjustRightInd w:val="0"/>
                    <w:snapToGrid w:val="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液态</w:t>
                  </w:r>
                </w:p>
              </w:tc>
              <w:tc>
                <w:tcPr>
                  <w:tcW w:w="543" w:type="pct"/>
                  <w:noWrap w:val="0"/>
                  <w:vAlign w:val="center"/>
                </w:tcPr>
                <w:p w14:paraId="7C39409F">
                  <w:pPr>
                    <w:jc w:val="center"/>
                    <w:rPr>
                      <w:rFonts w:hint="eastAsia"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23.</w:t>
                  </w:r>
                  <w:r>
                    <w:rPr>
                      <w:rFonts w:hint="eastAsia" w:cs="Times New Roman"/>
                      <w:color w:val="auto"/>
                      <w:sz w:val="21"/>
                      <w:szCs w:val="21"/>
                      <w:highlight w:val="none"/>
                      <w:lang w:val="en-US" w:eastAsia="zh-CN"/>
                    </w:rPr>
                    <w:t>03kg</w:t>
                  </w:r>
                </w:p>
              </w:tc>
              <w:tc>
                <w:tcPr>
                  <w:tcW w:w="827" w:type="pct"/>
                  <w:noWrap w:val="0"/>
                  <w:vAlign w:val="center"/>
                </w:tcPr>
                <w:p w14:paraId="6CC97259">
                  <w:pPr>
                    <w:tabs>
                      <w:tab w:val="left" w:pos="1088"/>
                    </w:tabs>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rPr>
                    <w:t>500ml</w:t>
                  </w:r>
                  <w:r>
                    <w:rPr>
                      <w:rFonts w:hint="eastAsia" w:cs="Times New Roman"/>
                      <w:bCs/>
                      <w:color w:val="auto"/>
                      <w:sz w:val="21"/>
                      <w:szCs w:val="21"/>
                      <w:highlight w:val="none"/>
                      <w:lang w:val="en-US" w:eastAsia="zh-CN"/>
                    </w:rPr>
                    <w:t>/瓶</w:t>
                  </w:r>
                </w:p>
              </w:tc>
              <w:tc>
                <w:tcPr>
                  <w:tcW w:w="583" w:type="pct"/>
                  <w:noWrap w:val="0"/>
                  <w:vAlign w:val="center"/>
                </w:tcPr>
                <w:p w14:paraId="75E82F34">
                  <w:pPr>
                    <w:widowControl/>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检测</w:t>
                  </w:r>
                </w:p>
              </w:tc>
            </w:tr>
            <w:tr w14:paraId="1FA370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80" w:type="pct"/>
                  <w:noWrap w:val="0"/>
                  <w:vAlign w:val="center"/>
                </w:tcPr>
                <w:p w14:paraId="714311ED">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39</w:t>
                  </w:r>
                </w:p>
              </w:tc>
              <w:tc>
                <w:tcPr>
                  <w:tcW w:w="994" w:type="pct"/>
                  <w:noWrap w:val="0"/>
                  <w:vAlign w:val="center"/>
                </w:tcPr>
                <w:p w14:paraId="7ED7BB2E">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双氧水</w:t>
                  </w:r>
                </w:p>
              </w:tc>
              <w:tc>
                <w:tcPr>
                  <w:tcW w:w="492" w:type="pct"/>
                  <w:noWrap w:val="0"/>
                  <w:vAlign w:val="center"/>
                </w:tcPr>
                <w:p w14:paraId="1CA7EB96">
                  <w:pPr>
                    <w:jc w:val="center"/>
                    <w:rPr>
                      <w:rFonts w:hint="eastAsia"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2</w:t>
                  </w:r>
                  <w:r>
                    <w:rPr>
                      <w:rFonts w:hint="eastAsia" w:cs="Times New Roman"/>
                      <w:color w:val="auto"/>
                      <w:sz w:val="21"/>
                      <w:szCs w:val="21"/>
                      <w:highlight w:val="none"/>
                      <w:lang w:val="en-US" w:eastAsia="zh-CN"/>
                    </w:rPr>
                    <w:t>kg</w:t>
                  </w:r>
                </w:p>
              </w:tc>
              <w:tc>
                <w:tcPr>
                  <w:tcW w:w="1177" w:type="pct"/>
                  <w:noWrap w:val="0"/>
                  <w:vAlign w:val="center"/>
                </w:tcPr>
                <w:p w14:paraId="02DB4925">
                  <w:pPr>
                    <w:widowControl/>
                    <w:adjustRightInd w:val="0"/>
                    <w:snapToGrid w:val="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液态</w:t>
                  </w:r>
                </w:p>
              </w:tc>
              <w:tc>
                <w:tcPr>
                  <w:tcW w:w="543" w:type="pct"/>
                  <w:noWrap w:val="0"/>
                  <w:vAlign w:val="center"/>
                </w:tcPr>
                <w:p w14:paraId="5B1081A0">
                  <w:pPr>
                    <w:jc w:val="center"/>
                    <w:rPr>
                      <w:rFonts w:hint="eastAsia"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2</w:t>
                  </w:r>
                  <w:r>
                    <w:rPr>
                      <w:rFonts w:hint="eastAsia" w:cs="Times New Roman"/>
                      <w:color w:val="auto"/>
                      <w:sz w:val="21"/>
                      <w:szCs w:val="21"/>
                      <w:highlight w:val="none"/>
                      <w:lang w:val="en-US" w:eastAsia="zh-CN"/>
                    </w:rPr>
                    <w:t>kg</w:t>
                  </w:r>
                </w:p>
              </w:tc>
              <w:tc>
                <w:tcPr>
                  <w:tcW w:w="827" w:type="pct"/>
                  <w:noWrap w:val="0"/>
                  <w:vAlign w:val="center"/>
                </w:tcPr>
                <w:p w14:paraId="0A142270">
                  <w:pPr>
                    <w:tabs>
                      <w:tab w:val="left" w:pos="1088"/>
                    </w:tabs>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rPr>
                    <w:t>500ml</w:t>
                  </w:r>
                  <w:r>
                    <w:rPr>
                      <w:rFonts w:hint="eastAsia" w:cs="Times New Roman"/>
                      <w:bCs/>
                      <w:color w:val="auto"/>
                      <w:sz w:val="21"/>
                      <w:szCs w:val="21"/>
                      <w:highlight w:val="none"/>
                      <w:lang w:val="en-US" w:eastAsia="zh-CN"/>
                    </w:rPr>
                    <w:t>/瓶</w:t>
                  </w:r>
                </w:p>
              </w:tc>
              <w:tc>
                <w:tcPr>
                  <w:tcW w:w="583" w:type="pct"/>
                  <w:noWrap w:val="0"/>
                  <w:vAlign w:val="center"/>
                </w:tcPr>
                <w:p w14:paraId="1DB09226">
                  <w:pPr>
                    <w:widowControl/>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检测</w:t>
                  </w:r>
                </w:p>
              </w:tc>
            </w:tr>
            <w:tr w14:paraId="6FA27D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80" w:type="pct"/>
                  <w:noWrap w:val="0"/>
                  <w:vAlign w:val="center"/>
                </w:tcPr>
                <w:p w14:paraId="72BD16D7">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40</w:t>
                  </w:r>
                </w:p>
              </w:tc>
              <w:tc>
                <w:tcPr>
                  <w:tcW w:w="994" w:type="pct"/>
                  <w:noWrap w:val="0"/>
                  <w:vAlign w:val="center"/>
                </w:tcPr>
                <w:p w14:paraId="0213812A">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碳酸钠</w:t>
                  </w:r>
                </w:p>
              </w:tc>
              <w:tc>
                <w:tcPr>
                  <w:tcW w:w="492" w:type="pct"/>
                  <w:noWrap w:val="0"/>
                  <w:vAlign w:val="center"/>
                </w:tcPr>
                <w:p w14:paraId="582BC8A6">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0.25kg</w:t>
                  </w:r>
                </w:p>
              </w:tc>
              <w:tc>
                <w:tcPr>
                  <w:tcW w:w="1177" w:type="pct"/>
                  <w:noWrap w:val="0"/>
                  <w:vAlign w:val="center"/>
                </w:tcPr>
                <w:p w14:paraId="1A473B91">
                  <w:pPr>
                    <w:widowControl/>
                    <w:adjustRightInd w:val="0"/>
                    <w:snapToGrid w:val="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液态</w:t>
                  </w:r>
                </w:p>
              </w:tc>
              <w:tc>
                <w:tcPr>
                  <w:tcW w:w="543" w:type="pct"/>
                  <w:noWrap w:val="0"/>
                  <w:vAlign w:val="center"/>
                </w:tcPr>
                <w:p w14:paraId="60F8D548">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0.25kg</w:t>
                  </w:r>
                </w:p>
              </w:tc>
              <w:tc>
                <w:tcPr>
                  <w:tcW w:w="827" w:type="pct"/>
                  <w:noWrap w:val="0"/>
                  <w:vAlign w:val="center"/>
                </w:tcPr>
                <w:p w14:paraId="1A30E30A">
                  <w:pPr>
                    <w:tabs>
                      <w:tab w:val="left" w:pos="1088"/>
                    </w:tabs>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rPr>
                    <w:t>250g</w:t>
                  </w:r>
                  <w:r>
                    <w:rPr>
                      <w:rFonts w:hint="eastAsia" w:cs="Times New Roman"/>
                      <w:bCs/>
                      <w:color w:val="auto"/>
                      <w:sz w:val="21"/>
                      <w:szCs w:val="21"/>
                      <w:highlight w:val="none"/>
                      <w:lang w:val="en-US" w:eastAsia="zh-CN"/>
                    </w:rPr>
                    <w:t>/瓶</w:t>
                  </w:r>
                </w:p>
              </w:tc>
              <w:tc>
                <w:tcPr>
                  <w:tcW w:w="583" w:type="pct"/>
                  <w:noWrap w:val="0"/>
                  <w:vAlign w:val="center"/>
                </w:tcPr>
                <w:p w14:paraId="3C2EDB7F">
                  <w:pPr>
                    <w:widowControl/>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检测</w:t>
                  </w:r>
                </w:p>
              </w:tc>
            </w:tr>
            <w:tr w14:paraId="760188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80" w:type="pct"/>
                  <w:noWrap w:val="0"/>
                  <w:vAlign w:val="center"/>
                </w:tcPr>
                <w:p w14:paraId="4ED09B6B">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41</w:t>
                  </w:r>
                </w:p>
              </w:tc>
              <w:tc>
                <w:tcPr>
                  <w:tcW w:w="994" w:type="pct"/>
                  <w:noWrap w:val="0"/>
                  <w:vAlign w:val="center"/>
                </w:tcPr>
                <w:p w14:paraId="7928FAEE">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氨水</w:t>
                  </w:r>
                </w:p>
              </w:tc>
              <w:tc>
                <w:tcPr>
                  <w:tcW w:w="492" w:type="pct"/>
                  <w:noWrap w:val="0"/>
                  <w:vAlign w:val="center"/>
                </w:tcPr>
                <w:p w14:paraId="28A17692">
                  <w:pPr>
                    <w:jc w:val="center"/>
                    <w:rPr>
                      <w:rFonts w:hint="eastAsia"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4.5</w:t>
                  </w:r>
                  <w:r>
                    <w:rPr>
                      <w:rFonts w:hint="eastAsia" w:cs="Times New Roman"/>
                      <w:color w:val="auto"/>
                      <w:sz w:val="21"/>
                      <w:szCs w:val="21"/>
                      <w:highlight w:val="none"/>
                      <w:lang w:val="en-US" w:eastAsia="zh-CN"/>
                    </w:rPr>
                    <w:t>kg</w:t>
                  </w:r>
                </w:p>
              </w:tc>
              <w:tc>
                <w:tcPr>
                  <w:tcW w:w="1177" w:type="pct"/>
                  <w:noWrap w:val="0"/>
                  <w:vAlign w:val="center"/>
                </w:tcPr>
                <w:p w14:paraId="4436405A">
                  <w:pPr>
                    <w:widowControl/>
                    <w:adjustRightInd w:val="0"/>
                    <w:snapToGrid w:val="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液态</w:t>
                  </w:r>
                </w:p>
              </w:tc>
              <w:tc>
                <w:tcPr>
                  <w:tcW w:w="543" w:type="pct"/>
                  <w:noWrap w:val="0"/>
                  <w:vAlign w:val="center"/>
                </w:tcPr>
                <w:p w14:paraId="6C704C25">
                  <w:pPr>
                    <w:jc w:val="center"/>
                    <w:rPr>
                      <w:rFonts w:hint="eastAsia" w:ascii="Times New Roman" w:hAnsi="Times New Roman" w:eastAsia="宋体" w:cs="Times New Roman"/>
                      <w:color w:val="auto"/>
                      <w:kern w:val="0"/>
                      <w:sz w:val="21"/>
                      <w:szCs w:val="21"/>
                      <w:highlight w:val="none"/>
                      <w:lang w:val="en-US" w:eastAsia="zh-CN" w:bidi="ar"/>
                    </w:rPr>
                  </w:pPr>
                  <w:r>
                    <w:rPr>
                      <w:rFonts w:hint="eastAsia" w:cs="Times New Roman"/>
                      <w:color w:val="auto"/>
                      <w:sz w:val="21"/>
                      <w:szCs w:val="21"/>
                      <w:highlight w:val="none"/>
                      <w:lang w:val="en-US" w:eastAsia="zh-CN"/>
                    </w:rPr>
                    <w:t>1.26kg</w:t>
                  </w:r>
                </w:p>
              </w:tc>
              <w:tc>
                <w:tcPr>
                  <w:tcW w:w="827" w:type="pct"/>
                  <w:noWrap w:val="0"/>
                  <w:vAlign w:val="center"/>
                </w:tcPr>
                <w:p w14:paraId="74F2057C">
                  <w:pPr>
                    <w:tabs>
                      <w:tab w:val="left" w:pos="1088"/>
                    </w:tabs>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rPr>
                    <w:t>500ml</w:t>
                  </w:r>
                  <w:r>
                    <w:rPr>
                      <w:rFonts w:hint="eastAsia" w:cs="Times New Roman"/>
                      <w:bCs/>
                      <w:color w:val="auto"/>
                      <w:sz w:val="21"/>
                      <w:szCs w:val="21"/>
                      <w:highlight w:val="none"/>
                      <w:lang w:val="en-US" w:eastAsia="zh-CN"/>
                    </w:rPr>
                    <w:t>/瓶</w:t>
                  </w:r>
                </w:p>
              </w:tc>
              <w:tc>
                <w:tcPr>
                  <w:tcW w:w="583" w:type="pct"/>
                  <w:noWrap w:val="0"/>
                  <w:vAlign w:val="center"/>
                </w:tcPr>
                <w:p w14:paraId="332BD288">
                  <w:pPr>
                    <w:widowControl/>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检测</w:t>
                  </w:r>
                </w:p>
              </w:tc>
            </w:tr>
            <w:tr w14:paraId="7998B8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80" w:type="pct"/>
                  <w:noWrap w:val="0"/>
                  <w:vAlign w:val="center"/>
                </w:tcPr>
                <w:p w14:paraId="0C1D08D4">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42</w:t>
                  </w:r>
                </w:p>
              </w:tc>
              <w:tc>
                <w:tcPr>
                  <w:tcW w:w="994" w:type="pct"/>
                  <w:noWrap w:val="0"/>
                  <w:vAlign w:val="center"/>
                </w:tcPr>
                <w:p w14:paraId="7524FCDC">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硝酸</w:t>
                  </w:r>
                </w:p>
              </w:tc>
              <w:tc>
                <w:tcPr>
                  <w:tcW w:w="492" w:type="pct"/>
                  <w:noWrap w:val="0"/>
                  <w:vAlign w:val="center"/>
                </w:tcPr>
                <w:p w14:paraId="3F4DE89E">
                  <w:pPr>
                    <w:jc w:val="center"/>
                    <w:rPr>
                      <w:rFonts w:hint="eastAsia"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2.0</w:t>
                  </w:r>
                  <w:r>
                    <w:rPr>
                      <w:rFonts w:hint="eastAsia" w:cs="Times New Roman"/>
                      <w:color w:val="auto"/>
                      <w:sz w:val="21"/>
                      <w:szCs w:val="21"/>
                      <w:highlight w:val="none"/>
                      <w:lang w:val="en-US" w:eastAsia="zh-CN"/>
                    </w:rPr>
                    <w:t>kg</w:t>
                  </w:r>
                </w:p>
              </w:tc>
              <w:tc>
                <w:tcPr>
                  <w:tcW w:w="1177" w:type="pct"/>
                  <w:noWrap w:val="0"/>
                  <w:vAlign w:val="center"/>
                </w:tcPr>
                <w:p w14:paraId="2E67B360">
                  <w:pPr>
                    <w:widowControl/>
                    <w:adjustRightInd w:val="0"/>
                    <w:snapToGrid w:val="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液态</w:t>
                  </w:r>
                </w:p>
              </w:tc>
              <w:tc>
                <w:tcPr>
                  <w:tcW w:w="543" w:type="pct"/>
                  <w:noWrap w:val="0"/>
                  <w:vAlign w:val="center"/>
                </w:tcPr>
                <w:p w14:paraId="32DE8945">
                  <w:pPr>
                    <w:jc w:val="center"/>
                    <w:rPr>
                      <w:rFonts w:hint="eastAsia" w:ascii="Times New Roman" w:hAnsi="Times New Roman" w:eastAsia="宋体" w:cs="Times New Roman"/>
                      <w:color w:val="auto"/>
                      <w:kern w:val="0"/>
                      <w:sz w:val="21"/>
                      <w:szCs w:val="21"/>
                      <w:highlight w:val="none"/>
                      <w:lang w:val="en-US" w:eastAsia="zh-CN" w:bidi="ar"/>
                    </w:rPr>
                  </w:pPr>
                  <w:r>
                    <w:rPr>
                      <w:rFonts w:hint="eastAsia" w:cs="Times New Roman"/>
                      <w:color w:val="auto"/>
                      <w:sz w:val="21"/>
                      <w:szCs w:val="21"/>
                      <w:highlight w:val="none"/>
                      <w:lang w:val="en-US" w:eastAsia="zh-CN"/>
                    </w:rPr>
                    <w:t>1.4kg</w:t>
                  </w:r>
                </w:p>
              </w:tc>
              <w:tc>
                <w:tcPr>
                  <w:tcW w:w="827" w:type="pct"/>
                  <w:noWrap w:val="0"/>
                  <w:vAlign w:val="center"/>
                </w:tcPr>
                <w:p w14:paraId="2512A909">
                  <w:pPr>
                    <w:tabs>
                      <w:tab w:val="left" w:pos="1088"/>
                    </w:tabs>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rPr>
                    <w:t>500ml</w:t>
                  </w:r>
                  <w:r>
                    <w:rPr>
                      <w:rFonts w:hint="eastAsia" w:cs="Times New Roman"/>
                      <w:bCs/>
                      <w:color w:val="auto"/>
                      <w:sz w:val="21"/>
                      <w:szCs w:val="21"/>
                      <w:highlight w:val="none"/>
                      <w:lang w:val="en-US" w:eastAsia="zh-CN"/>
                    </w:rPr>
                    <w:t>/瓶</w:t>
                  </w:r>
                </w:p>
              </w:tc>
              <w:tc>
                <w:tcPr>
                  <w:tcW w:w="583" w:type="pct"/>
                  <w:noWrap w:val="0"/>
                  <w:vAlign w:val="center"/>
                </w:tcPr>
                <w:p w14:paraId="68097BC4">
                  <w:pPr>
                    <w:widowControl/>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检测</w:t>
                  </w:r>
                </w:p>
              </w:tc>
            </w:tr>
            <w:tr w14:paraId="641962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80" w:type="pct"/>
                  <w:noWrap w:val="0"/>
                  <w:vAlign w:val="center"/>
                </w:tcPr>
                <w:p w14:paraId="471889EB">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43</w:t>
                  </w:r>
                </w:p>
              </w:tc>
              <w:tc>
                <w:tcPr>
                  <w:tcW w:w="994" w:type="pct"/>
                  <w:noWrap w:val="0"/>
                  <w:vAlign w:val="center"/>
                </w:tcPr>
                <w:p w14:paraId="10832044">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氩气</w:t>
                  </w:r>
                </w:p>
              </w:tc>
              <w:tc>
                <w:tcPr>
                  <w:tcW w:w="492" w:type="pct"/>
                  <w:noWrap w:val="0"/>
                  <w:vAlign w:val="center"/>
                </w:tcPr>
                <w:p w14:paraId="2F9CF2C9">
                  <w:pPr>
                    <w:jc w:val="center"/>
                    <w:rPr>
                      <w:rFonts w:hint="default" w:ascii="Times New Roman" w:hAnsi="Times New Roman"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40L</w:t>
                  </w:r>
                </w:p>
              </w:tc>
              <w:tc>
                <w:tcPr>
                  <w:tcW w:w="1177" w:type="pct"/>
                  <w:noWrap w:val="0"/>
                  <w:vAlign w:val="center"/>
                </w:tcPr>
                <w:p w14:paraId="3BEED797">
                  <w:pPr>
                    <w:widowControl/>
                    <w:adjustRightInd w:val="0"/>
                    <w:snapToGrid w:val="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气体</w:t>
                  </w:r>
                </w:p>
              </w:tc>
              <w:tc>
                <w:tcPr>
                  <w:tcW w:w="543" w:type="pct"/>
                  <w:noWrap w:val="0"/>
                  <w:vAlign w:val="center"/>
                </w:tcPr>
                <w:p w14:paraId="6D82A786">
                  <w:pPr>
                    <w:jc w:val="center"/>
                    <w:rPr>
                      <w:rFonts w:hint="default" w:ascii="Times New Roman" w:hAnsi="Times New Roman"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40L</w:t>
                  </w:r>
                </w:p>
              </w:tc>
              <w:tc>
                <w:tcPr>
                  <w:tcW w:w="827" w:type="pct"/>
                  <w:noWrap w:val="0"/>
                  <w:vAlign w:val="center"/>
                </w:tcPr>
                <w:p w14:paraId="34185277">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40L/瓶</w:t>
                  </w:r>
                </w:p>
              </w:tc>
              <w:tc>
                <w:tcPr>
                  <w:tcW w:w="583" w:type="pct"/>
                  <w:noWrap w:val="0"/>
                  <w:vAlign w:val="center"/>
                </w:tcPr>
                <w:p w14:paraId="4661C0D4">
                  <w:pPr>
                    <w:widowControl/>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检测</w:t>
                  </w:r>
                </w:p>
              </w:tc>
            </w:tr>
            <w:tr w14:paraId="5B3D13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80" w:type="pct"/>
                  <w:noWrap w:val="0"/>
                  <w:vAlign w:val="center"/>
                </w:tcPr>
                <w:p w14:paraId="606CBBC3">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44</w:t>
                  </w:r>
                </w:p>
              </w:tc>
              <w:tc>
                <w:tcPr>
                  <w:tcW w:w="994" w:type="pct"/>
                  <w:noWrap w:val="0"/>
                  <w:vAlign w:val="center"/>
                </w:tcPr>
                <w:p w14:paraId="34D909B5">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乙炔</w:t>
                  </w:r>
                </w:p>
              </w:tc>
              <w:tc>
                <w:tcPr>
                  <w:tcW w:w="492" w:type="pct"/>
                  <w:noWrap w:val="0"/>
                  <w:vAlign w:val="center"/>
                </w:tcPr>
                <w:p w14:paraId="5777FA95">
                  <w:pPr>
                    <w:jc w:val="center"/>
                    <w:rPr>
                      <w:rFonts w:hint="default" w:ascii="Times New Roman" w:hAnsi="Times New Roman"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40L</w:t>
                  </w:r>
                </w:p>
              </w:tc>
              <w:tc>
                <w:tcPr>
                  <w:tcW w:w="1177" w:type="pct"/>
                  <w:noWrap w:val="0"/>
                  <w:vAlign w:val="center"/>
                </w:tcPr>
                <w:p w14:paraId="2BCDBA6A">
                  <w:pPr>
                    <w:widowControl/>
                    <w:adjustRightInd w:val="0"/>
                    <w:snapToGrid w:val="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气体</w:t>
                  </w:r>
                </w:p>
              </w:tc>
              <w:tc>
                <w:tcPr>
                  <w:tcW w:w="543" w:type="pct"/>
                  <w:noWrap w:val="0"/>
                  <w:vAlign w:val="center"/>
                </w:tcPr>
                <w:p w14:paraId="699066EC">
                  <w:pPr>
                    <w:jc w:val="center"/>
                    <w:rPr>
                      <w:rFonts w:hint="default" w:ascii="Times New Roman" w:hAnsi="Times New Roman"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40L</w:t>
                  </w:r>
                </w:p>
              </w:tc>
              <w:tc>
                <w:tcPr>
                  <w:tcW w:w="827" w:type="pct"/>
                  <w:noWrap w:val="0"/>
                  <w:vAlign w:val="center"/>
                </w:tcPr>
                <w:p w14:paraId="2D760FD4">
                  <w:pPr>
                    <w:jc w:val="center"/>
                    <w:rPr>
                      <w:rFonts w:hint="default" w:ascii="Times New Roman" w:hAnsi="Times New Roman"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40L/瓶</w:t>
                  </w:r>
                </w:p>
              </w:tc>
              <w:tc>
                <w:tcPr>
                  <w:tcW w:w="583" w:type="pct"/>
                  <w:noWrap w:val="0"/>
                  <w:vAlign w:val="center"/>
                </w:tcPr>
                <w:p w14:paraId="58B06F13">
                  <w:pPr>
                    <w:widowControl/>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检测</w:t>
                  </w:r>
                </w:p>
              </w:tc>
            </w:tr>
            <w:tr w14:paraId="130B1F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80" w:type="pct"/>
                  <w:noWrap w:val="0"/>
                  <w:vAlign w:val="center"/>
                </w:tcPr>
                <w:p w14:paraId="14CA0B79">
                  <w:pPr>
                    <w:widowControl/>
                    <w:jc w:val="center"/>
                    <w:textAlignment w:val="center"/>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45</w:t>
                  </w:r>
                </w:p>
              </w:tc>
              <w:tc>
                <w:tcPr>
                  <w:tcW w:w="994" w:type="pct"/>
                  <w:noWrap w:val="0"/>
                  <w:vAlign w:val="center"/>
                </w:tcPr>
                <w:p w14:paraId="44410CA1">
                  <w:pPr>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氮气</w:t>
                  </w:r>
                </w:p>
              </w:tc>
              <w:tc>
                <w:tcPr>
                  <w:tcW w:w="492" w:type="pct"/>
                  <w:noWrap w:val="0"/>
                  <w:vAlign w:val="center"/>
                </w:tcPr>
                <w:p w14:paraId="78DFAFE1">
                  <w:pPr>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40L</w:t>
                  </w:r>
                </w:p>
              </w:tc>
              <w:tc>
                <w:tcPr>
                  <w:tcW w:w="1177" w:type="pct"/>
                  <w:noWrap w:val="0"/>
                  <w:vAlign w:val="center"/>
                </w:tcPr>
                <w:p w14:paraId="561AF5E2">
                  <w:pPr>
                    <w:widowControl/>
                    <w:adjustRightInd w:val="0"/>
                    <w:snapToGrid w:val="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bidi="ar-SA"/>
                    </w:rPr>
                    <w:t>气体</w:t>
                  </w:r>
                </w:p>
              </w:tc>
              <w:tc>
                <w:tcPr>
                  <w:tcW w:w="543" w:type="pct"/>
                  <w:noWrap w:val="0"/>
                  <w:vAlign w:val="center"/>
                </w:tcPr>
                <w:p w14:paraId="26A6B12C">
                  <w:pPr>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40L</w:t>
                  </w:r>
                </w:p>
              </w:tc>
              <w:tc>
                <w:tcPr>
                  <w:tcW w:w="827" w:type="pct"/>
                  <w:noWrap w:val="0"/>
                  <w:vAlign w:val="center"/>
                </w:tcPr>
                <w:p w14:paraId="3EE55104">
                  <w:pPr>
                    <w:jc w:val="center"/>
                    <w:rPr>
                      <w:rFonts w:hint="default" w:ascii="Times New Roman" w:hAnsi="Times New Roman" w:cs="Times New Roman"/>
                      <w:bCs/>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40L/瓶</w:t>
                  </w:r>
                </w:p>
              </w:tc>
              <w:tc>
                <w:tcPr>
                  <w:tcW w:w="583" w:type="pct"/>
                  <w:noWrap w:val="0"/>
                  <w:vAlign w:val="center"/>
                </w:tcPr>
                <w:p w14:paraId="7577542E">
                  <w:pPr>
                    <w:widowControl/>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rPr>
                    <w:t>检测</w:t>
                  </w:r>
                </w:p>
              </w:tc>
            </w:tr>
            <w:tr w14:paraId="552852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80" w:type="pct"/>
                  <w:noWrap w:val="0"/>
                  <w:vAlign w:val="center"/>
                </w:tcPr>
                <w:p w14:paraId="5E380132">
                  <w:pPr>
                    <w:widowControl/>
                    <w:jc w:val="center"/>
                    <w:textAlignment w:val="center"/>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46</w:t>
                  </w:r>
                </w:p>
              </w:tc>
              <w:tc>
                <w:tcPr>
                  <w:tcW w:w="994" w:type="pct"/>
                  <w:noWrap w:val="0"/>
                  <w:vAlign w:val="center"/>
                </w:tcPr>
                <w:p w14:paraId="7FBE58B0">
                  <w:pPr>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氦气</w:t>
                  </w:r>
                </w:p>
              </w:tc>
              <w:tc>
                <w:tcPr>
                  <w:tcW w:w="492" w:type="pct"/>
                  <w:noWrap w:val="0"/>
                  <w:vAlign w:val="center"/>
                </w:tcPr>
                <w:p w14:paraId="4B3F6D6E">
                  <w:pPr>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40L</w:t>
                  </w:r>
                </w:p>
              </w:tc>
              <w:tc>
                <w:tcPr>
                  <w:tcW w:w="1177" w:type="pct"/>
                  <w:noWrap w:val="0"/>
                  <w:vAlign w:val="center"/>
                </w:tcPr>
                <w:p w14:paraId="34724EF5">
                  <w:pPr>
                    <w:widowControl/>
                    <w:adjustRightInd w:val="0"/>
                    <w:snapToGrid w:val="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bidi="ar-SA"/>
                    </w:rPr>
                    <w:t>气体</w:t>
                  </w:r>
                </w:p>
              </w:tc>
              <w:tc>
                <w:tcPr>
                  <w:tcW w:w="543" w:type="pct"/>
                  <w:noWrap w:val="0"/>
                  <w:vAlign w:val="center"/>
                </w:tcPr>
                <w:p w14:paraId="68C594B5">
                  <w:pPr>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40L</w:t>
                  </w:r>
                </w:p>
              </w:tc>
              <w:tc>
                <w:tcPr>
                  <w:tcW w:w="827" w:type="pct"/>
                  <w:noWrap w:val="0"/>
                  <w:vAlign w:val="center"/>
                </w:tcPr>
                <w:p w14:paraId="5DC7B13C">
                  <w:pPr>
                    <w:jc w:val="center"/>
                    <w:rPr>
                      <w:rFonts w:hint="default" w:ascii="Times New Roman" w:hAnsi="Times New Roman" w:cs="Times New Roman"/>
                      <w:bCs/>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40L/瓶</w:t>
                  </w:r>
                </w:p>
              </w:tc>
              <w:tc>
                <w:tcPr>
                  <w:tcW w:w="583" w:type="pct"/>
                  <w:noWrap w:val="0"/>
                  <w:vAlign w:val="center"/>
                </w:tcPr>
                <w:p w14:paraId="21399FDD">
                  <w:pPr>
                    <w:widowControl/>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rPr>
                    <w:t>检测</w:t>
                  </w:r>
                </w:p>
              </w:tc>
            </w:tr>
            <w:tr w14:paraId="4E0053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80" w:type="pct"/>
                  <w:noWrap w:val="0"/>
                  <w:vAlign w:val="center"/>
                </w:tcPr>
                <w:p w14:paraId="07B791BB">
                  <w:pPr>
                    <w:widowControl/>
                    <w:jc w:val="center"/>
                    <w:textAlignment w:val="center"/>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47</w:t>
                  </w:r>
                </w:p>
              </w:tc>
              <w:tc>
                <w:tcPr>
                  <w:tcW w:w="994" w:type="pct"/>
                  <w:noWrap w:val="0"/>
                  <w:vAlign w:val="center"/>
                </w:tcPr>
                <w:p w14:paraId="0055936C">
                  <w:pPr>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甲苯</w:t>
                  </w:r>
                </w:p>
              </w:tc>
              <w:tc>
                <w:tcPr>
                  <w:tcW w:w="492" w:type="pct"/>
                  <w:noWrap w:val="0"/>
                  <w:vAlign w:val="center"/>
                </w:tcPr>
                <w:p w14:paraId="38C38FE2">
                  <w:pPr>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5kg</w:t>
                  </w:r>
                </w:p>
              </w:tc>
              <w:tc>
                <w:tcPr>
                  <w:tcW w:w="1177" w:type="pct"/>
                  <w:noWrap w:val="0"/>
                  <w:vAlign w:val="center"/>
                </w:tcPr>
                <w:p w14:paraId="72662D3A">
                  <w:pPr>
                    <w:pStyle w:val="100"/>
                    <w:widowControl/>
                    <w:adjustRightInd w:val="0"/>
                    <w:snapToGrid w:val="0"/>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液态</w:t>
                  </w:r>
                </w:p>
              </w:tc>
              <w:tc>
                <w:tcPr>
                  <w:tcW w:w="543" w:type="pct"/>
                  <w:noWrap w:val="0"/>
                  <w:vAlign w:val="center"/>
                </w:tcPr>
                <w:p w14:paraId="0C4EC079">
                  <w:pPr>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5kg</w:t>
                  </w:r>
                </w:p>
              </w:tc>
              <w:tc>
                <w:tcPr>
                  <w:tcW w:w="827" w:type="pct"/>
                  <w:noWrap w:val="0"/>
                  <w:vAlign w:val="center"/>
                </w:tcPr>
                <w:p w14:paraId="291C9E4D">
                  <w:pPr>
                    <w:jc w:val="center"/>
                    <w:rPr>
                      <w:rFonts w:hint="eastAsia" w:ascii="Times New Roman" w:hAnsi="Times New Roman" w:eastAsia="宋体"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rPr>
                    <w:t>500</w:t>
                  </w:r>
                  <w:r>
                    <w:rPr>
                      <w:rFonts w:hint="eastAsia" w:ascii="Times New Roman" w:hAnsi="Times New Roman" w:cs="Times New Roman"/>
                      <w:bCs/>
                      <w:color w:val="auto"/>
                      <w:sz w:val="21"/>
                      <w:szCs w:val="21"/>
                      <w:highlight w:val="none"/>
                      <w:lang w:val="en-US" w:eastAsia="zh-CN"/>
                    </w:rPr>
                    <w:t>g</w:t>
                  </w:r>
                  <w:r>
                    <w:rPr>
                      <w:rFonts w:hint="eastAsia" w:cs="Times New Roman"/>
                      <w:bCs/>
                      <w:color w:val="auto"/>
                      <w:sz w:val="21"/>
                      <w:szCs w:val="21"/>
                      <w:highlight w:val="none"/>
                      <w:lang w:val="en-US" w:eastAsia="zh-CN"/>
                    </w:rPr>
                    <w:t>/瓶</w:t>
                  </w:r>
                </w:p>
              </w:tc>
              <w:tc>
                <w:tcPr>
                  <w:tcW w:w="583" w:type="pct"/>
                  <w:noWrap w:val="0"/>
                  <w:vAlign w:val="center"/>
                </w:tcPr>
                <w:p w14:paraId="073E9982">
                  <w:pPr>
                    <w:widowControl/>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rPr>
                    <w:t>检测</w:t>
                  </w:r>
                </w:p>
              </w:tc>
            </w:tr>
            <w:tr w14:paraId="536C7E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0" w:hRule="atLeast"/>
                <w:jc w:val="center"/>
              </w:trPr>
              <w:tc>
                <w:tcPr>
                  <w:tcW w:w="380" w:type="pct"/>
                  <w:noWrap w:val="0"/>
                  <w:vAlign w:val="center"/>
                </w:tcPr>
                <w:p w14:paraId="65426A22">
                  <w:pPr>
                    <w:widowControl/>
                    <w:jc w:val="center"/>
                    <w:textAlignment w:val="center"/>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48</w:t>
                  </w:r>
                </w:p>
              </w:tc>
              <w:tc>
                <w:tcPr>
                  <w:tcW w:w="994" w:type="pct"/>
                  <w:noWrap w:val="0"/>
                  <w:vAlign w:val="center"/>
                </w:tcPr>
                <w:p w14:paraId="094EA8F4">
                  <w:pPr>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正己烷</w:t>
                  </w:r>
                </w:p>
              </w:tc>
              <w:tc>
                <w:tcPr>
                  <w:tcW w:w="492" w:type="pct"/>
                  <w:noWrap w:val="0"/>
                  <w:vAlign w:val="center"/>
                </w:tcPr>
                <w:p w14:paraId="3E8D0608">
                  <w:pPr>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5kg</w:t>
                  </w:r>
                </w:p>
              </w:tc>
              <w:tc>
                <w:tcPr>
                  <w:tcW w:w="1177" w:type="pct"/>
                  <w:noWrap w:val="0"/>
                  <w:vAlign w:val="center"/>
                </w:tcPr>
                <w:p w14:paraId="5829F9C3">
                  <w:pPr>
                    <w:pStyle w:val="100"/>
                    <w:widowControl/>
                    <w:adjustRightInd w:val="0"/>
                    <w:snapToGrid w:val="0"/>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液态</w:t>
                  </w:r>
                </w:p>
              </w:tc>
              <w:tc>
                <w:tcPr>
                  <w:tcW w:w="543" w:type="pct"/>
                  <w:noWrap w:val="0"/>
                  <w:vAlign w:val="center"/>
                </w:tcPr>
                <w:p w14:paraId="1D4BC8AC">
                  <w:pPr>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5kg</w:t>
                  </w:r>
                </w:p>
              </w:tc>
              <w:tc>
                <w:tcPr>
                  <w:tcW w:w="827" w:type="pct"/>
                  <w:noWrap w:val="0"/>
                  <w:vAlign w:val="center"/>
                </w:tcPr>
                <w:p w14:paraId="101E4C4F">
                  <w:pPr>
                    <w:jc w:val="center"/>
                    <w:rPr>
                      <w:rFonts w:hint="eastAsia" w:ascii="Times New Roman" w:hAnsi="Times New Roman" w:eastAsia="宋体"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rPr>
                    <w:t>500</w:t>
                  </w:r>
                  <w:r>
                    <w:rPr>
                      <w:rFonts w:hint="eastAsia" w:ascii="Times New Roman" w:hAnsi="Times New Roman" w:cs="Times New Roman"/>
                      <w:bCs/>
                      <w:color w:val="auto"/>
                      <w:sz w:val="21"/>
                      <w:szCs w:val="21"/>
                      <w:highlight w:val="none"/>
                      <w:lang w:val="en-US" w:eastAsia="zh-CN"/>
                    </w:rPr>
                    <w:t>g</w:t>
                  </w:r>
                  <w:r>
                    <w:rPr>
                      <w:rFonts w:hint="eastAsia" w:cs="Times New Roman"/>
                      <w:bCs/>
                      <w:color w:val="auto"/>
                      <w:sz w:val="21"/>
                      <w:szCs w:val="21"/>
                      <w:highlight w:val="none"/>
                      <w:lang w:val="en-US" w:eastAsia="zh-CN"/>
                    </w:rPr>
                    <w:t>/瓶</w:t>
                  </w:r>
                </w:p>
              </w:tc>
              <w:tc>
                <w:tcPr>
                  <w:tcW w:w="583" w:type="pct"/>
                  <w:noWrap w:val="0"/>
                  <w:vAlign w:val="center"/>
                </w:tcPr>
                <w:p w14:paraId="441E25CF">
                  <w:pPr>
                    <w:widowControl/>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rPr>
                    <w:t>检测</w:t>
                  </w:r>
                </w:p>
              </w:tc>
            </w:tr>
            <w:tr w14:paraId="0EDA23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0" w:hRule="atLeast"/>
                <w:jc w:val="center"/>
              </w:trPr>
              <w:tc>
                <w:tcPr>
                  <w:tcW w:w="380" w:type="pct"/>
                  <w:noWrap w:val="0"/>
                  <w:vAlign w:val="center"/>
                </w:tcPr>
                <w:p w14:paraId="3E366AA0">
                  <w:pPr>
                    <w:widowControl/>
                    <w:jc w:val="center"/>
                    <w:textAlignment w:val="center"/>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49</w:t>
                  </w:r>
                </w:p>
              </w:tc>
              <w:tc>
                <w:tcPr>
                  <w:tcW w:w="994" w:type="pct"/>
                  <w:noWrap w:val="0"/>
                  <w:vAlign w:val="center"/>
                </w:tcPr>
                <w:p w14:paraId="67DACCD7">
                  <w:pPr>
                    <w:jc w:val="center"/>
                    <w:rPr>
                      <w:rFonts w:hint="eastAsia"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氢氧化钠</w:t>
                  </w:r>
                </w:p>
              </w:tc>
              <w:tc>
                <w:tcPr>
                  <w:tcW w:w="492" w:type="pct"/>
                  <w:noWrap w:val="0"/>
                  <w:vAlign w:val="center"/>
                </w:tcPr>
                <w:p w14:paraId="2D0EFA7D">
                  <w:pPr>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3.15</w:t>
                  </w:r>
                  <w:r>
                    <w:rPr>
                      <w:rFonts w:hint="default" w:ascii="Times New Roman" w:hAnsi="Times New Roman" w:cs="Times New Roman"/>
                      <w:color w:val="auto"/>
                      <w:sz w:val="21"/>
                      <w:szCs w:val="21"/>
                      <w:highlight w:val="none"/>
                      <w:lang w:val="en-US" w:eastAsia="zh-CN"/>
                    </w:rPr>
                    <w:t>t</w:t>
                  </w:r>
                </w:p>
              </w:tc>
              <w:tc>
                <w:tcPr>
                  <w:tcW w:w="1177" w:type="pct"/>
                  <w:noWrap w:val="0"/>
                  <w:vAlign w:val="center"/>
                </w:tcPr>
                <w:p w14:paraId="3A3140D0">
                  <w:pPr>
                    <w:pStyle w:val="100"/>
                    <w:widowControl/>
                    <w:adjustRightInd w:val="0"/>
                    <w:snapToGrid w:val="0"/>
                    <w:rPr>
                      <w:rFonts w:hint="eastAsia"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固态（晶状粉末</w:t>
                  </w:r>
                  <w:r>
                    <w:rPr>
                      <w:rFonts w:hint="eastAsia" w:ascii="Times New Roman" w:hAnsi="Times New Roman" w:eastAsia="宋体" w:cs="Times New Roman"/>
                      <w:color w:val="auto"/>
                      <w:kern w:val="0"/>
                      <w:sz w:val="21"/>
                      <w:szCs w:val="21"/>
                      <w:highlight w:val="none"/>
                      <w:lang w:val="en-US" w:eastAsia="zh-CN"/>
                    </w:rPr>
                    <w:t>）</w:t>
                  </w:r>
                </w:p>
              </w:tc>
              <w:tc>
                <w:tcPr>
                  <w:tcW w:w="543" w:type="pct"/>
                  <w:noWrap w:val="0"/>
                  <w:vAlign w:val="center"/>
                </w:tcPr>
                <w:p w14:paraId="40A64A1D">
                  <w:pPr>
                    <w:jc w:val="center"/>
                    <w:rPr>
                      <w:rFonts w:hint="eastAsia"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0.2t</w:t>
                  </w:r>
                </w:p>
              </w:tc>
              <w:tc>
                <w:tcPr>
                  <w:tcW w:w="827" w:type="pct"/>
                  <w:noWrap w:val="0"/>
                  <w:vAlign w:val="center"/>
                </w:tcPr>
                <w:p w14:paraId="030AC694">
                  <w:pPr>
                    <w:tabs>
                      <w:tab w:val="left" w:pos="1088"/>
                    </w:tabs>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lang w:val="en-US" w:eastAsia="zh-CN"/>
                    </w:rPr>
                    <w:t>50kg/袋</w:t>
                  </w:r>
                </w:p>
              </w:tc>
              <w:tc>
                <w:tcPr>
                  <w:tcW w:w="583" w:type="pct"/>
                  <w:noWrap w:val="0"/>
                  <w:vAlign w:val="center"/>
                </w:tcPr>
                <w:p w14:paraId="3AC68A15">
                  <w:pPr>
                    <w:widowControl/>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废气处理</w:t>
                  </w:r>
                </w:p>
              </w:tc>
            </w:tr>
            <w:tr w14:paraId="62E3CA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80" w:type="pct"/>
                  <w:noWrap w:val="0"/>
                  <w:vAlign w:val="center"/>
                </w:tcPr>
                <w:p w14:paraId="06DC4027">
                  <w:pPr>
                    <w:widowControl/>
                    <w:jc w:val="center"/>
                    <w:textAlignment w:val="center"/>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50</w:t>
                  </w:r>
                </w:p>
              </w:tc>
              <w:tc>
                <w:tcPr>
                  <w:tcW w:w="994" w:type="pct"/>
                  <w:noWrap w:val="0"/>
                  <w:vAlign w:val="center"/>
                </w:tcPr>
                <w:p w14:paraId="065EE226">
                  <w:pPr>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地表水样品</w:t>
                  </w:r>
                </w:p>
              </w:tc>
              <w:tc>
                <w:tcPr>
                  <w:tcW w:w="492" w:type="pct"/>
                  <w:noWrap w:val="0"/>
                  <w:vAlign w:val="center"/>
                </w:tcPr>
                <w:p w14:paraId="40B53D1F">
                  <w:pPr>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160份</w:t>
                  </w:r>
                </w:p>
              </w:tc>
              <w:tc>
                <w:tcPr>
                  <w:tcW w:w="1177" w:type="pct"/>
                  <w:noWrap w:val="0"/>
                  <w:vAlign w:val="center"/>
                </w:tcPr>
                <w:p w14:paraId="0DD481E0">
                  <w:pPr>
                    <w:pStyle w:val="100"/>
                    <w:widowControl/>
                    <w:adjustRightInd w:val="0"/>
                    <w:snapToGrid w:val="0"/>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液态</w:t>
                  </w:r>
                </w:p>
              </w:tc>
              <w:tc>
                <w:tcPr>
                  <w:tcW w:w="543" w:type="pct"/>
                  <w:noWrap w:val="0"/>
                  <w:vAlign w:val="center"/>
                </w:tcPr>
                <w:p w14:paraId="540FBA7D">
                  <w:pPr>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5份</w:t>
                  </w:r>
                </w:p>
              </w:tc>
              <w:tc>
                <w:tcPr>
                  <w:tcW w:w="827" w:type="pct"/>
                  <w:noWrap w:val="0"/>
                  <w:vAlign w:val="center"/>
                </w:tcPr>
                <w:p w14:paraId="228E6421">
                  <w:pPr>
                    <w:tabs>
                      <w:tab w:val="left" w:pos="1088"/>
                    </w:tabs>
                    <w:jc w:val="center"/>
                    <w:rPr>
                      <w:rFonts w:hint="default" w:ascii="Times New Roman" w:hAnsi="Times New Roman" w:cs="Times New Roman"/>
                      <w:bCs/>
                      <w:color w:val="auto"/>
                      <w:sz w:val="21"/>
                      <w:szCs w:val="21"/>
                      <w:highlight w:val="none"/>
                      <w:lang w:val="en-US" w:eastAsia="zh-CN"/>
                    </w:rPr>
                  </w:pPr>
                  <w:r>
                    <w:rPr>
                      <w:rFonts w:hint="eastAsia" w:cs="Times New Roman"/>
                      <w:bCs/>
                      <w:color w:val="auto"/>
                      <w:sz w:val="21"/>
                      <w:szCs w:val="21"/>
                      <w:highlight w:val="none"/>
                      <w:lang w:val="en-US" w:eastAsia="zh-CN"/>
                    </w:rPr>
                    <w:t>500ml/瓶</w:t>
                  </w:r>
                </w:p>
              </w:tc>
              <w:tc>
                <w:tcPr>
                  <w:tcW w:w="583" w:type="pct"/>
                  <w:noWrap w:val="0"/>
                  <w:vAlign w:val="center"/>
                </w:tcPr>
                <w:p w14:paraId="0704253E">
                  <w:pPr>
                    <w:widowControl/>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w:t>
                  </w:r>
                </w:p>
              </w:tc>
            </w:tr>
            <w:tr w14:paraId="51D46A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0" w:hRule="atLeast"/>
                <w:jc w:val="center"/>
              </w:trPr>
              <w:tc>
                <w:tcPr>
                  <w:tcW w:w="380" w:type="pct"/>
                  <w:noWrap w:val="0"/>
                  <w:vAlign w:val="center"/>
                </w:tcPr>
                <w:p w14:paraId="1BF03022">
                  <w:pPr>
                    <w:widowControl/>
                    <w:jc w:val="center"/>
                    <w:textAlignment w:val="center"/>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51</w:t>
                  </w:r>
                </w:p>
              </w:tc>
              <w:tc>
                <w:tcPr>
                  <w:tcW w:w="994" w:type="pct"/>
                  <w:noWrap w:val="0"/>
                  <w:vAlign w:val="center"/>
                </w:tcPr>
                <w:p w14:paraId="6FCF4CF7">
                  <w:pPr>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地下水样品</w:t>
                  </w:r>
                </w:p>
              </w:tc>
              <w:tc>
                <w:tcPr>
                  <w:tcW w:w="492" w:type="pct"/>
                  <w:noWrap w:val="0"/>
                  <w:vAlign w:val="center"/>
                </w:tcPr>
                <w:p w14:paraId="6D06F7E8">
                  <w:pPr>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240份</w:t>
                  </w:r>
                </w:p>
              </w:tc>
              <w:tc>
                <w:tcPr>
                  <w:tcW w:w="1177" w:type="pct"/>
                  <w:noWrap w:val="0"/>
                  <w:vAlign w:val="center"/>
                </w:tcPr>
                <w:p w14:paraId="65FD077B">
                  <w:pPr>
                    <w:pStyle w:val="100"/>
                    <w:widowControl/>
                    <w:adjustRightInd w:val="0"/>
                    <w:snapToGrid w:val="0"/>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液态</w:t>
                  </w:r>
                </w:p>
              </w:tc>
              <w:tc>
                <w:tcPr>
                  <w:tcW w:w="543" w:type="pct"/>
                  <w:noWrap w:val="0"/>
                  <w:vAlign w:val="center"/>
                </w:tcPr>
                <w:p w14:paraId="168D7DE5">
                  <w:pPr>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5份</w:t>
                  </w:r>
                </w:p>
              </w:tc>
              <w:tc>
                <w:tcPr>
                  <w:tcW w:w="827" w:type="pct"/>
                  <w:noWrap w:val="0"/>
                  <w:vAlign w:val="center"/>
                </w:tcPr>
                <w:p w14:paraId="0BE48E6C">
                  <w:pPr>
                    <w:tabs>
                      <w:tab w:val="left" w:pos="1088"/>
                    </w:tabs>
                    <w:jc w:val="center"/>
                    <w:rPr>
                      <w:rFonts w:hint="default" w:ascii="Times New Roman" w:hAnsi="Times New Roman" w:cs="Times New Roman"/>
                      <w:bCs/>
                      <w:color w:val="auto"/>
                      <w:sz w:val="21"/>
                      <w:szCs w:val="21"/>
                      <w:highlight w:val="none"/>
                      <w:lang w:val="en-US" w:eastAsia="zh-CN"/>
                    </w:rPr>
                  </w:pPr>
                  <w:r>
                    <w:rPr>
                      <w:rFonts w:hint="eastAsia" w:cs="Times New Roman"/>
                      <w:bCs/>
                      <w:color w:val="auto"/>
                      <w:sz w:val="21"/>
                      <w:szCs w:val="21"/>
                      <w:highlight w:val="none"/>
                      <w:lang w:val="en-US" w:eastAsia="zh-CN"/>
                    </w:rPr>
                    <w:t>500ml/瓶</w:t>
                  </w:r>
                </w:p>
              </w:tc>
              <w:tc>
                <w:tcPr>
                  <w:tcW w:w="583" w:type="pct"/>
                  <w:noWrap w:val="0"/>
                  <w:vAlign w:val="center"/>
                </w:tcPr>
                <w:p w14:paraId="4BF0DF9D">
                  <w:pPr>
                    <w:widowControl/>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w:t>
                  </w:r>
                </w:p>
              </w:tc>
            </w:tr>
            <w:tr w14:paraId="222136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0" w:hRule="atLeast"/>
                <w:jc w:val="center"/>
              </w:trPr>
              <w:tc>
                <w:tcPr>
                  <w:tcW w:w="380" w:type="pct"/>
                  <w:noWrap w:val="0"/>
                  <w:vAlign w:val="center"/>
                </w:tcPr>
                <w:p w14:paraId="125709F6">
                  <w:pPr>
                    <w:widowControl/>
                    <w:jc w:val="center"/>
                    <w:textAlignment w:val="center"/>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52</w:t>
                  </w:r>
                </w:p>
              </w:tc>
              <w:tc>
                <w:tcPr>
                  <w:tcW w:w="994" w:type="pct"/>
                  <w:noWrap w:val="0"/>
                  <w:vAlign w:val="center"/>
                </w:tcPr>
                <w:p w14:paraId="23124857">
                  <w:pPr>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土壤样品</w:t>
                  </w:r>
                </w:p>
              </w:tc>
              <w:tc>
                <w:tcPr>
                  <w:tcW w:w="492" w:type="pct"/>
                  <w:noWrap w:val="0"/>
                  <w:vAlign w:val="center"/>
                </w:tcPr>
                <w:p w14:paraId="7A89D062">
                  <w:pPr>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400份</w:t>
                  </w:r>
                </w:p>
              </w:tc>
              <w:tc>
                <w:tcPr>
                  <w:tcW w:w="1177" w:type="pct"/>
                  <w:noWrap w:val="0"/>
                  <w:vAlign w:val="center"/>
                </w:tcPr>
                <w:p w14:paraId="6B1B7ECA">
                  <w:pPr>
                    <w:pStyle w:val="100"/>
                    <w:widowControl/>
                    <w:adjustRightInd w:val="0"/>
                    <w:snapToGrid w:val="0"/>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固态</w:t>
                  </w:r>
                </w:p>
              </w:tc>
              <w:tc>
                <w:tcPr>
                  <w:tcW w:w="543" w:type="pct"/>
                  <w:noWrap w:val="0"/>
                  <w:vAlign w:val="center"/>
                </w:tcPr>
                <w:p w14:paraId="754C3B42">
                  <w:pPr>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10份</w:t>
                  </w:r>
                </w:p>
              </w:tc>
              <w:tc>
                <w:tcPr>
                  <w:tcW w:w="827" w:type="pct"/>
                  <w:noWrap w:val="0"/>
                  <w:vAlign w:val="center"/>
                </w:tcPr>
                <w:p w14:paraId="60BE2AFF">
                  <w:pPr>
                    <w:tabs>
                      <w:tab w:val="left" w:pos="1088"/>
                    </w:tabs>
                    <w:jc w:val="center"/>
                    <w:rPr>
                      <w:rFonts w:hint="default" w:ascii="Times New Roman" w:hAnsi="Times New Roman" w:cs="Times New Roman"/>
                      <w:bCs/>
                      <w:color w:val="auto"/>
                      <w:sz w:val="21"/>
                      <w:szCs w:val="21"/>
                      <w:highlight w:val="none"/>
                      <w:lang w:val="en-US" w:eastAsia="zh-CN"/>
                    </w:rPr>
                  </w:pPr>
                  <w:r>
                    <w:rPr>
                      <w:rFonts w:hint="eastAsia" w:cs="Times New Roman"/>
                      <w:bCs/>
                      <w:color w:val="auto"/>
                      <w:sz w:val="21"/>
                      <w:szCs w:val="21"/>
                      <w:highlight w:val="none"/>
                      <w:lang w:val="en-US" w:eastAsia="zh-CN"/>
                    </w:rPr>
                    <w:t>500g/瓶</w:t>
                  </w:r>
                </w:p>
              </w:tc>
              <w:tc>
                <w:tcPr>
                  <w:tcW w:w="583" w:type="pct"/>
                  <w:noWrap w:val="0"/>
                  <w:vAlign w:val="center"/>
                </w:tcPr>
                <w:p w14:paraId="1B1161AD">
                  <w:pPr>
                    <w:widowControl/>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w:t>
                  </w:r>
                </w:p>
              </w:tc>
            </w:tr>
            <w:tr w14:paraId="089867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0" w:hRule="atLeast"/>
                <w:jc w:val="center"/>
              </w:trPr>
              <w:tc>
                <w:tcPr>
                  <w:tcW w:w="380" w:type="pct"/>
                  <w:noWrap w:val="0"/>
                  <w:vAlign w:val="center"/>
                </w:tcPr>
                <w:p w14:paraId="1CF580DA">
                  <w:pPr>
                    <w:widowControl/>
                    <w:jc w:val="center"/>
                    <w:textAlignment w:val="center"/>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53</w:t>
                  </w:r>
                </w:p>
              </w:tc>
              <w:tc>
                <w:tcPr>
                  <w:tcW w:w="994" w:type="pct"/>
                  <w:noWrap w:val="0"/>
                  <w:vAlign w:val="center"/>
                </w:tcPr>
                <w:p w14:paraId="74FB6E97">
                  <w:pPr>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固体废物样品</w:t>
                  </w:r>
                </w:p>
              </w:tc>
              <w:tc>
                <w:tcPr>
                  <w:tcW w:w="492" w:type="pct"/>
                  <w:noWrap w:val="0"/>
                  <w:vAlign w:val="center"/>
                </w:tcPr>
                <w:p w14:paraId="7979EF5F">
                  <w:pPr>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400份</w:t>
                  </w:r>
                </w:p>
              </w:tc>
              <w:tc>
                <w:tcPr>
                  <w:tcW w:w="1177" w:type="pct"/>
                  <w:noWrap w:val="0"/>
                  <w:vAlign w:val="center"/>
                </w:tcPr>
                <w:p w14:paraId="7ABFC453">
                  <w:pPr>
                    <w:pStyle w:val="100"/>
                    <w:widowControl/>
                    <w:adjustRightInd w:val="0"/>
                    <w:snapToGrid w:val="0"/>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固态</w:t>
                  </w:r>
                </w:p>
              </w:tc>
              <w:tc>
                <w:tcPr>
                  <w:tcW w:w="543" w:type="pct"/>
                  <w:noWrap w:val="0"/>
                  <w:vAlign w:val="center"/>
                </w:tcPr>
                <w:p w14:paraId="12660CA7">
                  <w:pPr>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10份</w:t>
                  </w:r>
                </w:p>
              </w:tc>
              <w:tc>
                <w:tcPr>
                  <w:tcW w:w="827" w:type="pct"/>
                  <w:noWrap w:val="0"/>
                  <w:vAlign w:val="center"/>
                </w:tcPr>
                <w:p w14:paraId="1F626E3C">
                  <w:pPr>
                    <w:tabs>
                      <w:tab w:val="left" w:pos="1088"/>
                    </w:tabs>
                    <w:jc w:val="center"/>
                    <w:rPr>
                      <w:rFonts w:hint="default" w:ascii="Times New Roman" w:hAnsi="Times New Roman" w:cs="Times New Roman"/>
                      <w:bCs/>
                      <w:color w:val="auto"/>
                      <w:sz w:val="21"/>
                      <w:szCs w:val="21"/>
                      <w:highlight w:val="none"/>
                      <w:lang w:val="en-US" w:eastAsia="zh-CN"/>
                    </w:rPr>
                  </w:pPr>
                  <w:r>
                    <w:rPr>
                      <w:rFonts w:hint="eastAsia" w:cs="Times New Roman"/>
                      <w:bCs/>
                      <w:color w:val="auto"/>
                      <w:sz w:val="21"/>
                      <w:szCs w:val="21"/>
                      <w:highlight w:val="none"/>
                      <w:lang w:val="en-US" w:eastAsia="zh-CN"/>
                    </w:rPr>
                    <w:t>500g/瓶</w:t>
                  </w:r>
                </w:p>
              </w:tc>
              <w:tc>
                <w:tcPr>
                  <w:tcW w:w="583" w:type="pct"/>
                  <w:noWrap w:val="0"/>
                  <w:vAlign w:val="center"/>
                </w:tcPr>
                <w:p w14:paraId="5FE099B0">
                  <w:pPr>
                    <w:widowControl/>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w:t>
                  </w:r>
                </w:p>
              </w:tc>
            </w:tr>
            <w:tr w14:paraId="7AF82B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0" w:hRule="atLeast"/>
                <w:jc w:val="center"/>
              </w:trPr>
              <w:tc>
                <w:tcPr>
                  <w:tcW w:w="380" w:type="pct"/>
                  <w:noWrap w:val="0"/>
                  <w:vAlign w:val="center"/>
                </w:tcPr>
                <w:p w14:paraId="010503BB">
                  <w:pPr>
                    <w:widowControl/>
                    <w:jc w:val="center"/>
                    <w:textAlignment w:val="center"/>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54</w:t>
                  </w:r>
                </w:p>
              </w:tc>
              <w:tc>
                <w:tcPr>
                  <w:tcW w:w="994" w:type="pct"/>
                  <w:noWrap w:val="0"/>
                  <w:vAlign w:val="center"/>
                </w:tcPr>
                <w:p w14:paraId="4852A05A">
                  <w:pPr>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废气（环境空气）样品</w:t>
                  </w:r>
                </w:p>
              </w:tc>
              <w:tc>
                <w:tcPr>
                  <w:tcW w:w="492" w:type="pct"/>
                  <w:noWrap w:val="0"/>
                  <w:vAlign w:val="center"/>
                </w:tcPr>
                <w:p w14:paraId="17B07ED3">
                  <w:pPr>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600份</w:t>
                  </w:r>
                </w:p>
              </w:tc>
              <w:tc>
                <w:tcPr>
                  <w:tcW w:w="1177" w:type="pct"/>
                  <w:noWrap w:val="0"/>
                  <w:vAlign w:val="center"/>
                </w:tcPr>
                <w:p w14:paraId="72B0F657">
                  <w:pPr>
                    <w:pStyle w:val="100"/>
                    <w:widowControl/>
                    <w:adjustRightInd w:val="0"/>
                    <w:snapToGrid w:val="0"/>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气体</w:t>
                  </w:r>
                </w:p>
              </w:tc>
              <w:tc>
                <w:tcPr>
                  <w:tcW w:w="543" w:type="pct"/>
                  <w:noWrap w:val="0"/>
                  <w:vAlign w:val="center"/>
                </w:tcPr>
                <w:p w14:paraId="408B24D8">
                  <w:pPr>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20份</w:t>
                  </w:r>
                </w:p>
              </w:tc>
              <w:tc>
                <w:tcPr>
                  <w:tcW w:w="827" w:type="pct"/>
                  <w:noWrap w:val="0"/>
                  <w:vAlign w:val="center"/>
                </w:tcPr>
                <w:p w14:paraId="1615656A">
                  <w:pPr>
                    <w:tabs>
                      <w:tab w:val="left" w:pos="1088"/>
                    </w:tabs>
                    <w:jc w:val="center"/>
                    <w:rPr>
                      <w:rFonts w:hint="default" w:ascii="Times New Roman" w:hAnsi="Times New Roman" w:cs="Times New Roman"/>
                      <w:bCs/>
                      <w:color w:val="auto"/>
                      <w:sz w:val="21"/>
                      <w:szCs w:val="21"/>
                      <w:highlight w:val="none"/>
                      <w:lang w:val="en-US" w:eastAsia="zh-CN"/>
                    </w:rPr>
                  </w:pPr>
                  <w:r>
                    <w:rPr>
                      <w:rFonts w:hint="eastAsia" w:cs="Times New Roman"/>
                      <w:bCs/>
                      <w:color w:val="auto"/>
                      <w:sz w:val="21"/>
                      <w:szCs w:val="21"/>
                      <w:highlight w:val="none"/>
                      <w:lang w:val="en-US" w:eastAsia="zh-CN"/>
                    </w:rPr>
                    <w:t>5L/袋</w:t>
                  </w:r>
                </w:p>
              </w:tc>
              <w:tc>
                <w:tcPr>
                  <w:tcW w:w="583" w:type="pct"/>
                  <w:noWrap w:val="0"/>
                  <w:vAlign w:val="center"/>
                </w:tcPr>
                <w:p w14:paraId="4279B07D">
                  <w:pPr>
                    <w:widowControl/>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w:t>
                  </w:r>
                </w:p>
              </w:tc>
            </w:tr>
            <w:tr w14:paraId="13E17A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0" w:hRule="atLeast"/>
                <w:jc w:val="center"/>
              </w:trPr>
              <w:tc>
                <w:tcPr>
                  <w:tcW w:w="380" w:type="pct"/>
                  <w:noWrap w:val="0"/>
                  <w:vAlign w:val="center"/>
                </w:tcPr>
                <w:p w14:paraId="32CEF1F5">
                  <w:pPr>
                    <w:widowControl/>
                    <w:jc w:val="center"/>
                    <w:textAlignment w:val="center"/>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55</w:t>
                  </w:r>
                </w:p>
              </w:tc>
              <w:tc>
                <w:tcPr>
                  <w:tcW w:w="994" w:type="pct"/>
                  <w:noWrap w:val="0"/>
                  <w:vAlign w:val="center"/>
                </w:tcPr>
                <w:p w14:paraId="66781959">
                  <w:pPr>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机油</w:t>
                  </w:r>
                </w:p>
              </w:tc>
              <w:tc>
                <w:tcPr>
                  <w:tcW w:w="492" w:type="pct"/>
                  <w:noWrap w:val="0"/>
                  <w:vAlign w:val="center"/>
                </w:tcPr>
                <w:p w14:paraId="647B0803">
                  <w:pPr>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0.1t</w:t>
                  </w:r>
                </w:p>
              </w:tc>
              <w:tc>
                <w:tcPr>
                  <w:tcW w:w="1177" w:type="pct"/>
                  <w:noWrap w:val="0"/>
                  <w:vAlign w:val="center"/>
                </w:tcPr>
                <w:p w14:paraId="7816368C">
                  <w:pPr>
                    <w:pStyle w:val="100"/>
                    <w:widowControl/>
                    <w:adjustRightInd w:val="0"/>
                    <w:snapToGrid w:val="0"/>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液态</w:t>
                  </w:r>
                </w:p>
              </w:tc>
              <w:tc>
                <w:tcPr>
                  <w:tcW w:w="543" w:type="pct"/>
                  <w:noWrap w:val="0"/>
                  <w:vAlign w:val="center"/>
                </w:tcPr>
                <w:p w14:paraId="3482A596">
                  <w:pPr>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0.04t</w:t>
                  </w:r>
                </w:p>
              </w:tc>
              <w:tc>
                <w:tcPr>
                  <w:tcW w:w="827" w:type="pct"/>
                  <w:noWrap w:val="0"/>
                  <w:vAlign w:val="center"/>
                </w:tcPr>
                <w:p w14:paraId="35A09C51">
                  <w:pPr>
                    <w:tabs>
                      <w:tab w:val="left" w:pos="1088"/>
                    </w:tabs>
                    <w:jc w:val="center"/>
                    <w:rPr>
                      <w:rFonts w:hint="eastAsia" w:cs="Times New Roman"/>
                      <w:bCs/>
                      <w:color w:val="auto"/>
                      <w:sz w:val="21"/>
                      <w:szCs w:val="21"/>
                      <w:highlight w:val="none"/>
                      <w:lang w:val="en-US" w:eastAsia="zh-CN"/>
                    </w:rPr>
                  </w:pPr>
                  <w:r>
                    <w:rPr>
                      <w:rFonts w:hint="eastAsia" w:cs="Times New Roman"/>
                      <w:color w:val="auto"/>
                      <w:kern w:val="0"/>
                      <w:sz w:val="21"/>
                      <w:szCs w:val="21"/>
                      <w:highlight w:val="none"/>
                      <w:lang w:val="en-US" w:eastAsia="zh-CN"/>
                    </w:rPr>
                    <w:t>20kg/桶</w:t>
                  </w:r>
                </w:p>
              </w:tc>
              <w:tc>
                <w:tcPr>
                  <w:tcW w:w="583" w:type="pct"/>
                  <w:noWrap w:val="0"/>
                  <w:vAlign w:val="center"/>
                </w:tcPr>
                <w:p w14:paraId="46FF501B">
                  <w:pPr>
                    <w:widowControl/>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设备维护</w:t>
                  </w:r>
                </w:p>
              </w:tc>
            </w:tr>
          </w:tbl>
          <w:p w14:paraId="7A14DEBA">
            <w:pPr>
              <w:adjustRightInd w:val="0"/>
              <w:snapToGrid w:val="0"/>
              <w:spacing w:line="360" w:lineRule="auto"/>
              <w:ind w:firstLine="420" w:firstLineChars="200"/>
              <w:jc w:val="left"/>
              <w:rPr>
                <w:rFonts w:hint="default" w:ascii="Times New Roman" w:hAnsi="Times New Roman" w:eastAsia="宋体" w:cs="Times New Roman"/>
                <w:b/>
                <w:color w:val="auto"/>
                <w:kern w:val="2"/>
                <w:sz w:val="24"/>
                <w:szCs w:val="24"/>
                <w:highlight w:val="none"/>
                <w:lang w:val="en-US" w:eastAsia="zh-CN" w:bidi="ar-SA"/>
              </w:rPr>
            </w:pPr>
            <w:r>
              <w:rPr>
                <w:rFonts w:hint="default" w:ascii="Times New Roman" w:hAnsi="Times New Roman" w:cs="Times New Roman"/>
                <w:color w:val="auto"/>
                <w:szCs w:val="21"/>
                <w:highlight w:val="none"/>
              </w:rPr>
              <w:t>根据中山市人民政府关于印发《中山市危险化学品禁止、限制和控制目录（</w:t>
            </w:r>
            <w:r>
              <w:rPr>
                <w:rFonts w:hint="eastAsia" w:cs="Times New Roman"/>
                <w:color w:val="auto"/>
                <w:szCs w:val="21"/>
                <w:highlight w:val="none"/>
                <w:lang w:val="en-US" w:eastAsia="zh-CN"/>
              </w:rPr>
              <w:t>2025版</w:t>
            </w:r>
            <w:r>
              <w:rPr>
                <w:rFonts w:hint="default" w:ascii="Times New Roman" w:hAnsi="Times New Roman" w:cs="Times New Roman"/>
                <w:color w:val="auto"/>
                <w:szCs w:val="21"/>
                <w:highlight w:val="none"/>
              </w:rPr>
              <w:t>）》的通知（</w:t>
            </w:r>
            <w:r>
              <w:rPr>
                <w:rFonts w:hint="eastAsia" w:cs="Times New Roman"/>
                <w:color w:val="auto"/>
                <w:szCs w:val="21"/>
                <w:highlight w:val="none"/>
                <w:lang w:val="en-US" w:eastAsia="zh-CN"/>
              </w:rPr>
              <w:t>中</w:t>
            </w:r>
            <w:r>
              <w:rPr>
                <w:rFonts w:hint="default" w:ascii="Times New Roman" w:hAnsi="Times New Roman" w:cs="Times New Roman"/>
                <w:color w:val="auto"/>
                <w:szCs w:val="21"/>
                <w:highlight w:val="none"/>
              </w:rPr>
              <w:t>府规字[202</w:t>
            </w:r>
            <w:r>
              <w:rPr>
                <w:rFonts w:hint="eastAsia" w:cs="Times New Roman"/>
                <w:color w:val="auto"/>
                <w:szCs w:val="21"/>
                <w:highlight w:val="none"/>
                <w:lang w:val="en-US" w:eastAsia="zh-CN"/>
              </w:rPr>
              <w:t>5</w:t>
            </w:r>
            <w:r>
              <w:rPr>
                <w:rFonts w:hint="default" w:ascii="Times New Roman" w:hAnsi="Times New Roman" w:cs="Times New Roman"/>
                <w:color w:val="auto"/>
                <w:szCs w:val="21"/>
                <w:highlight w:val="none"/>
              </w:rPr>
              <w:t>]</w:t>
            </w:r>
            <w:r>
              <w:rPr>
                <w:rFonts w:hint="eastAsia" w:cs="Times New Roman"/>
                <w:color w:val="auto"/>
                <w:szCs w:val="21"/>
                <w:highlight w:val="none"/>
                <w:lang w:val="en-US" w:eastAsia="zh-CN"/>
              </w:rPr>
              <w:t>1</w:t>
            </w:r>
            <w:r>
              <w:rPr>
                <w:rFonts w:hint="default" w:ascii="Times New Roman" w:hAnsi="Times New Roman" w:cs="Times New Roman"/>
                <w:color w:val="auto"/>
                <w:szCs w:val="21"/>
                <w:highlight w:val="none"/>
              </w:rPr>
              <w:t>号、中府[202</w:t>
            </w:r>
            <w:r>
              <w:rPr>
                <w:rFonts w:hint="eastAsia" w:cs="Times New Roman"/>
                <w:color w:val="auto"/>
                <w:szCs w:val="21"/>
                <w:highlight w:val="none"/>
                <w:lang w:val="en-US" w:eastAsia="zh-CN"/>
              </w:rPr>
              <w:t>5</w:t>
            </w:r>
            <w:r>
              <w:rPr>
                <w:rFonts w:hint="default" w:ascii="Times New Roman" w:hAnsi="Times New Roman" w:cs="Times New Roman"/>
                <w:color w:val="auto"/>
                <w:szCs w:val="21"/>
                <w:highlight w:val="none"/>
              </w:rPr>
              <w:t>]</w:t>
            </w:r>
            <w:r>
              <w:rPr>
                <w:rFonts w:hint="eastAsia" w:cs="Times New Roman"/>
                <w:color w:val="auto"/>
                <w:szCs w:val="21"/>
                <w:highlight w:val="none"/>
                <w:lang w:val="en-US" w:eastAsia="zh-CN"/>
              </w:rPr>
              <w:t>39</w:t>
            </w:r>
            <w:r>
              <w:rPr>
                <w:rFonts w:hint="default" w:ascii="Times New Roman" w:hAnsi="Times New Roman" w:cs="Times New Roman"/>
                <w:color w:val="auto"/>
                <w:szCs w:val="21"/>
                <w:highlight w:val="none"/>
              </w:rPr>
              <w:t>号），项目使用</w:t>
            </w:r>
            <w:r>
              <w:rPr>
                <w:rFonts w:hint="default" w:ascii="Times New Roman" w:hAnsi="Times New Roman" w:eastAsia="宋体" w:cs="Times New Roman"/>
                <w:color w:val="auto"/>
                <w:szCs w:val="21"/>
                <w:highlight w:val="none"/>
              </w:rPr>
              <w:t>原辅材料不涉及禁止危险化学品清单，项目原辅材料中</w:t>
            </w:r>
            <w:r>
              <w:rPr>
                <w:rFonts w:hint="eastAsia" w:cs="Times New Roman"/>
                <w:color w:val="auto"/>
                <w:szCs w:val="21"/>
                <w:highlight w:val="none"/>
                <w:lang w:val="en-US" w:eastAsia="zh-CN"/>
              </w:rPr>
              <w:t>甲醇、</w:t>
            </w:r>
            <w:r>
              <w:rPr>
                <w:rFonts w:hint="default" w:ascii="Times New Roman" w:hAnsi="Times New Roman" w:cs="Times New Roman"/>
                <w:color w:val="auto"/>
                <w:sz w:val="21"/>
                <w:szCs w:val="21"/>
                <w:highlight w:val="none"/>
              </w:rPr>
              <w:t>无水乙醇</w:t>
            </w:r>
            <w:r>
              <w:rPr>
                <w:rFonts w:hint="eastAsia" w:cs="Times New Roman"/>
                <w:color w:val="auto"/>
                <w:sz w:val="21"/>
                <w:szCs w:val="21"/>
                <w:highlight w:val="none"/>
                <w:lang w:eastAsia="zh-CN"/>
              </w:rPr>
              <w:t>、</w:t>
            </w:r>
            <w:r>
              <w:rPr>
                <w:rFonts w:hint="default" w:ascii="Times New Roman" w:hAnsi="Times New Roman" w:eastAsia="宋体" w:cs="Times New Roman"/>
                <w:color w:val="auto"/>
                <w:szCs w:val="21"/>
                <w:highlight w:val="none"/>
              </w:rPr>
              <w:t>丙酮</w:t>
            </w:r>
            <w:r>
              <w:rPr>
                <w:rFonts w:hint="default"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rPr>
              <w:t>苯酚</w:t>
            </w:r>
            <w:r>
              <w:rPr>
                <w:rFonts w:hint="default" w:ascii="Times New Roman" w:hAnsi="Times New Roman" w:eastAsia="宋体" w:cs="Times New Roman"/>
                <w:color w:val="auto"/>
                <w:szCs w:val="21"/>
                <w:highlight w:val="none"/>
                <w:lang w:eastAsia="zh-CN"/>
              </w:rPr>
              <w:t>、</w:t>
            </w:r>
            <w:r>
              <w:rPr>
                <w:rFonts w:hint="default" w:ascii="Times New Roman" w:hAnsi="Times New Roman" w:cs="Times New Roman"/>
                <w:color w:val="auto"/>
                <w:sz w:val="21"/>
                <w:szCs w:val="21"/>
                <w:highlight w:val="none"/>
              </w:rPr>
              <w:t>氢氧化钠</w:t>
            </w:r>
            <w:r>
              <w:rPr>
                <w:rFonts w:hint="eastAsia" w:cs="Times New Roman"/>
                <w:color w:val="auto"/>
                <w:sz w:val="21"/>
                <w:szCs w:val="21"/>
                <w:highlight w:val="none"/>
                <w:lang w:eastAsia="zh-CN"/>
              </w:rPr>
              <w:t>、</w:t>
            </w:r>
            <w:r>
              <w:rPr>
                <w:rFonts w:hint="default" w:ascii="Times New Roman" w:hAnsi="Times New Roman" w:eastAsia="宋体" w:cs="Times New Roman"/>
                <w:color w:val="auto"/>
                <w:szCs w:val="21"/>
                <w:highlight w:val="none"/>
              </w:rPr>
              <w:t>重铬酸钾</w:t>
            </w:r>
            <w:r>
              <w:rPr>
                <w:rFonts w:hint="default"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rPr>
              <w:t>硼酸</w:t>
            </w:r>
            <w:r>
              <w:rPr>
                <w:rFonts w:hint="default"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rPr>
              <w:t>亚硝酸钠</w:t>
            </w:r>
            <w:r>
              <w:rPr>
                <w:rFonts w:hint="default"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rPr>
              <w:t>亚硫酸氢钠</w:t>
            </w:r>
            <w:r>
              <w:rPr>
                <w:rFonts w:hint="default"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rPr>
              <w:t>硝酸钾</w:t>
            </w:r>
            <w:r>
              <w:rPr>
                <w:rFonts w:hint="eastAsia" w:cs="Times New Roman"/>
                <w:color w:val="auto"/>
                <w:szCs w:val="21"/>
                <w:highlight w:val="none"/>
                <w:lang w:eastAsia="zh-CN"/>
              </w:rPr>
              <w:t>、</w:t>
            </w:r>
            <w:r>
              <w:rPr>
                <w:rFonts w:hint="default" w:ascii="Times New Roman" w:hAnsi="Times New Roman" w:eastAsia="宋体" w:cs="Times New Roman"/>
                <w:color w:val="auto"/>
                <w:szCs w:val="21"/>
                <w:highlight w:val="none"/>
              </w:rPr>
              <w:t>氯化钡</w:t>
            </w:r>
            <w:r>
              <w:rPr>
                <w:rFonts w:hint="default"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rPr>
              <w:t>高锰酸钾</w:t>
            </w:r>
            <w:r>
              <w:rPr>
                <w:rFonts w:hint="default"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rPr>
              <w:t>盐酸</w:t>
            </w:r>
            <w:r>
              <w:rPr>
                <w:rFonts w:hint="default"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rPr>
              <w:t>磷酸</w:t>
            </w:r>
            <w:r>
              <w:rPr>
                <w:rFonts w:hint="default"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rPr>
              <w:t>硫酸</w:t>
            </w:r>
            <w:r>
              <w:rPr>
                <w:rFonts w:hint="default" w:ascii="Times New Roman" w:hAnsi="Times New Roman" w:eastAsia="宋体" w:cs="Times New Roman"/>
                <w:color w:val="auto"/>
                <w:szCs w:val="21"/>
                <w:highlight w:val="none"/>
                <w:lang w:eastAsia="zh-CN"/>
              </w:rPr>
              <w:t>、</w:t>
            </w:r>
            <w:r>
              <w:rPr>
                <w:rFonts w:hint="eastAsia" w:cs="Times New Roman"/>
                <w:color w:val="auto"/>
                <w:szCs w:val="21"/>
                <w:highlight w:val="none"/>
                <w:lang w:val="en-US" w:eastAsia="zh-CN"/>
              </w:rPr>
              <w:t>双氧水、</w:t>
            </w:r>
            <w:r>
              <w:rPr>
                <w:rFonts w:hint="default" w:ascii="Times New Roman" w:hAnsi="Times New Roman" w:eastAsia="宋体" w:cs="Times New Roman"/>
                <w:color w:val="auto"/>
                <w:szCs w:val="21"/>
                <w:highlight w:val="none"/>
              </w:rPr>
              <w:t>氨水</w:t>
            </w:r>
            <w:r>
              <w:rPr>
                <w:rFonts w:hint="default"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rPr>
              <w:t>硝酸</w:t>
            </w:r>
            <w:r>
              <w:rPr>
                <w:rFonts w:hint="eastAsia" w:cs="Times New Roman"/>
                <w:color w:val="auto"/>
                <w:szCs w:val="21"/>
                <w:highlight w:val="none"/>
                <w:lang w:eastAsia="zh-CN"/>
              </w:rPr>
              <w:t>、</w:t>
            </w:r>
            <w:r>
              <w:rPr>
                <w:rFonts w:hint="eastAsia" w:cs="Times New Roman"/>
                <w:color w:val="auto"/>
                <w:szCs w:val="21"/>
                <w:highlight w:val="none"/>
                <w:lang w:val="en-US" w:eastAsia="zh-CN"/>
              </w:rPr>
              <w:t>氩气、</w:t>
            </w:r>
            <w:r>
              <w:rPr>
                <w:rFonts w:hint="eastAsia" w:ascii="Times New Roman" w:hAnsi="Times New Roman" w:cs="Times New Roman"/>
                <w:color w:val="auto"/>
                <w:sz w:val="21"/>
                <w:szCs w:val="21"/>
                <w:highlight w:val="none"/>
                <w:lang w:val="en-US" w:eastAsia="zh-CN"/>
              </w:rPr>
              <w:t>乙炔</w:t>
            </w:r>
            <w:r>
              <w:rPr>
                <w:rFonts w:hint="eastAsia" w:cs="Times New Roman"/>
                <w:color w:val="auto"/>
                <w:sz w:val="21"/>
                <w:szCs w:val="21"/>
                <w:highlight w:val="none"/>
                <w:lang w:val="en-US" w:eastAsia="zh-CN"/>
              </w:rPr>
              <w:t>、</w:t>
            </w:r>
            <w:r>
              <w:rPr>
                <w:rFonts w:hint="eastAsia" w:cs="Times New Roman"/>
                <w:color w:val="auto"/>
                <w:szCs w:val="21"/>
                <w:highlight w:val="none"/>
                <w:lang w:val="en-US" w:eastAsia="zh-CN"/>
              </w:rPr>
              <w:t>氦气、氮气、甲苯、正己烷</w:t>
            </w:r>
            <w:r>
              <w:rPr>
                <w:rFonts w:hint="default" w:ascii="Times New Roman" w:hAnsi="Times New Roman" w:eastAsia="宋体" w:cs="Times New Roman"/>
                <w:color w:val="auto"/>
                <w:szCs w:val="21"/>
                <w:highlight w:val="none"/>
              </w:rPr>
              <w:t>均列入限制和控制危险化学品清单；根据中山市人民政府关</w:t>
            </w:r>
            <w:r>
              <w:rPr>
                <w:rFonts w:hint="default" w:ascii="Times New Roman" w:hAnsi="Times New Roman" w:cs="Times New Roman"/>
                <w:color w:val="auto"/>
                <w:szCs w:val="21"/>
                <w:highlight w:val="none"/>
              </w:rPr>
              <w:t>于印发《中山市危险化学品禁止、限制和控制目录（</w:t>
            </w:r>
            <w:r>
              <w:rPr>
                <w:rFonts w:hint="default" w:ascii="Times New Roman" w:hAnsi="Times New Roman" w:cs="Times New Roman"/>
                <w:color w:val="auto"/>
                <w:szCs w:val="21"/>
                <w:highlight w:val="none"/>
                <w:lang w:val="en-US" w:eastAsia="zh-CN"/>
              </w:rPr>
              <w:t>2025版</w:t>
            </w:r>
            <w:r>
              <w:rPr>
                <w:rFonts w:hint="default" w:ascii="Times New Roman" w:hAnsi="Times New Roman" w:cs="Times New Roman"/>
                <w:color w:val="auto"/>
                <w:szCs w:val="21"/>
                <w:highlight w:val="none"/>
              </w:rPr>
              <w:t>）》的通知（</w:t>
            </w:r>
            <w:r>
              <w:rPr>
                <w:rFonts w:hint="default" w:ascii="Times New Roman" w:hAnsi="Times New Roman" w:cs="Times New Roman"/>
                <w:color w:val="auto"/>
                <w:szCs w:val="21"/>
                <w:highlight w:val="none"/>
                <w:lang w:val="en-US" w:eastAsia="zh-CN"/>
              </w:rPr>
              <w:t>中</w:t>
            </w:r>
            <w:r>
              <w:rPr>
                <w:rFonts w:hint="default" w:ascii="Times New Roman" w:hAnsi="Times New Roman" w:cs="Times New Roman"/>
                <w:color w:val="auto"/>
                <w:szCs w:val="21"/>
                <w:highlight w:val="none"/>
              </w:rPr>
              <w:t>府规字[202</w:t>
            </w:r>
            <w:r>
              <w:rPr>
                <w:rFonts w:hint="default" w:ascii="Times New Roman" w:hAnsi="Times New Roman" w:cs="Times New Roman"/>
                <w:color w:val="auto"/>
                <w:szCs w:val="21"/>
                <w:highlight w:val="none"/>
                <w:lang w:val="en-US" w:eastAsia="zh-CN"/>
              </w:rPr>
              <w:t>5</w:t>
            </w:r>
            <w:r>
              <w:rPr>
                <w:rFonts w:hint="default" w:ascii="Times New Roman" w:hAnsi="Times New Roman" w:cs="Times New Roman"/>
                <w:color w:val="auto"/>
                <w:szCs w:val="21"/>
                <w:highlight w:val="none"/>
              </w:rPr>
              <w:t>]</w:t>
            </w:r>
            <w:r>
              <w:rPr>
                <w:rFonts w:hint="default" w:ascii="Times New Roman" w:hAnsi="Times New Roman" w:cs="Times New Roman"/>
                <w:color w:val="auto"/>
                <w:szCs w:val="21"/>
                <w:highlight w:val="none"/>
                <w:lang w:val="en-US" w:eastAsia="zh-CN"/>
              </w:rPr>
              <w:t>1</w:t>
            </w:r>
            <w:r>
              <w:rPr>
                <w:rFonts w:hint="default" w:ascii="Times New Roman" w:hAnsi="Times New Roman" w:cs="Times New Roman"/>
                <w:color w:val="auto"/>
                <w:szCs w:val="21"/>
                <w:highlight w:val="none"/>
              </w:rPr>
              <w:t>号、中府[202</w:t>
            </w:r>
            <w:r>
              <w:rPr>
                <w:rFonts w:hint="default" w:ascii="Times New Roman" w:hAnsi="Times New Roman" w:cs="Times New Roman"/>
                <w:color w:val="auto"/>
                <w:szCs w:val="21"/>
                <w:highlight w:val="none"/>
                <w:lang w:val="en-US" w:eastAsia="zh-CN"/>
              </w:rPr>
              <w:t>5</w:t>
            </w:r>
            <w:r>
              <w:rPr>
                <w:rFonts w:hint="default" w:ascii="Times New Roman" w:hAnsi="Times New Roman" w:cs="Times New Roman"/>
                <w:color w:val="auto"/>
                <w:szCs w:val="21"/>
                <w:highlight w:val="none"/>
              </w:rPr>
              <w:t>]</w:t>
            </w:r>
            <w:r>
              <w:rPr>
                <w:rFonts w:hint="default" w:ascii="Times New Roman" w:hAnsi="Times New Roman" w:cs="Times New Roman"/>
                <w:color w:val="auto"/>
                <w:szCs w:val="21"/>
                <w:highlight w:val="none"/>
                <w:lang w:val="en-US" w:eastAsia="zh-CN"/>
              </w:rPr>
              <w:t>39</w:t>
            </w:r>
            <w:r>
              <w:rPr>
                <w:rFonts w:hint="default" w:ascii="Times New Roman" w:hAnsi="Times New Roman" w:cs="Times New Roman"/>
                <w:color w:val="auto"/>
                <w:szCs w:val="21"/>
                <w:highlight w:val="none"/>
              </w:rPr>
              <w:t>号），“限制和控制部分”所列危险化学品在中心城区域以外允许生产、储存、使用、运输和经营，项目位于</w:t>
            </w:r>
            <w:r>
              <w:rPr>
                <w:rFonts w:hint="default" w:ascii="Times New Roman" w:hAnsi="Times New Roman" w:cs="Times New Roman"/>
                <w:color w:val="auto"/>
                <w:szCs w:val="21"/>
                <w:highlight w:val="none"/>
                <w:lang w:val="en-US" w:eastAsia="zh-CN"/>
              </w:rPr>
              <w:t>火炬开发区</w:t>
            </w:r>
            <w:r>
              <w:rPr>
                <w:rFonts w:hint="default" w:ascii="Times New Roman" w:hAnsi="Times New Roman" w:cs="Times New Roman"/>
                <w:color w:val="auto"/>
                <w:szCs w:val="21"/>
                <w:highlight w:val="none"/>
              </w:rPr>
              <w:t>，不属于中心城区域，允许生产、储存、使用、运输和经营。</w:t>
            </w:r>
          </w:p>
          <w:p w14:paraId="1C23C351">
            <w:pPr>
              <w:keepNext/>
              <w:keepLines/>
              <w:pageBreakBefore w:val="0"/>
              <w:widowControl w:val="0"/>
              <w:numPr>
                <w:ilvl w:val="0"/>
                <w:numId w:val="0"/>
              </w:numPr>
              <w:suppressLineNumbers w:val="0"/>
              <w:shd w:val="clear"/>
              <w:kinsoku/>
              <w:bidi w:val="0"/>
              <w:spacing w:before="0" w:beforeAutospacing="0" w:after="0" w:afterAutospacing="0" w:line="360" w:lineRule="auto"/>
              <w:ind w:left="420" w:leftChars="0" w:right="0" w:rightChars="0" w:hanging="420" w:firstLineChars="0"/>
              <w:jc w:val="center"/>
              <w:textAlignment w:val="baseline"/>
              <w:outlineLvl w:val="7"/>
              <w:rPr>
                <w:rFonts w:hint="default" w:ascii="Times New Roman" w:hAnsi="Times New Roman" w:eastAsia="宋体" w:cs="Times New Roman"/>
                <w:b/>
                <w:color w:val="auto"/>
                <w:kern w:val="2"/>
                <w:sz w:val="24"/>
                <w:szCs w:val="24"/>
                <w:highlight w:val="none"/>
                <w:lang w:val="en-US" w:eastAsia="zh-CN" w:bidi="ar-SA"/>
              </w:rPr>
            </w:pPr>
            <w:r>
              <w:rPr>
                <w:rFonts w:hint="default" w:ascii="Times New Roman" w:hAnsi="Times New Roman" w:eastAsia="宋体" w:cs="Times New Roman"/>
                <w:b/>
                <w:color w:val="auto"/>
                <w:kern w:val="2"/>
                <w:sz w:val="24"/>
                <w:szCs w:val="24"/>
                <w:highlight w:val="none"/>
                <w:lang w:val="en-US" w:eastAsia="zh-CN" w:bidi="ar-SA"/>
              </w:rPr>
              <w:t>表</w:t>
            </w:r>
            <w:r>
              <w:rPr>
                <w:rFonts w:hint="eastAsia" w:cs="Times New Roman"/>
                <w:b/>
                <w:color w:val="auto"/>
                <w:kern w:val="2"/>
                <w:sz w:val="24"/>
                <w:szCs w:val="24"/>
                <w:highlight w:val="none"/>
                <w:lang w:val="en-US" w:eastAsia="zh-CN" w:bidi="ar-SA"/>
              </w:rPr>
              <w:t>5-1</w:t>
            </w:r>
            <w:r>
              <w:rPr>
                <w:rFonts w:hint="default" w:ascii="Times New Roman" w:hAnsi="Times New Roman" w:eastAsia="宋体" w:cs="Times New Roman"/>
                <w:b/>
                <w:color w:val="auto"/>
                <w:kern w:val="2"/>
                <w:sz w:val="24"/>
                <w:szCs w:val="24"/>
                <w:highlight w:val="none"/>
                <w:lang w:val="en-US" w:eastAsia="zh-CN" w:bidi="ar-SA"/>
              </w:rPr>
              <w:t>项目主要原辅材料理化性质一览表</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7"/>
              <w:gridCol w:w="1045"/>
              <w:gridCol w:w="969"/>
              <w:gridCol w:w="899"/>
              <w:gridCol w:w="1004"/>
              <w:gridCol w:w="2715"/>
              <w:gridCol w:w="714"/>
              <w:gridCol w:w="637"/>
            </w:tblGrid>
            <w:tr w14:paraId="4E636A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723" w:hRule="atLeast"/>
                <w:jc w:val="center"/>
              </w:trPr>
              <w:tc>
                <w:tcPr>
                  <w:tcW w:w="253" w:type="pct"/>
                  <w:noWrap w:val="0"/>
                  <w:vAlign w:val="center"/>
                </w:tcPr>
                <w:p w14:paraId="4EF08915">
                  <w:pPr>
                    <w:autoSpaceDE w:val="0"/>
                    <w:autoSpaceDN w:val="0"/>
                    <w:adjustRightInd w:val="0"/>
                    <w:snapToGrid w:val="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序号</w:t>
                  </w:r>
                </w:p>
              </w:tc>
              <w:tc>
                <w:tcPr>
                  <w:tcW w:w="621" w:type="pct"/>
                  <w:noWrap w:val="0"/>
                  <w:vAlign w:val="center"/>
                </w:tcPr>
                <w:p w14:paraId="09F7E7B7">
                  <w:pPr>
                    <w:autoSpaceDE w:val="0"/>
                    <w:autoSpaceDN w:val="0"/>
                    <w:adjustRightInd w:val="0"/>
                    <w:snapToGrid w:val="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试剂名称</w:t>
                  </w:r>
                </w:p>
              </w:tc>
              <w:tc>
                <w:tcPr>
                  <w:tcW w:w="576" w:type="pct"/>
                  <w:noWrap w:val="0"/>
                  <w:vAlign w:val="center"/>
                </w:tcPr>
                <w:p w14:paraId="57F2F5E2">
                  <w:pPr>
                    <w:autoSpaceDE w:val="0"/>
                    <w:autoSpaceDN w:val="0"/>
                    <w:adjustRightInd w:val="0"/>
                    <w:snapToGrid w:val="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规格</w:t>
                  </w:r>
                </w:p>
              </w:tc>
              <w:tc>
                <w:tcPr>
                  <w:tcW w:w="534" w:type="pct"/>
                  <w:noWrap w:val="0"/>
                  <w:vAlign w:val="center"/>
                </w:tcPr>
                <w:p w14:paraId="3F8839C5">
                  <w:pPr>
                    <w:autoSpaceDE w:val="0"/>
                    <w:autoSpaceDN w:val="0"/>
                    <w:adjustRightInd w:val="0"/>
                    <w:snapToGrid w:val="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年用量</w:t>
                  </w:r>
                </w:p>
              </w:tc>
              <w:tc>
                <w:tcPr>
                  <w:tcW w:w="596" w:type="pct"/>
                  <w:noWrap w:val="0"/>
                  <w:vAlign w:val="center"/>
                </w:tcPr>
                <w:p w14:paraId="22E99763">
                  <w:pPr>
                    <w:autoSpaceDE w:val="0"/>
                    <w:autoSpaceDN w:val="0"/>
                    <w:adjustRightInd w:val="0"/>
                    <w:snapToGrid w:val="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最大贮存量</w:t>
                  </w:r>
                </w:p>
              </w:tc>
              <w:tc>
                <w:tcPr>
                  <w:tcW w:w="1614" w:type="pct"/>
                  <w:noWrap w:val="0"/>
                  <w:vAlign w:val="center"/>
                </w:tcPr>
                <w:p w14:paraId="167619CB">
                  <w:pPr>
                    <w:autoSpaceDE w:val="0"/>
                    <w:autoSpaceDN w:val="0"/>
                    <w:adjustRightInd w:val="0"/>
                    <w:snapToGrid w:val="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理化性质</w:t>
                  </w:r>
                </w:p>
              </w:tc>
              <w:tc>
                <w:tcPr>
                  <w:tcW w:w="425" w:type="pct"/>
                  <w:noWrap w:val="0"/>
                  <w:vAlign w:val="center"/>
                </w:tcPr>
                <w:p w14:paraId="143AD0ED">
                  <w:pPr>
                    <w:autoSpaceDE w:val="0"/>
                    <w:autoSpaceDN w:val="0"/>
                    <w:adjustRightInd w:val="0"/>
                    <w:snapToGrid w:val="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是否属于风险物质</w:t>
                  </w:r>
                </w:p>
              </w:tc>
              <w:tc>
                <w:tcPr>
                  <w:tcW w:w="378" w:type="pct"/>
                  <w:noWrap w:val="0"/>
                  <w:vAlign w:val="center"/>
                </w:tcPr>
                <w:p w14:paraId="28C37DCD">
                  <w:pPr>
                    <w:autoSpaceDE w:val="0"/>
                    <w:autoSpaceDN w:val="0"/>
                    <w:adjustRightInd w:val="0"/>
                    <w:snapToGrid w:val="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临界量/t</w:t>
                  </w:r>
                </w:p>
              </w:tc>
            </w:tr>
            <w:tr w14:paraId="44610D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723" w:hRule="atLeast"/>
                <w:jc w:val="center"/>
              </w:trPr>
              <w:tc>
                <w:tcPr>
                  <w:tcW w:w="253" w:type="pct"/>
                  <w:noWrap w:val="0"/>
                  <w:vAlign w:val="center"/>
                </w:tcPr>
                <w:p w14:paraId="1B6AE459">
                  <w:pPr>
                    <w:widowControl/>
                    <w:jc w:val="center"/>
                    <w:textAlignment w:val="center"/>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1</w:t>
                  </w:r>
                </w:p>
              </w:tc>
              <w:tc>
                <w:tcPr>
                  <w:tcW w:w="621" w:type="pct"/>
                  <w:noWrap w:val="0"/>
                  <w:vAlign w:val="center"/>
                </w:tcPr>
                <w:p w14:paraId="37337970">
                  <w:pPr>
                    <w:widowControl/>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乙二胺四乙酸</w:t>
                  </w:r>
                </w:p>
              </w:tc>
              <w:tc>
                <w:tcPr>
                  <w:tcW w:w="576" w:type="pct"/>
                  <w:noWrap w:val="0"/>
                  <w:vAlign w:val="center"/>
                </w:tcPr>
                <w:p w14:paraId="2CDDE165">
                  <w:pPr>
                    <w:jc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bCs/>
                      <w:color w:val="auto"/>
                      <w:sz w:val="21"/>
                      <w:szCs w:val="21"/>
                      <w:highlight w:val="none"/>
                    </w:rPr>
                    <w:t>500g</w:t>
                  </w:r>
                  <w:r>
                    <w:rPr>
                      <w:rFonts w:hint="eastAsia" w:cs="Times New Roman"/>
                      <w:bCs/>
                      <w:color w:val="auto"/>
                      <w:sz w:val="21"/>
                      <w:szCs w:val="21"/>
                      <w:highlight w:val="none"/>
                      <w:lang w:val="en-US" w:eastAsia="zh-CN"/>
                    </w:rPr>
                    <w:t>/瓶</w:t>
                  </w:r>
                </w:p>
              </w:tc>
              <w:tc>
                <w:tcPr>
                  <w:tcW w:w="534" w:type="pct"/>
                  <w:noWrap w:val="0"/>
                  <w:vAlign w:val="center"/>
                </w:tcPr>
                <w:p w14:paraId="1862862A">
                  <w:pPr>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5kg</w:t>
                  </w:r>
                </w:p>
              </w:tc>
              <w:tc>
                <w:tcPr>
                  <w:tcW w:w="596" w:type="pct"/>
                  <w:noWrap w:val="0"/>
                  <w:vAlign w:val="center"/>
                </w:tcPr>
                <w:p w14:paraId="2FE57A28">
                  <w:pPr>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5kg</w:t>
                  </w:r>
                </w:p>
              </w:tc>
              <w:tc>
                <w:tcPr>
                  <w:tcW w:w="1614" w:type="pct"/>
                  <w:noWrap w:val="0"/>
                  <w:vAlign w:val="center"/>
                </w:tcPr>
                <w:p w14:paraId="09AC599B">
                  <w:pPr>
                    <w:widowControl/>
                    <w:jc w:val="center"/>
                    <w:textAlignment w:val="center"/>
                    <w:rPr>
                      <w:rFonts w:hint="eastAsia" w:ascii="Times New Roman" w:hAnsi="Times New Roman" w:eastAsia="宋体" w:cs="Times New Roman"/>
                      <w:color w:val="auto"/>
                      <w:kern w:val="0"/>
                      <w:sz w:val="21"/>
                      <w:szCs w:val="21"/>
                      <w:highlight w:val="none"/>
                      <w:lang w:eastAsia="zh-CN" w:bidi="ar"/>
                    </w:rPr>
                  </w:pPr>
                  <w:r>
                    <w:rPr>
                      <w:rFonts w:hint="default" w:ascii="Times New Roman" w:hAnsi="Times New Roman" w:eastAsia="宋体" w:cs="Times New Roman"/>
                      <w:color w:val="auto"/>
                      <w:kern w:val="0"/>
                      <w:sz w:val="21"/>
                      <w:szCs w:val="21"/>
                      <w:highlight w:val="none"/>
                      <w:lang w:bidi="ar"/>
                    </w:rPr>
                    <w:t>乙二胺四乙酸为白色晶体状粉末，无臭、无味。它能溶于水，极难溶于乙醇，</w:t>
                  </w:r>
                  <w:r>
                    <w:rPr>
                      <w:rFonts w:hint="eastAsia" w:cs="Times New Roman"/>
                      <w:color w:val="auto"/>
                      <w:kern w:val="0"/>
                      <w:sz w:val="21"/>
                      <w:szCs w:val="21"/>
                      <w:highlight w:val="none"/>
                      <w:lang w:eastAsia="zh-CN" w:bidi="ar"/>
                    </w:rPr>
                    <w:t>是</w:t>
                  </w:r>
                  <w:r>
                    <w:rPr>
                      <w:rFonts w:hint="default" w:ascii="Times New Roman" w:hAnsi="Times New Roman" w:eastAsia="宋体" w:cs="Times New Roman"/>
                      <w:color w:val="auto"/>
                      <w:kern w:val="0"/>
                      <w:sz w:val="21"/>
                      <w:szCs w:val="21"/>
                      <w:highlight w:val="none"/>
                      <w:lang w:bidi="ar"/>
                    </w:rPr>
                    <w:t>一种重要的螯合剂，能螯合溶液中的金属离子。密度1.01g/</w:t>
                  </w:r>
                  <w:r>
                    <w:rPr>
                      <w:rFonts w:hint="eastAsia" w:cs="Times New Roman"/>
                      <w:color w:val="auto"/>
                      <w:kern w:val="0"/>
                      <w:sz w:val="21"/>
                      <w:szCs w:val="21"/>
                      <w:highlight w:val="none"/>
                      <w:lang w:val="en-US" w:eastAsia="zh-CN" w:bidi="ar"/>
                    </w:rPr>
                    <w:t>cm</w:t>
                  </w:r>
                  <w:r>
                    <w:rPr>
                      <w:rFonts w:hint="eastAsia" w:cs="Times New Roman"/>
                      <w:color w:val="auto"/>
                      <w:kern w:val="0"/>
                      <w:sz w:val="21"/>
                      <w:szCs w:val="21"/>
                      <w:highlight w:val="none"/>
                      <w:vertAlign w:val="superscript"/>
                      <w:lang w:val="en-US" w:eastAsia="zh-CN" w:bidi="ar"/>
                    </w:rPr>
                    <w:t>3</w:t>
                  </w:r>
                  <w:r>
                    <w:rPr>
                      <w:rFonts w:hint="default" w:ascii="Times New Roman" w:hAnsi="Times New Roman" w:eastAsia="宋体" w:cs="Times New Roman"/>
                      <w:color w:val="auto"/>
                      <w:kern w:val="0"/>
                      <w:sz w:val="21"/>
                      <w:szCs w:val="21"/>
                      <w:highlight w:val="none"/>
                      <w:lang w:bidi="ar"/>
                    </w:rPr>
                    <w:t>，熔点248℃，沸点&gt;100℃，闪点：325.2°C</w:t>
                  </w:r>
                  <w:r>
                    <w:rPr>
                      <w:rFonts w:hint="eastAsia" w:cs="Times New Roman"/>
                      <w:color w:val="auto"/>
                      <w:kern w:val="0"/>
                      <w:sz w:val="21"/>
                      <w:szCs w:val="21"/>
                      <w:highlight w:val="none"/>
                      <w:lang w:eastAsia="zh-CN" w:bidi="ar"/>
                    </w:rPr>
                    <w:t>。</w:t>
                  </w:r>
                </w:p>
              </w:tc>
              <w:tc>
                <w:tcPr>
                  <w:tcW w:w="425" w:type="pct"/>
                  <w:noWrap w:val="0"/>
                  <w:vAlign w:val="center"/>
                </w:tcPr>
                <w:p w14:paraId="05E2DC83">
                  <w:pPr>
                    <w:widowControl/>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kern w:val="0"/>
                      <w:sz w:val="21"/>
                      <w:szCs w:val="21"/>
                      <w:highlight w:val="none"/>
                      <w:lang w:bidi="ar"/>
                    </w:rPr>
                    <w:t>否</w:t>
                  </w:r>
                </w:p>
              </w:tc>
              <w:tc>
                <w:tcPr>
                  <w:tcW w:w="378" w:type="pct"/>
                  <w:noWrap w:val="0"/>
                  <w:vAlign w:val="center"/>
                </w:tcPr>
                <w:p w14:paraId="46C4F2BA">
                  <w:pPr>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lang w:val="en-US" w:eastAsia="zh-CN"/>
                    </w:rPr>
                    <w:t>/</w:t>
                  </w:r>
                </w:p>
              </w:tc>
            </w:tr>
            <w:tr w14:paraId="7977E2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723" w:hRule="atLeast"/>
                <w:jc w:val="center"/>
              </w:trPr>
              <w:tc>
                <w:tcPr>
                  <w:tcW w:w="253" w:type="pct"/>
                  <w:noWrap w:val="0"/>
                  <w:vAlign w:val="center"/>
                </w:tcPr>
                <w:p w14:paraId="2F49800B">
                  <w:pPr>
                    <w:widowControl/>
                    <w:jc w:val="center"/>
                    <w:textAlignment w:val="center"/>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2</w:t>
                  </w:r>
                </w:p>
              </w:tc>
              <w:tc>
                <w:tcPr>
                  <w:tcW w:w="621" w:type="pct"/>
                  <w:noWrap w:val="0"/>
                  <w:vAlign w:val="center"/>
                </w:tcPr>
                <w:p w14:paraId="7F514006">
                  <w:pPr>
                    <w:widowControl/>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溴百里香酚蓝（BTB）</w:t>
                  </w:r>
                </w:p>
              </w:tc>
              <w:tc>
                <w:tcPr>
                  <w:tcW w:w="576" w:type="pct"/>
                  <w:noWrap w:val="0"/>
                  <w:vAlign w:val="center"/>
                </w:tcPr>
                <w:p w14:paraId="3D50FD1C">
                  <w:pPr>
                    <w:tabs>
                      <w:tab w:val="left" w:pos="1088"/>
                    </w:tabs>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bCs/>
                      <w:color w:val="auto"/>
                      <w:sz w:val="21"/>
                      <w:szCs w:val="21"/>
                      <w:highlight w:val="none"/>
                    </w:rPr>
                    <w:t>95%</w:t>
                  </w:r>
                  <w:r>
                    <w:rPr>
                      <w:rFonts w:hint="eastAsia" w:cs="Times New Roman"/>
                      <w:bCs/>
                      <w:color w:val="auto"/>
                      <w:sz w:val="21"/>
                      <w:szCs w:val="21"/>
                      <w:highlight w:val="none"/>
                      <w:lang w:eastAsia="zh-CN"/>
                    </w:rPr>
                    <w:t>，</w:t>
                  </w:r>
                  <w:r>
                    <w:rPr>
                      <w:rFonts w:hint="eastAsia" w:cs="Times New Roman"/>
                      <w:bCs/>
                      <w:color w:val="auto"/>
                      <w:sz w:val="21"/>
                      <w:szCs w:val="21"/>
                      <w:highlight w:val="none"/>
                      <w:lang w:val="en-US" w:eastAsia="zh-CN"/>
                    </w:rPr>
                    <w:t>25g/瓶</w:t>
                  </w:r>
                </w:p>
              </w:tc>
              <w:tc>
                <w:tcPr>
                  <w:tcW w:w="534" w:type="pct"/>
                  <w:noWrap w:val="0"/>
                  <w:vAlign w:val="center"/>
                </w:tcPr>
                <w:p w14:paraId="5635C73B">
                  <w:pPr>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0.05kg</w:t>
                  </w:r>
                </w:p>
              </w:tc>
              <w:tc>
                <w:tcPr>
                  <w:tcW w:w="596" w:type="pct"/>
                  <w:noWrap w:val="0"/>
                  <w:vAlign w:val="center"/>
                </w:tcPr>
                <w:p w14:paraId="2C025275">
                  <w:pPr>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0.0</w:t>
                  </w:r>
                  <w:r>
                    <w:rPr>
                      <w:rFonts w:hint="eastAsia" w:cs="Times New Roman"/>
                      <w:color w:val="auto"/>
                      <w:sz w:val="21"/>
                      <w:szCs w:val="21"/>
                      <w:highlight w:val="none"/>
                      <w:lang w:val="en-US" w:eastAsia="zh-CN"/>
                    </w:rPr>
                    <w:t>475</w:t>
                  </w:r>
                  <w:r>
                    <w:rPr>
                      <w:rFonts w:hint="default" w:ascii="Times New Roman" w:hAnsi="Times New Roman" w:cs="Times New Roman"/>
                      <w:color w:val="auto"/>
                      <w:sz w:val="21"/>
                      <w:szCs w:val="21"/>
                      <w:highlight w:val="none"/>
                    </w:rPr>
                    <w:t>kg</w:t>
                  </w:r>
                </w:p>
              </w:tc>
              <w:tc>
                <w:tcPr>
                  <w:tcW w:w="1614" w:type="pct"/>
                  <w:noWrap w:val="0"/>
                  <w:vAlign w:val="center"/>
                </w:tcPr>
                <w:p w14:paraId="1747EAA8">
                  <w:pPr>
                    <w:widowControl/>
                    <w:jc w:val="center"/>
                    <w:textAlignment w:val="center"/>
                    <w:rPr>
                      <w:rFonts w:hint="default" w:ascii="Times New Roman" w:hAnsi="Times New Roman" w:eastAsia="宋体" w:cs="Times New Roman"/>
                      <w:color w:val="auto"/>
                      <w:kern w:val="0"/>
                      <w:sz w:val="21"/>
                      <w:szCs w:val="21"/>
                      <w:highlight w:val="none"/>
                      <w:lang w:eastAsia="zh-CN" w:bidi="ar"/>
                    </w:rPr>
                  </w:pPr>
                  <w:r>
                    <w:rPr>
                      <w:rFonts w:hint="default" w:ascii="Times New Roman" w:hAnsi="Times New Roman" w:eastAsia="宋体" w:cs="Times New Roman"/>
                      <w:color w:val="auto"/>
                      <w:kern w:val="0"/>
                      <w:sz w:val="21"/>
                      <w:szCs w:val="21"/>
                      <w:highlight w:val="none"/>
                      <w:lang w:bidi="ar"/>
                    </w:rPr>
                    <w:t>溴百里酚蓝呈无色或浅玫瑰色结晶性粉末状，</w:t>
                  </w:r>
                  <w:r>
                    <w:rPr>
                      <w:rFonts w:hint="eastAsia" w:cs="Times New Roman"/>
                      <w:color w:val="auto"/>
                      <w:kern w:val="0"/>
                      <w:sz w:val="21"/>
                      <w:szCs w:val="21"/>
                      <w:highlight w:val="none"/>
                      <w:lang w:eastAsia="zh-CN" w:bidi="ar"/>
                    </w:rPr>
                    <w:t>有</w:t>
                  </w:r>
                  <w:r>
                    <w:rPr>
                      <w:rFonts w:hint="eastAsia" w:cs="Times New Roman"/>
                      <w:color w:val="auto"/>
                      <w:kern w:val="0"/>
                      <w:sz w:val="21"/>
                      <w:szCs w:val="21"/>
                      <w:highlight w:val="none"/>
                      <w:lang w:val="en-US" w:eastAsia="zh-CN" w:bidi="ar"/>
                    </w:rPr>
                    <w:t>特殊气味，浓度为95%，</w:t>
                  </w:r>
                  <w:r>
                    <w:rPr>
                      <w:rFonts w:hint="default" w:ascii="Times New Roman" w:hAnsi="Times New Roman" w:eastAsia="宋体" w:cs="Times New Roman"/>
                      <w:color w:val="auto"/>
                      <w:kern w:val="0"/>
                      <w:sz w:val="21"/>
                      <w:szCs w:val="21"/>
                      <w:highlight w:val="none"/>
                      <w:lang w:bidi="ar"/>
                    </w:rPr>
                    <w:t>闪点：</w:t>
                  </w:r>
                  <w:r>
                    <w:rPr>
                      <w:rFonts w:hint="default" w:ascii="Times New Roman" w:hAnsi="Times New Roman" w:eastAsia="宋体" w:cs="Times New Roman"/>
                      <w:color w:val="auto"/>
                      <w:kern w:val="0"/>
                      <w:sz w:val="21"/>
                      <w:szCs w:val="21"/>
                      <w:highlight w:val="none"/>
                      <w:lang w:val="en-US" w:eastAsia="zh-CN" w:bidi="ar"/>
                    </w:rPr>
                    <w:t>38</w:t>
                  </w:r>
                  <w:r>
                    <w:rPr>
                      <w:rFonts w:hint="default" w:ascii="Times New Roman" w:hAnsi="Times New Roman" w:eastAsia="宋体" w:cs="Times New Roman"/>
                      <w:color w:val="auto"/>
                      <w:kern w:val="0"/>
                      <w:sz w:val="21"/>
                      <w:szCs w:val="21"/>
                      <w:highlight w:val="none"/>
                      <w:lang w:bidi="ar"/>
                    </w:rPr>
                    <w:t>°C</w:t>
                  </w:r>
                  <w:r>
                    <w:rPr>
                      <w:rFonts w:hint="default" w:ascii="Times New Roman" w:hAnsi="Times New Roman" w:eastAsia="宋体" w:cs="Times New Roman"/>
                      <w:color w:val="auto"/>
                      <w:kern w:val="0"/>
                      <w:sz w:val="21"/>
                      <w:szCs w:val="21"/>
                      <w:highlight w:val="none"/>
                      <w:lang w:eastAsia="zh-CN" w:bidi="ar"/>
                    </w:rPr>
                    <w:t>，</w:t>
                  </w:r>
                  <w:r>
                    <w:rPr>
                      <w:rFonts w:hint="default" w:ascii="Times New Roman" w:hAnsi="Times New Roman" w:eastAsia="宋体" w:cs="Times New Roman"/>
                      <w:color w:val="auto"/>
                      <w:kern w:val="0"/>
                      <w:sz w:val="21"/>
                      <w:szCs w:val="21"/>
                      <w:highlight w:val="none"/>
                      <w:lang w:bidi="ar"/>
                    </w:rPr>
                    <w:t>沸点</w:t>
                  </w:r>
                  <w:r>
                    <w:rPr>
                      <w:rFonts w:hint="default" w:ascii="Times New Roman" w:hAnsi="Times New Roman" w:eastAsia="宋体" w:cs="Times New Roman"/>
                      <w:color w:val="auto"/>
                      <w:kern w:val="0"/>
                      <w:sz w:val="21"/>
                      <w:szCs w:val="21"/>
                      <w:highlight w:val="none"/>
                      <w:lang w:val="en-US" w:eastAsia="zh-CN" w:bidi="ar"/>
                    </w:rPr>
                    <w:t>614</w:t>
                  </w:r>
                  <w:r>
                    <w:rPr>
                      <w:rFonts w:hint="default" w:ascii="Times New Roman" w:hAnsi="Times New Roman" w:eastAsia="宋体" w:cs="Times New Roman"/>
                      <w:color w:val="auto"/>
                      <w:kern w:val="0"/>
                      <w:sz w:val="21"/>
                      <w:szCs w:val="21"/>
                      <w:highlight w:val="none"/>
                      <w:lang w:bidi="ar"/>
                    </w:rPr>
                    <w:t>℃</w:t>
                  </w:r>
                  <w:r>
                    <w:rPr>
                      <w:rFonts w:hint="default" w:ascii="Times New Roman" w:hAnsi="Times New Roman" w:eastAsia="宋体" w:cs="Times New Roman"/>
                      <w:color w:val="auto"/>
                      <w:kern w:val="0"/>
                      <w:sz w:val="21"/>
                      <w:szCs w:val="21"/>
                      <w:highlight w:val="none"/>
                      <w:lang w:eastAsia="zh-CN" w:bidi="ar"/>
                    </w:rPr>
                    <w:t>，</w:t>
                  </w:r>
                  <w:r>
                    <w:rPr>
                      <w:rFonts w:hint="default" w:ascii="Times New Roman" w:hAnsi="Times New Roman" w:eastAsia="宋体" w:cs="Times New Roman"/>
                      <w:color w:val="auto"/>
                      <w:kern w:val="0"/>
                      <w:sz w:val="21"/>
                      <w:szCs w:val="21"/>
                      <w:highlight w:val="none"/>
                      <w:lang w:bidi="ar"/>
                    </w:rPr>
                    <w:t>熔点</w:t>
                  </w:r>
                  <w:r>
                    <w:rPr>
                      <w:rFonts w:hint="default" w:ascii="Times New Roman" w:hAnsi="Times New Roman" w:eastAsia="宋体" w:cs="Times New Roman"/>
                      <w:color w:val="auto"/>
                      <w:kern w:val="0"/>
                      <w:sz w:val="21"/>
                      <w:szCs w:val="21"/>
                      <w:highlight w:val="none"/>
                      <w:lang w:val="en-US" w:eastAsia="zh-CN" w:bidi="ar"/>
                    </w:rPr>
                    <w:t>200</w:t>
                  </w:r>
                  <w:r>
                    <w:rPr>
                      <w:rFonts w:hint="default" w:ascii="Times New Roman" w:hAnsi="Times New Roman" w:eastAsia="宋体" w:cs="Times New Roman"/>
                      <w:color w:val="auto"/>
                      <w:kern w:val="0"/>
                      <w:sz w:val="21"/>
                      <w:szCs w:val="21"/>
                      <w:highlight w:val="none"/>
                      <w:lang w:bidi="ar"/>
                    </w:rPr>
                    <w:t>℃，相对密度0.7g/cm³</w:t>
                  </w:r>
                  <w:r>
                    <w:rPr>
                      <w:rFonts w:hint="eastAsia" w:cs="Times New Roman"/>
                      <w:color w:val="auto"/>
                      <w:kern w:val="0"/>
                      <w:sz w:val="21"/>
                      <w:szCs w:val="21"/>
                      <w:highlight w:val="none"/>
                      <w:lang w:eastAsia="zh-CN" w:bidi="ar"/>
                    </w:rPr>
                    <w:t>，</w:t>
                  </w:r>
                  <w:r>
                    <w:rPr>
                      <w:rFonts w:hint="default" w:ascii="Times New Roman" w:hAnsi="Times New Roman" w:eastAsia="宋体" w:cs="Times New Roman"/>
                      <w:color w:val="auto"/>
                      <w:kern w:val="0"/>
                      <w:sz w:val="21"/>
                      <w:szCs w:val="21"/>
                      <w:highlight w:val="none"/>
                      <w:lang w:bidi="ar"/>
                    </w:rPr>
                    <w:t>易溶于醇、稀碱溶液和氨水中，微溶于水。</w:t>
                  </w:r>
                </w:p>
              </w:tc>
              <w:tc>
                <w:tcPr>
                  <w:tcW w:w="425" w:type="pct"/>
                  <w:noWrap w:val="0"/>
                  <w:vAlign w:val="center"/>
                </w:tcPr>
                <w:p w14:paraId="7F7EE412">
                  <w:pPr>
                    <w:widowControl/>
                    <w:jc w:val="center"/>
                    <w:textAlignment w:val="center"/>
                    <w:rPr>
                      <w:rFonts w:hint="default" w:ascii="Times New Roman" w:hAnsi="Times New Roman" w:cs="Times New Roman"/>
                      <w:color w:val="auto"/>
                      <w:kern w:val="0"/>
                      <w:sz w:val="21"/>
                      <w:szCs w:val="21"/>
                      <w:highlight w:val="none"/>
                      <w:lang w:bidi="ar"/>
                    </w:rPr>
                  </w:pPr>
                  <w:r>
                    <w:rPr>
                      <w:rFonts w:hint="eastAsia" w:cs="Times New Roman"/>
                      <w:color w:val="auto"/>
                      <w:kern w:val="0"/>
                      <w:sz w:val="21"/>
                      <w:szCs w:val="21"/>
                      <w:highlight w:val="none"/>
                      <w:lang w:val="en-US" w:eastAsia="zh-CN" w:bidi="ar"/>
                    </w:rPr>
                    <w:t>否</w:t>
                  </w:r>
                </w:p>
              </w:tc>
              <w:tc>
                <w:tcPr>
                  <w:tcW w:w="378" w:type="pct"/>
                  <w:noWrap w:val="0"/>
                  <w:vAlign w:val="center"/>
                </w:tcPr>
                <w:p w14:paraId="3D0C6248">
                  <w:pPr>
                    <w:jc w:val="center"/>
                    <w:rPr>
                      <w:rFonts w:hint="default" w:ascii="Times New Roman" w:hAnsi="Times New Roman" w:eastAsia="宋体" w:cs="Times New Roman"/>
                      <w:b/>
                      <w:bCs/>
                      <w:color w:val="auto"/>
                      <w:sz w:val="21"/>
                      <w:szCs w:val="21"/>
                      <w:highlight w:val="none"/>
                      <w:lang w:val="en-US" w:eastAsia="zh-CN"/>
                    </w:rPr>
                  </w:pPr>
                  <w:r>
                    <w:rPr>
                      <w:rFonts w:hint="eastAsia" w:cs="Times New Roman"/>
                      <w:b w:val="0"/>
                      <w:bCs w:val="0"/>
                      <w:color w:val="auto"/>
                      <w:sz w:val="21"/>
                      <w:szCs w:val="21"/>
                      <w:highlight w:val="none"/>
                      <w:lang w:val="en-US" w:eastAsia="zh-CN"/>
                    </w:rPr>
                    <w:t>/</w:t>
                  </w:r>
                </w:p>
              </w:tc>
            </w:tr>
            <w:tr w14:paraId="2E4308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494" w:hRule="atLeast"/>
                <w:jc w:val="center"/>
              </w:trPr>
              <w:tc>
                <w:tcPr>
                  <w:tcW w:w="253" w:type="pct"/>
                  <w:noWrap w:val="0"/>
                  <w:vAlign w:val="center"/>
                </w:tcPr>
                <w:p w14:paraId="2B62E7B7">
                  <w:pPr>
                    <w:widowControl/>
                    <w:jc w:val="center"/>
                    <w:textAlignment w:val="center"/>
                    <w:rPr>
                      <w:rFonts w:hint="default" w:ascii="Times New Roman" w:hAnsi="Times New Roman"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3</w:t>
                  </w:r>
                </w:p>
              </w:tc>
              <w:tc>
                <w:tcPr>
                  <w:tcW w:w="621" w:type="pct"/>
                  <w:noWrap w:val="0"/>
                  <w:vAlign w:val="center"/>
                </w:tcPr>
                <w:p w14:paraId="2F595638">
                  <w:pPr>
                    <w:widowControl/>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酚酞</w:t>
                  </w:r>
                </w:p>
              </w:tc>
              <w:tc>
                <w:tcPr>
                  <w:tcW w:w="576" w:type="pct"/>
                  <w:noWrap w:val="0"/>
                  <w:vAlign w:val="center"/>
                </w:tcPr>
                <w:p w14:paraId="124B4A15">
                  <w:pPr>
                    <w:tabs>
                      <w:tab w:val="left" w:pos="1088"/>
                    </w:tabs>
                    <w:jc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bCs/>
                      <w:color w:val="auto"/>
                      <w:sz w:val="21"/>
                      <w:szCs w:val="21"/>
                      <w:highlight w:val="none"/>
                    </w:rPr>
                    <w:t>科欧，25g</w:t>
                  </w:r>
                  <w:r>
                    <w:rPr>
                      <w:rFonts w:hint="eastAsia" w:cs="Times New Roman"/>
                      <w:bCs/>
                      <w:color w:val="auto"/>
                      <w:sz w:val="21"/>
                      <w:szCs w:val="21"/>
                      <w:highlight w:val="none"/>
                      <w:lang w:val="en-US" w:eastAsia="zh-CN"/>
                    </w:rPr>
                    <w:t>/瓶</w:t>
                  </w:r>
                </w:p>
              </w:tc>
              <w:tc>
                <w:tcPr>
                  <w:tcW w:w="534" w:type="pct"/>
                  <w:noWrap w:val="0"/>
                  <w:vAlign w:val="center"/>
                </w:tcPr>
                <w:p w14:paraId="4A2787EB">
                  <w:pPr>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0.025kg</w:t>
                  </w:r>
                </w:p>
              </w:tc>
              <w:tc>
                <w:tcPr>
                  <w:tcW w:w="596" w:type="pct"/>
                  <w:noWrap w:val="0"/>
                  <w:vAlign w:val="center"/>
                </w:tcPr>
                <w:p w14:paraId="1A60B71C">
                  <w:pPr>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0.025kg</w:t>
                  </w:r>
                </w:p>
              </w:tc>
              <w:tc>
                <w:tcPr>
                  <w:tcW w:w="1614" w:type="pct"/>
                  <w:noWrap w:val="0"/>
                  <w:vAlign w:val="center"/>
                </w:tcPr>
                <w:p w14:paraId="5C259409">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bidi="ar"/>
                    </w:rPr>
                    <w:t>酚酞白色至微黄色结晶性粉末，</w:t>
                  </w:r>
                  <w:r>
                    <w:rPr>
                      <w:rFonts w:hint="eastAsia" w:cs="Times New Roman"/>
                      <w:color w:val="auto"/>
                      <w:kern w:val="0"/>
                      <w:sz w:val="21"/>
                      <w:szCs w:val="21"/>
                      <w:highlight w:val="none"/>
                      <w:lang w:val="en-US" w:eastAsia="zh-CN" w:bidi="ar"/>
                    </w:rPr>
                    <w:t>无气味</w:t>
                  </w:r>
                  <w:r>
                    <w:rPr>
                      <w:rFonts w:hint="default" w:ascii="Times New Roman" w:hAnsi="Times New Roman" w:eastAsia="宋体" w:cs="Times New Roman"/>
                      <w:color w:val="auto"/>
                      <w:kern w:val="0"/>
                      <w:sz w:val="21"/>
                      <w:szCs w:val="21"/>
                      <w:highlight w:val="none"/>
                      <w:lang w:bidi="ar"/>
                    </w:rPr>
                    <w:t>几乎不溶于水，密度1.323g/cm</w:t>
                  </w:r>
                  <w:r>
                    <w:rPr>
                      <w:rFonts w:hint="default" w:ascii="Times New Roman" w:hAnsi="Times New Roman" w:eastAsia="宋体" w:cs="Times New Roman"/>
                      <w:color w:val="auto"/>
                      <w:kern w:val="0"/>
                      <w:sz w:val="21"/>
                      <w:szCs w:val="21"/>
                      <w:highlight w:val="none"/>
                      <w:vertAlign w:val="superscript"/>
                      <w:lang w:bidi="ar"/>
                    </w:rPr>
                    <w:t>3</w:t>
                  </w:r>
                  <w:r>
                    <w:rPr>
                      <w:rFonts w:hint="default" w:ascii="Times New Roman" w:hAnsi="Times New Roman" w:eastAsia="宋体" w:cs="Times New Roman"/>
                      <w:color w:val="auto"/>
                      <w:kern w:val="0"/>
                      <w:sz w:val="21"/>
                      <w:szCs w:val="21"/>
                      <w:highlight w:val="none"/>
                      <w:lang w:bidi="ar"/>
                    </w:rPr>
                    <w:t>，沸点548.7℃，闪点299.7℃，其特性是在酸性和中性溶液中为无色，在碱性溶液中为紫红色。</w:t>
                  </w:r>
                </w:p>
              </w:tc>
              <w:tc>
                <w:tcPr>
                  <w:tcW w:w="425" w:type="pct"/>
                  <w:noWrap w:val="0"/>
                  <w:vAlign w:val="center"/>
                </w:tcPr>
                <w:p w14:paraId="5B40595F">
                  <w:pPr>
                    <w:widowControl/>
                    <w:jc w:val="center"/>
                    <w:textAlignment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kern w:val="0"/>
                      <w:sz w:val="21"/>
                      <w:szCs w:val="21"/>
                      <w:highlight w:val="none"/>
                      <w:lang w:bidi="ar"/>
                    </w:rPr>
                    <w:t>否</w:t>
                  </w:r>
                </w:p>
              </w:tc>
              <w:tc>
                <w:tcPr>
                  <w:tcW w:w="378" w:type="pct"/>
                  <w:noWrap w:val="0"/>
                  <w:vAlign w:val="center"/>
                </w:tcPr>
                <w:p w14:paraId="7E29F3C0">
                  <w:pPr>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w:t>
                  </w:r>
                </w:p>
              </w:tc>
            </w:tr>
            <w:tr w14:paraId="75333A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253" w:type="pct"/>
                  <w:noWrap w:val="0"/>
                  <w:vAlign w:val="center"/>
                </w:tcPr>
                <w:p w14:paraId="5B5C7BC3">
                  <w:pPr>
                    <w:widowControl/>
                    <w:jc w:val="center"/>
                    <w:textAlignment w:val="center"/>
                    <w:rPr>
                      <w:rFonts w:hint="default" w:ascii="Times New Roman" w:hAnsi="Times New Roman"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4</w:t>
                  </w:r>
                </w:p>
              </w:tc>
              <w:tc>
                <w:tcPr>
                  <w:tcW w:w="621" w:type="pct"/>
                  <w:noWrap w:val="0"/>
                  <w:vAlign w:val="center"/>
                </w:tcPr>
                <w:p w14:paraId="27B2BE4B">
                  <w:pPr>
                    <w:widowControl/>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甲基红</w:t>
                  </w:r>
                </w:p>
              </w:tc>
              <w:tc>
                <w:tcPr>
                  <w:tcW w:w="576" w:type="pct"/>
                  <w:noWrap w:val="0"/>
                  <w:vAlign w:val="center"/>
                </w:tcPr>
                <w:p w14:paraId="1D949584">
                  <w:pPr>
                    <w:tabs>
                      <w:tab w:val="left" w:pos="1088"/>
                    </w:tabs>
                    <w:jc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bCs/>
                      <w:color w:val="auto"/>
                      <w:sz w:val="21"/>
                      <w:szCs w:val="21"/>
                      <w:highlight w:val="none"/>
                    </w:rPr>
                    <w:t>25g</w:t>
                  </w:r>
                  <w:r>
                    <w:rPr>
                      <w:rFonts w:hint="eastAsia" w:cs="Times New Roman"/>
                      <w:bCs/>
                      <w:color w:val="auto"/>
                      <w:sz w:val="21"/>
                      <w:szCs w:val="21"/>
                      <w:highlight w:val="none"/>
                      <w:lang w:val="en-US" w:eastAsia="zh-CN"/>
                    </w:rPr>
                    <w:t>/瓶</w:t>
                  </w:r>
                </w:p>
              </w:tc>
              <w:tc>
                <w:tcPr>
                  <w:tcW w:w="534" w:type="pct"/>
                  <w:noWrap w:val="0"/>
                  <w:vAlign w:val="center"/>
                </w:tcPr>
                <w:p w14:paraId="4E88E962">
                  <w:pPr>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0.025kg</w:t>
                  </w:r>
                </w:p>
              </w:tc>
              <w:tc>
                <w:tcPr>
                  <w:tcW w:w="596" w:type="pct"/>
                  <w:noWrap w:val="0"/>
                  <w:vAlign w:val="center"/>
                </w:tcPr>
                <w:p w14:paraId="4952DAE5">
                  <w:pPr>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0.025kg</w:t>
                  </w:r>
                </w:p>
              </w:tc>
              <w:tc>
                <w:tcPr>
                  <w:tcW w:w="1614" w:type="pct"/>
                  <w:noWrap w:val="0"/>
                  <w:vAlign w:val="center"/>
                </w:tcPr>
                <w:p w14:paraId="3A4FC6A1">
                  <w:pPr>
                    <w:widowControl/>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有光泽的紫色结晶或红棕色粉末。</w:t>
                  </w:r>
                  <w:r>
                    <w:rPr>
                      <w:rFonts w:hint="eastAsia" w:cs="Times New Roman"/>
                      <w:color w:val="auto"/>
                      <w:kern w:val="0"/>
                      <w:sz w:val="21"/>
                      <w:szCs w:val="21"/>
                      <w:highlight w:val="none"/>
                      <w:lang w:val="en-US" w:eastAsia="zh-CN" w:bidi="ar"/>
                    </w:rPr>
                    <w:t>密度为0.839g/cm³，沸点为479.5℃，</w:t>
                  </w:r>
                  <w:r>
                    <w:rPr>
                      <w:rFonts w:hint="default" w:ascii="Times New Roman" w:hAnsi="Times New Roman" w:eastAsia="宋体" w:cs="Times New Roman"/>
                      <w:color w:val="auto"/>
                      <w:kern w:val="0"/>
                      <w:sz w:val="21"/>
                      <w:szCs w:val="21"/>
                      <w:highlight w:val="none"/>
                      <w:lang w:bidi="ar"/>
                    </w:rPr>
                    <w:t>熔点180-182℃</w:t>
                  </w:r>
                  <w:r>
                    <w:rPr>
                      <w:rFonts w:hint="eastAsia" w:cs="Times New Roman"/>
                      <w:color w:val="auto"/>
                      <w:kern w:val="0"/>
                      <w:sz w:val="21"/>
                      <w:szCs w:val="21"/>
                      <w:highlight w:val="none"/>
                      <w:lang w:eastAsia="zh-CN" w:bidi="ar"/>
                    </w:rPr>
                    <w:t>，</w:t>
                  </w:r>
                  <w:r>
                    <w:rPr>
                      <w:rFonts w:hint="eastAsia" w:cs="Times New Roman"/>
                      <w:color w:val="auto"/>
                      <w:kern w:val="0"/>
                      <w:sz w:val="21"/>
                      <w:szCs w:val="21"/>
                      <w:highlight w:val="none"/>
                      <w:lang w:val="en-US" w:eastAsia="zh-CN" w:bidi="ar"/>
                    </w:rPr>
                    <w:t>无味</w:t>
                  </w:r>
                  <w:r>
                    <w:rPr>
                      <w:rFonts w:hint="default" w:ascii="Times New Roman" w:hAnsi="Times New Roman" w:eastAsia="宋体" w:cs="Times New Roman"/>
                      <w:color w:val="auto"/>
                      <w:kern w:val="0"/>
                      <w:sz w:val="21"/>
                      <w:szCs w:val="21"/>
                      <w:highlight w:val="none"/>
                      <w:lang w:bidi="ar"/>
                    </w:rPr>
                    <w:t>。易溶于乙醇、冰醋酸，几乎不溶于水，闪点11℃，酸碱指示剂</w:t>
                  </w:r>
                </w:p>
              </w:tc>
              <w:tc>
                <w:tcPr>
                  <w:tcW w:w="425" w:type="pct"/>
                  <w:noWrap w:val="0"/>
                  <w:vAlign w:val="center"/>
                </w:tcPr>
                <w:p w14:paraId="321B8CD5">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否</w:t>
                  </w:r>
                </w:p>
              </w:tc>
              <w:tc>
                <w:tcPr>
                  <w:tcW w:w="378" w:type="pct"/>
                  <w:noWrap w:val="0"/>
                  <w:vAlign w:val="center"/>
                </w:tcPr>
                <w:p w14:paraId="5C038123">
                  <w:pPr>
                    <w:jc w:val="center"/>
                    <w:rPr>
                      <w:rFonts w:hint="default" w:ascii="Times New Roman" w:hAnsi="Times New Roman" w:cs="Times New Roman"/>
                      <w:b w:val="0"/>
                      <w:bCs w:val="0"/>
                      <w:color w:val="auto"/>
                      <w:sz w:val="21"/>
                      <w:szCs w:val="21"/>
                      <w:highlight w:val="none"/>
                    </w:rPr>
                  </w:pPr>
                  <w:r>
                    <w:rPr>
                      <w:rFonts w:hint="eastAsia" w:cs="Times New Roman"/>
                      <w:b w:val="0"/>
                      <w:bCs w:val="0"/>
                      <w:color w:val="auto"/>
                      <w:sz w:val="21"/>
                      <w:szCs w:val="21"/>
                      <w:highlight w:val="none"/>
                      <w:lang w:val="en-US" w:eastAsia="zh-CN"/>
                    </w:rPr>
                    <w:t>/</w:t>
                  </w:r>
                </w:p>
              </w:tc>
            </w:tr>
            <w:tr w14:paraId="7ACB10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430" w:hRule="atLeast"/>
                <w:jc w:val="center"/>
              </w:trPr>
              <w:tc>
                <w:tcPr>
                  <w:tcW w:w="253" w:type="pct"/>
                  <w:noWrap w:val="0"/>
                  <w:vAlign w:val="center"/>
                </w:tcPr>
                <w:p w14:paraId="089531AC">
                  <w:pPr>
                    <w:widowControl/>
                    <w:jc w:val="center"/>
                    <w:textAlignment w:val="center"/>
                    <w:rPr>
                      <w:rFonts w:hint="default" w:ascii="Times New Roman" w:hAnsi="Times New Roman"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5</w:t>
                  </w:r>
                </w:p>
              </w:tc>
              <w:tc>
                <w:tcPr>
                  <w:tcW w:w="621" w:type="pct"/>
                  <w:noWrap w:val="0"/>
                  <w:vAlign w:val="center"/>
                </w:tcPr>
                <w:p w14:paraId="34EF2FE2">
                  <w:pPr>
                    <w:widowControl/>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百里香酚蓝</w:t>
                  </w:r>
                </w:p>
              </w:tc>
              <w:tc>
                <w:tcPr>
                  <w:tcW w:w="576" w:type="pct"/>
                  <w:noWrap w:val="0"/>
                  <w:vAlign w:val="center"/>
                </w:tcPr>
                <w:p w14:paraId="69F5F6A5">
                  <w:pPr>
                    <w:tabs>
                      <w:tab w:val="left" w:pos="1088"/>
                    </w:tabs>
                    <w:jc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bCs/>
                      <w:color w:val="auto"/>
                      <w:sz w:val="21"/>
                      <w:szCs w:val="21"/>
                      <w:highlight w:val="none"/>
                    </w:rPr>
                    <w:t>25g</w:t>
                  </w:r>
                  <w:r>
                    <w:rPr>
                      <w:rFonts w:hint="eastAsia" w:cs="Times New Roman"/>
                      <w:bCs/>
                      <w:color w:val="auto"/>
                      <w:sz w:val="21"/>
                      <w:szCs w:val="21"/>
                      <w:highlight w:val="none"/>
                      <w:lang w:val="en-US" w:eastAsia="zh-CN"/>
                    </w:rPr>
                    <w:t>/瓶</w:t>
                  </w:r>
                </w:p>
              </w:tc>
              <w:tc>
                <w:tcPr>
                  <w:tcW w:w="534" w:type="pct"/>
                  <w:noWrap w:val="0"/>
                  <w:vAlign w:val="center"/>
                </w:tcPr>
                <w:p w14:paraId="5CE409D0">
                  <w:pPr>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0.125kg</w:t>
                  </w:r>
                </w:p>
              </w:tc>
              <w:tc>
                <w:tcPr>
                  <w:tcW w:w="596" w:type="pct"/>
                  <w:noWrap w:val="0"/>
                  <w:vAlign w:val="center"/>
                </w:tcPr>
                <w:p w14:paraId="09D82866">
                  <w:pPr>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0.125kg</w:t>
                  </w:r>
                </w:p>
              </w:tc>
              <w:tc>
                <w:tcPr>
                  <w:tcW w:w="1614" w:type="pct"/>
                  <w:noWrap w:val="0"/>
                  <w:vAlign w:val="center"/>
                </w:tcPr>
                <w:p w14:paraId="430CB648">
                  <w:pPr>
                    <w:widowControl/>
                    <w:jc w:val="center"/>
                    <w:textAlignment w:val="center"/>
                    <w:rPr>
                      <w:rFonts w:hint="eastAsia" w:ascii="Times New Roman" w:hAnsi="Times New Roman" w:eastAsia="宋体" w:cs="Times New Roman"/>
                      <w:color w:val="auto"/>
                      <w:kern w:val="0"/>
                      <w:sz w:val="21"/>
                      <w:szCs w:val="21"/>
                      <w:highlight w:val="none"/>
                      <w:lang w:eastAsia="zh-CN" w:bidi="ar"/>
                    </w:rPr>
                  </w:pPr>
                  <w:r>
                    <w:rPr>
                      <w:rFonts w:hint="default" w:ascii="Times New Roman" w:hAnsi="Times New Roman" w:eastAsia="宋体" w:cs="Times New Roman"/>
                      <w:color w:val="auto"/>
                      <w:kern w:val="0"/>
                      <w:sz w:val="21"/>
                      <w:szCs w:val="21"/>
                      <w:highlight w:val="none"/>
                      <w:lang w:bidi="ar"/>
                    </w:rPr>
                    <w:t>棕绿色或红紫色结晶粉末</w:t>
                  </w:r>
                  <w:r>
                    <w:rPr>
                      <w:rFonts w:hint="eastAsia" w:cs="Times New Roman"/>
                      <w:color w:val="auto"/>
                      <w:kern w:val="0"/>
                      <w:sz w:val="21"/>
                      <w:szCs w:val="21"/>
                      <w:highlight w:val="none"/>
                      <w:lang w:eastAsia="zh-CN" w:bidi="ar"/>
                    </w:rPr>
                    <w:t>，有</w:t>
                  </w:r>
                  <w:r>
                    <w:rPr>
                      <w:rFonts w:hint="eastAsia" w:cs="Times New Roman"/>
                      <w:color w:val="auto"/>
                      <w:kern w:val="0"/>
                      <w:sz w:val="21"/>
                      <w:szCs w:val="21"/>
                      <w:highlight w:val="none"/>
                      <w:lang w:val="en-US" w:eastAsia="zh-CN" w:bidi="ar"/>
                    </w:rPr>
                    <w:t>微弱酚样气味，熔点为</w:t>
                  </w:r>
                  <w:r>
                    <w:rPr>
                      <w:rFonts w:hint="default" w:ascii="Times New Roman" w:hAnsi="Times New Roman" w:eastAsia="宋体" w:cs="Times New Roman"/>
                      <w:color w:val="auto"/>
                      <w:kern w:val="0"/>
                      <w:sz w:val="21"/>
                      <w:szCs w:val="21"/>
                      <w:highlight w:val="none"/>
                      <w:lang w:bidi="ar"/>
                    </w:rPr>
                    <w:t>22</w:t>
                  </w:r>
                  <w:r>
                    <w:rPr>
                      <w:rFonts w:hint="eastAsia" w:cs="Times New Roman"/>
                      <w:color w:val="auto"/>
                      <w:kern w:val="0"/>
                      <w:sz w:val="21"/>
                      <w:szCs w:val="21"/>
                      <w:highlight w:val="none"/>
                      <w:lang w:val="en-US" w:eastAsia="zh-CN" w:bidi="ar"/>
                    </w:rPr>
                    <w:t>1</w:t>
                  </w:r>
                  <w:r>
                    <w:rPr>
                      <w:rFonts w:hint="default" w:ascii="Times New Roman" w:hAnsi="Times New Roman" w:eastAsia="宋体" w:cs="Times New Roman"/>
                      <w:color w:val="auto"/>
                      <w:kern w:val="0"/>
                      <w:sz w:val="21"/>
                      <w:szCs w:val="21"/>
                      <w:highlight w:val="none"/>
                      <w:lang w:bidi="ar"/>
                    </w:rPr>
                    <w:t>℃</w:t>
                  </w:r>
                  <w:r>
                    <w:rPr>
                      <w:rFonts w:hint="eastAsia" w:cs="Times New Roman"/>
                      <w:color w:val="auto"/>
                      <w:kern w:val="0"/>
                      <w:sz w:val="21"/>
                      <w:szCs w:val="21"/>
                      <w:highlight w:val="none"/>
                      <w:lang w:val="en-US" w:eastAsia="zh-CN" w:bidi="ar"/>
                    </w:rPr>
                    <w:t>，相对密度(水以1计)为1.252g/cm</w:t>
                  </w:r>
                  <w:r>
                    <w:rPr>
                      <w:rFonts w:hint="eastAsia" w:cs="Times New Roman"/>
                      <w:color w:val="auto"/>
                      <w:kern w:val="0"/>
                      <w:sz w:val="21"/>
                      <w:szCs w:val="21"/>
                      <w:highlight w:val="none"/>
                      <w:vertAlign w:val="superscript"/>
                      <w:lang w:val="en-US" w:eastAsia="zh-CN" w:bidi="ar"/>
                    </w:rPr>
                    <w:t>3</w:t>
                  </w:r>
                  <w:r>
                    <w:rPr>
                      <w:rFonts w:hint="eastAsia" w:cs="Times New Roman"/>
                      <w:color w:val="auto"/>
                      <w:kern w:val="0"/>
                      <w:sz w:val="21"/>
                      <w:szCs w:val="21"/>
                      <w:highlight w:val="none"/>
                      <w:vertAlign w:val="baseline"/>
                      <w:lang w:val="en-US" w:eastAsia="zh-CN" w:bidi="ar"/>
                    </w:rPr>
                    <w:t>，</w:t>
                  </w:r>
                  <w:r>
                    <w:rPr>
                      <w:rFonts w:hint="default" w:ascii="Times New Roman" w:hAnsi="Times New Roman" w:eastAsia="宋体" w:cs="Times New Roman"/>
                      <w:color w:val="auto"/>
                      <w:kern w:val="0"/>
                      <w:sz w:val="21"/>
                      <w:szCs w:val="21"/>
                      <w:highlight w:val="none"/>
                      <w:lang w:bidi="ar"/>
                    </w:rPr>
                    <w:t>闪点</w:t>
                  </w:r>
                  <w:r>
                    <w:rPr>
                      <w:rFonts w:hint="eastAsia" w:cs="Times New Roman"/>
                      <w:color w:val="auto"/>
                      <w:kern w:val="0"/>
                      <w:sz w:val="21"/>
                      <w:szCs w:val="21"/>
                      <w:highlight w:val="none"/>
                      <w:lang w:val="en-US" w:eastAsia="zh-CN" w:bidi="ar"/>
                    </w:rPr>
                    <w:t>为</w:t>
                  </w:r>
                  <w:r>
                    <w:rPr>
                      <w:rFonts w:hint="default" w:ascii="Times New Roman" w:hAnsi="Times New Roman" w:eastAsia="宋体" w:cs="Times New Roman"/>
                      <w:color w:val="auto"/>
                      <w:kern w:val="0"/>
                      <w:sz w:val="21"/>
                      <w:szCs w:val="21"/>
                      <w:highlight w:val="none"/>
                      <w:lang w:val="en-US" w:eastAsia="zh-CN" w:bidi="ar"/>
                    </w:rPr>
                    <w:t>36</w:t>
                  </w:r>
                  <w:r>
                    <w:rPr>
                      <w:rFonts w:hint="default" w:ascii="Times New Roman" w:hAnsi="Times New Roman" w:eastAsia="宋体" w:cs="Times New Roman"/>
                      <w:color w:val="auto"/>
                      <w:kern w:val="0"/>
                      <w:sz w:val="21"/>
                      <w:szCs w:val="21"/>
                      <w:highlight w:val="none"/>
                      <w:lang w:bidi="ar"/>
                    </w:rPr>
                    <w:t>°C</w:t>
                  </w:r>
                  <w:r>
                    <w:rPr>
                      <w:rFonts w:hint="eastAsia" w:cs="Times New Roman"/>
                      <w:color w:val="auto"/>
                      <w:kern w:val="0"/>
                      <w:sz w:val="21"/>
                      <w:szCs w:val="21"/>
                      <w:highlight w:val="none"/>
                      <w:lang w:eastAsia="zh-CN" w:bidi="ar"/>
                    </w:rPr>
                    <w:t>，</w:t>
                  </w:r>
                  <w:r>
                    <w:rPr>
                      <w:rFonts w:hint="default" w:ascii="Times New Roman" w:hAnsi="Times New Roman" w:eastAsia="宋体" w:cs="Times New Roman"/>
                      <w:color w:val="auto"/>
                      <w:kern w:val="0"/>
                      <w:sz w:val="21"/>
                      <w:szCs w:val="21"/>
                      <w:highlight w:val="none"/>
                      <w:lang w:bidi="ar"/>
                    </w:rPr>
                    <w:t>不溶于水。溶于乙醇而呈黄色。</w:t>
                  </w:r>
                </w:p>
              </w:tc>
              <w:tc>
                <w:tcPr>
                  <w:tcW w:w="425" w:type="pct"/>
                  <w:noWrap w:val="0"/>
                  <w:vAlign w:val="center"/>
                </w:tcPr>
                <w:p w14:paraId="2D79EBFA">
                  <w:pPr>
                    <w:widowControl/>
                    <w:jc w:val="center"/>
                    <w:textAlignment w:val="center"/>
                    <w:rPr>
                      <w:rFonts w:hint="default"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否</w:t>
                  </w:r>
                </w:p>
              </w:tc>
              <w:tc>
                <w:tcPr>
                  <w:tcW w:w="378" w:type="pct"/>
                  <w:noWrap w:val="0"/>
                  <w:vAlign w:val="center"/>
                </w:tcPr>
                <w:p w14:paraId="3F73937C">
                  <w:pPr>
                    <w:jc w:val="center"/>
                    <w:rPr>
                      <w:rFonts w:hint="default" w:ascii="Times New Roman" w:hAnsi="Times New Roman"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w:t>
                  </w:r>
                </w:p>
              </w:tc>
            </w:tr>
            <w:tr w14:paraId="61A6A2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279" w:hRule="atLeast"/>
                <w:jc w:val="center"/>
              </w:trPr>
              <w:tc>
                <w:tcPr>
                  <w:tcW w:w="253" w:type="pct"/>
                  <w:noWrap w:val="0"/>
                  <w:vAlign w:val="center"/>
                </w:tcPr>
                <w:p w14:paraId="7FA67841">
                  <w:pPr>
                    <w:widowControl/>
                    <w:jc w:val="center"/>
                    <w:textAlignment w:val="center"/>
                    <w:rPr>
                      <w:rFonts w:hint="default" w:ascii="Times New Roman" w:hAnsi="Times New Roman"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6</w:t>
                  </w:r>
                </w:p>
              </w:tc>
              <w:tc>
                <w:tcPr>
                  <w:tcW w:w="621" w:type="pct"/>
                  <w:noWrap w:val="0"/>
                  <w:vAlign w:val="center"/>
                </w:tcPr>
                <w:p w14:paraId="72231486">
                  <w:pPr>
                    <w:widowControl/>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rPr>
                    <w:t>甲基橙</w:t>
                  </w:r>
                </w:p>
              </w:tc>
              <w:tc>
                <w:tcPr>
                  <w:tcW w:w="576" w:type="pct"/>
                  <w:noWrap w:val="0"/>
                  <w:vAlign w:val="center"/>
                </w:tcPr>
                <w:p w14:paraId="6167F333">
                  <w:pPr>
                    <w:jc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bCs/>
                      <w:color w:val="auto"/>
                      <w:sz w:val="21"/>
                      <w:szCs w:val="21"/>
                      <w:highlight w:val="none"/>
                    </w:rPr>
                    <w:t>25g</w:t>
                  </w:r>
                  <w:r>
                    <w:rPr>
                      <w:rFonts w:hint="eastAsia" w:cs="Times New Roman"/>
                      <w:bCs/>
                      <w:color w:val="auto"/>
                      <w:sz w:val="21"/>
                      <w:szCs w:val="21"/>
                      <w:highlight w:val="none"/>
                      <w:lang w:val="en-US" w:eastAsia="zh-CN"/>
                    </w:rPr>
                    <w:t>/瓶</w:t>
                  </w:r>
                </w:p>
              </w:tc>
              <w:tc>
                <w:tcPr>
                  <w:tcW w:w="534" w:type="pct"/>
                  <w:noWrap w:val="0"/>
                  <w:vAlign w:val="center"/>
                </w:tcPr>
                <w:p w14:paraId="5D80D504">
                  <w:pPr>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0.05kg</w:t>
                  </w:r>
                </w:p>
              </w:tc>
              <w:tc>
                <w:tcPr>
                  <w:tcW w:w="596" w:type="pct"/>
                  <w:noWrap w:val="0"/>
                  <w:vAlign w:val="center"/>
                </w:tcPr>
                <w:p w14:paraId="6E1C77A9">
                  <w:pPr>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0.05kg</w:t>
                  </w:r>
                </w:p>
              </w:tc>
              <w:tc>
                <w:tcPr>
                  <w:tcW w:w="1614" w:type="pct"/>
                  <w:noWrap w:val="0"/>
                  <w:vAlign w:val="center"/>
                </w:tcPr>
                <w:p w14:paraId="272BAA67">
                  <w:pPr>
                    <w:widowControl/>
                    <w:jc w:val="center"/>
                    <w:textAlignment w:val="center"/>
                    <w:rPr>
                      <w:rFonts w:hint="eastAsia" w:ascii="Times New Roman" w:hAnsi="Times New Roman" w:eastAsia="宋体" w:cs="Times New Roman"/>
                      <w:color w:val="auto"/>
                      <w:kern w:val="0"/>
                      <w:sz w:val="21"/>
                      <w:szCs w:val="21"/>
                      <w:highlight w:val="none"/>
                      <w:lang w:eastAsia="zh-CN" w:bidi="ar"/>
                    </w:rPr>
                  </w:pPr>
                  <w:r>
                    <w:rPr>
                      <w:rFonts w:hint="default" w:ascii="Times New Roman" w:hAnsi="Times New Roman" w:eastAsia="宋体" w:cs="Times New Roman"/>
                      <w:color w:val="auto"/>
                      <w:kern w:val="0"/>
                      <w:sz w:val="21"/>
                      <w:szCs w:val="21"/>
                      <w:highlight w:val="none"/>
                      <w:lang w:bidi="ar"/>
                    </w:rPr>
                    <w:t>橙黄色粉末，</w:t>
                  </w:r>
                  <w:r>
                    <w:rPr>
                      <w:rFonts w:hint="eastAsia" w:cs="Times New Roman"/>
                      <w:color w:val="auto"/>
                      <w:kern w:val="0"/>
                      <w:sz w:val="21"/>
                      <w:szCs w:val="21"/>
                      <w:highlight w:val="none"/>
                      <w:lang w:val="en-US" w:eastAsia="zh-CN" w:bidi="ar"/>
                    </w:rPr>
                    <w:t>无味，</w:t>
                  </w:r>
                  <w:r>
                    <w:rPr>
                      <w:rFonts w:hint="default" w:ascii="Times New Roman" w:hAnsi="Times New Roman" w:eastAsia="宋体" w:cs="Times New Roman"/>
                      <w:color w:val="auto"/>
                      <w:kern w:val="0"/>
                      <w:sz w:val="21"/>
                      <w:szCs w:val="21"/>
                      <w:highlight w:val="none"/>
                      <w:lang w:bidi="ar"/>
                    </w:rPr>
                    <w:t>密度</w:t>
                  </w:r>
                  <w:r>
                    <w:rPr>
                      <w:rFonts w:hint="eastAsia" w:cs="Times New Roman"/>
                      <w:color w:val="auto"/>
                      <w:kern w:val="0"/>
                      <w:sz w:val="21"/>
                      <w:szCs w:val="21"/>
                      <w:highlight w:val="none"/>
                      <w:lang w:val="en-US" w:eastAsia="zh-CN" w:bidi="ar"/>
                    </w:rPr>
                    <w:t>0.987</w:t>
                  </w:r>
                  <w:r>
                    <w:rPr>
                      <w:rFonts w:hint="default" w:ascii="Times New Roman" w:hAnsi="Times New Roman" w:eastAsia="宋体" w:cs="Times New Roman"/>
                      <w:color w:val="auto"/>
                      <w:kern w:val="0"/>
                      <w:sz w:val="21"/>
                      <w:szCs w:val="21"/>
                      <w:highlight w:val="none"/>
                      <w:lang w:bidi="ar"/>
                    </w:rPr>
                    <w:t>g/cm</w:t>
                  </w:r>
                  <w:r>
                    <w:rPr>
                      <w:rFonts w:hint="default" w:ascii="Times New Roman" w:hAnsi="Times New Roman" w:eastAsia="宋体" w:cs="Times New Roman"/>
                      <w:color w:val="auto"/>
                      <w:kern w:val="0"/>
                      <w:sz w:val="21"/>
                      <w:szCs w:val="21"/>
                      <w:highlight w:val="none"/>
                      <w:vertAlign w:val="superscript"/>
                      <w:lang w:bidi="ar"/>
                    </w:rPr>
                    <w:t>3</w:t>
                  </w:r>
                  <w:r>
                    <w:rPr>
                      <w:rFonts w:hint="default" w:ascii="Times New Roman" w:hAnsi="Times New Roman" w:eastAsia="宋体" w:cs="Times New Roman"/>
                      <w:color w:val="auto"/>
                      <w:kern w:val="0"/>
                      <w:sz w:val="21"/>
                      <w:szCs w:val="21"/>
                      <w:highlight w:val="none"/>
                      <w:lang w:bidi="ar"/>
                    </w:rPr>
                    <w:t>，闪点37℃，熔点300℃</w:t>
                  </w:r>
                  <w:r>
                    <w:rPr>
                      <w:rFonts w:hint="eastAsia" w:cs="Times New Roman"/>
                      <w:color w:val="auto"/>
                      <w:kern w:val="0"/>
                      <w:sz w:val="21"/>
                      <w:szCs w:val="21"/>
                      <w:highlight w:val="none"/>
                      <w:lang w:eastAsia="zh-CN" w:bidi="ar"/>
                    </w:rPr>
                    <w:t>，</w:t>
                  </w:r>
                  <w:r>
                    <w:rPr>
                      <w:rFonts w:hint="eastAsia" w:cs="Times New Roman"/>
                      <w:color w:val="auto"/>
                      <w:kern w:val="0"/>
                      <w:sz w:val="21"/>
                      <w:szCs w:val="21"/>
                      <w:highlight w:val="none"/>
                      <w:lang w:val="en-US" w:eastAsia="zh-CN" w:bidi="ar"/>
                    </w:rPr>
                    <w:t>沸点为100℃。</w:t>
                  </w:r>
                  <w:r>
                    <w:rPr>
                      <w:rFonts w:hint="default" w:ascii="Times New Roman" w:hAnsi="Times New Roman" w:eastAsia="宋体" w:cs="Times New Roman"/>
                      <w:color w:val="auto"/>
                      <w:kern w:val="0"/>
                      <w:sz w:val="21"/>
                      <w:szCs w:val="21"/>
                      <w:highlight w:val="none"/>
                      <w:lang w:bidi="ar"/>
                    </w:rPr>
                    <w:t>酸碱指示剂，</w:t>
                  </w:r>
                  <w:r>
                    <w:rPr>
                      <w:rFonts w:hint="default" w:ascii="Times New Roman" w:hAnsi="Times New Roman" w:eastAsia="宋体" w:cs="Times New Roman"/>
                      <w:color w:val="auto"/>
                      <w:kern w:val="0"/>
                      <w:sz w:val="21"/>
                      <w:szCs w:val="21"/>
                      <w:highlight w:val="none"/>
                      <w:lang w:eastAsia="zh-CN" w:bidi="ar"/>
                    </w:rPr>
                    <w:t>pH</w:t>
                  </w:r>
                  <w:r>
                    <w:rPr>
                      <w:rFonts w:hint="default" w:ascii="Times New Roman" w:hAnsi="Times New Roman" w:eastAsia="宋体" w:cs="Times New Roman"/>
                      <w:color w:val="auto"/>
                      <w:kern w:val="0"/>
                      <w:sz w:val="21"/>
                      <w:szCs w:val="21"/>
                      <w:highlight w:val="none"/>
                      <w:lang w:bidi="ar"/>
                    </w:rPr>
                    <w:t>值变色范围3.1(红)-4.4(黄)，测定多数矿酸、强碱和水的碱度</w:t>
                  </w:r>
                  <w:r>
                    <w:rPr>
                      <w:rFonts w:hint="eastAsia" w:ascii="Times New Roman" w:hAnsi="Times New Roman" w:eastAsia="宋体" w:cs="Times New Roman"/>
                      <w:color w:val="auto"/>
                      <w:kern w:val="0"/>
                      <w:sz w:val="21"/>
                      <w:szCs w:val="21"/>
                      <w:highlight w:val="none"/>
                      <w:lang w:eastAsia="zh-CN" w:bidi="ar"/>
                    </w:rPr>
                    <w:t>。</w:t>
                  </w:r>
                  <w:r>
                    <w:rPr>
                      <w:rFonts w:hint="default" w:ascii="Times New Roman" w:hAnsi="Times New Roman" w:eastAsia="宋体" w:cs="Times New Roman"/>
                      <w:color w:val="auto"/>
                      <w:kern w:val="2"/>
                      <w:sz w:val="21"/>
                      <w:szCs w:val="21"/>
                      <w:highlight w:val="none"/>
                    </w:rPr>
                    <w:t>属于风险导则附录</w:t>
                  </w:r>
                  <w:r>
                    <w:rPr>
                      <w:rFonts w:hint="eastAsia" w:ascii="Times New Roman" w:hAnsi="Times New Roman" w:eastAsia="宋体" w:cs="Times New Roman"/>
                      <w:color w:val="auto"/>
                      <w:kern w:val="2"/>
                      <w:sz w:val="21"/>
                      <w:szCs w:val="21"/>
                      <w:highlight w:val="none"/>
                      <w:lang w:val="en-US" w:eastAsia="zh-CN"/>
                    </w:rPr>
                    <w:t>B</w:t>
                  </w:r>
                  <w:r>
                    <w:rPr>
                      <w:rFonts w:hint="eastAsia" w:cs="Times New Roman"/>
                      <w:color w:val="auto"/>
                      <w:kern w:val="2"/>
                      <w:sz w:val="21"/>
                      <w:szCs w:val="21"/>
                      <w:highlight w:val="none"/>
                      <w:lang w:val="en-US" w:eastAsia="zh-CN"/>
                    </w:rPr>
                    <w:t>.2</w:t>
                  </w:r>
                  <w:r>
                    <w:rPr>
                      <w:rFonts w:ascii="宋体" w:hAnsi="宋体" w:eastAsia="宋体" w:cs="宋体"/>
                      <w:color w:val="auto"/>
                      <w:sz w:val="21"/>
                      <w:szCs w:val="21"/>
                      <w:highlight w:val="none"/>
                    </w:rPr>
                    <w:t>健康危险急性毒性物质（类别</w:t>
                  </w:r>
                  <w:r>
                    <w:rPr>
                      <w:rFonts w:hint="eastAsia" w:ascii="宋体" w:hAnsi="宋体" w:eastAsia="宋体" w:cs="宋体"/>
                      <w:color w:val="auto"/>
                      <w:spacing w:val="-46"/>
                      <w:sz w:val="21"/>
                      <w:szCs w:val="21"/>
                      <w:highlight w:val="none"/>
                      <w:lang w:val="en-US" w:eastAsia="zh-CN"/>
                    </w:rPr>
                    <w:t>3）</w:t>
                  </w:r>
                  <w:r>
                    <w:rPr>
                      <w:rFonts w:hint="default" w:ascii="Times New Roman" w:hAnsi="Times New Roman" w:eastAsia="宋体" w:cs="Times New Roman"/>
                      <w:color w:val="auto"/>
                      <w:kern w:val="2"/>
                      <w:sz w:val="21"/>
                      <w:szCs w:val="21"/>
                      <w:highlight w:val="none"/>
                    </w:rPr>
                    <w:t>中的风险物质</w:t>
                  </w:r>
                  <w:r>
                    <w:rPr>
                      <w:rFonts w:hint="eastAsia" w:ascii="Times New Roman" w:hAnsi="Times New Roman" w:eastAsia="宋体" w:cs="Times New Roman"/>
                      <w:color w:val="auto"/>
                      <w:kern w:val="2"/>
                      <w:sz w:val="21"/>
                      <w:szCs w:val="21"/>
                      <w:highlight w:val="none"/>
                      <w:lang w:val="en-US" w:eastAsia="zh-CN"/>
                    </w:rPr>
                    <w:t>。</w:t>
                  </w:r>
                </w:p>
              </w:tc>
              <w:tc>
                <w:tcPr>
                  <w:tcW w:w="425" w:type="pct"/>
                  <w:noWrap w:val="0"/>
                  <w:vAlign w:val="center"/>
                </w:tcPr>
                <w:p w14:paraId="59797655">
                  <w:pPr>
                    <w:widowControl/>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kern w:val="0"/>
                      <w:sz w:val="21"/>
                      <w:szCs w:val="21"/>
                      <w:highlight w:val="none"/>
                      <w:lang w:val="en-US" w:eastAsia="zh-CN" w:bidi="ar"/>
                    </w:rPr>
                    <w:t>是</w:t>
                  </w:r>
                </w:p>
              </w:tc>
              <w:tc>
                <w:tcPr>
                  <w:tcW w:w="378" w:type="pct"/>
                  <w:noWrap w:val="0"/>
                  <w:vAlign w:val="center"/>
                </w:tcPr>
                <w:p w14:paraId="55F6C277">
                  <w:pPr>
                    <w:jc w:val="center"/>
                    <w:rPr>
                      <w:rFonts w:hint="default" w:ascii="Times New Roman" w:hAnsi="Times New Roman"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50</w:t>
                  </w:r>
                </w:p>
              </w:tc>
            </w:tr>
            <w:tr w14:paraId="255ADA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723" w:hRule="atLeast"/>
                <w:jc w:val="center"/>
              </w:trPr>
              <w:tc>
                <w:tcPr>
                  <w:tcW w:w="253" w:type="pct"/>
                  <w:noWrap w:val="0"/>
                  <w:vAlign w:val="center"/>
                </w:tcPr>
                <w:p w14:paraId="12A71217">
                  <w:pPr>
                    <w:widowControl/>
                    <w:jc w:val="center"/>
                    <w:textAlignment w:val="center"/>
                    <w:rPr>
                      <w:rFonts w:hint="default" w:ascii="Times New Roman" w:hAnsi="Times New Roman"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7</w:t>
                  </w:r>
                </w:p>
              </w:tc>
              <w:tc>
                <w:tcPr>
                  <w:tcW w:w="621" w:type="pct"/>
                  <w:noWrap w:val="0"/>
                  <w:vAlign w:val="center"/>
                </w:tcPr>
                <w:p w14:paraId="766F5E37">
                  <w:pPr>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水杨酸</w:t>
                  </w:r>
                </w:p>
              </w:tc>
              <w:tc>
                <w:tcPr>
                  <w:tcW w:w="576" w:type="pct"/>
                  <w:noWrap w:val="0"/>
                  <w:vAlign w:val="center"/>
                </w:tcPr>
                <w:p w14:paraId="4F1AD27B">
                  <w:pPr>
                    <w:tabs>
                      <w:tab w:val="left" w:pos="1088"/>
                    </w:tabs>
                    <w:jc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bCs/>
                      <w:color w:val="auto"/>
                      <w:sz w:val="21"/>
                      <w:szCs w:val="21"/>
                      <w:highlight w:val="none"/>
                    </w:rPr>
                    <w:t>250g</w:t>
                  </w:r>
                  <w:r>
                    <w:rPr>
                      <w:rFonts w:hint="eastAsia" w:cs="Times New Roman"/>
                      <w:bCs/>
                      <w:color w:val="auto"/>
                      <w:sz w:val="21"/>
                      <w:szCs w:val="21"/>
                      <w:highlight w:val="none"/>
                      <w:lang w:val="en-US" w:eastAsia="zh-CN"/>
                    </w:rPr>
                    <w:t>/瓶</w:t>
                  </w:r>
                </w:p>
              </w:tc>
              <w:tc>
                <w:tcPr>
                  <w:tcW w:w="534" w:type="pct"/>
                  <w:noWrap w:val="0"/>
                  <w:vAlign w:val="center"/>
                </w:tcPr>
                <w:p w14:paraId="23CD376A">
                  <w:pPr>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1kg</w:t>
                  </w:r>
                </w:p>
              </w:tc>
              <w:tc>
                <w:tcPr>
                  <w:tcW w:w="596" w:type="pct"/>
                  <w:noWrap w:val="0"/>
                  <w:vAlign w:val="center"/>
                </w:tcPr>
                <w:p w14:paraId="245960D0">
                  <w:pPr>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1kg</w:t>
                  </w:r>
                </w:p>
              </w:tc>
              <w:tc>
                <w:tcPr>
                  <w:tcW w:w="1614" w:type="pct"/>
                  <w:noWrap w:val="0"/>
                  <w:vAlign w:val="center"/>
                </w:tcPr>
                <w:p w14:paraId="01674F37">
                  <w:pPr>
                    <w:widowControl/>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水杨酸，白色针状结晶或单斜棱晶</w:t>
                  </w:r>
                  <w:r>
                    <w:rPr>
                      <w:rFonts w:hint="eastAsia" w:cs="Times New Roman"/>
                      <w:color w:val="auto"/>
                      <w:kern w:val="0"/>
                      <w:sz w:val="21"/>
                      <w:szCs w:val="21"/>
                      <w:highlight w:val="none"/>
                      <w:lang w:val="en-US" w:eastAsia="zh-CN" w:bidi="ar"/>
                    </w:rPr>
                    <w:t>粉末</w:t>
                  </w:r>
                  <w:r>
                    <w:rPr>
                      <w:rFonts w:hint="default" w:ascii="Times New Roman" w:hAnsi="Times New Roman" w:eastAsia="宋体" w:cs="Times New Roman"/>
                      <w:color w:val="auto"/>
                      <w:kern w:val="0"/>
                      <w:sz w:val="21"/>
                      <w:szCs w:val="21"/>
                      <w:highlight w:val="none"/>
                      <w:lang w:bidi="ar"/>
                    </w:rPr>
                    <w:t>，分子式为C</w:t>
                  </w:r>
                  <w:r>
                    <w:rPr>
                      <w:rFonts w:hint="default" w:ascii="Times New Roman" w:hAnsi="Times New Roman" w:eastAsia="宋体" w:cs="Times New Roman"/>
                      <w:color w:val="auto"/>
                      <w:kern w:val="0"/>
                      <w:sz w:val="21"/>
                      <w:szCs w:val="21"/>
                      <w:highlight w:val="none"/>
                      <w:vertAlign w:val="subscript"/>
                      <w:lang w:bidi="ar"/>
                    </w:rPr>
                    <w:t>7</w:t>
                  </w:r>
                  <w:r>
                    <w:rPr>
                      <w:rFonts w:hint="default" w:ascii="Times New Roman" w:hAnsi="Times New Roman" w:eastAsia="宋体" w:cs="Times New Roman"/>
                      <w:color w:val="auto"/>
                      <w:kern w:val="0"/>
                      <w:sz w:val="21"/>
                      <w:szCs w:val="21"/>
                      <w:highlight w:val="none"/>
                      <w:lang w:bidi="ar"/>
                    </w:rPr>
                    <w:t>H</w:t>
                  </w:r>
                  <w:r>
                    <w:rPr>
                      <w:rFonts w:hint="default" w:ascii="Times New Roman" w:hAnsi="Times New Roman" w:eastAsia="宋体" w:cs="Times New Roman"/>
                      <w:color w:val="auto"/>
                      <w:kern w:val="0"/>
                      <w:sz w:val="21"/>
                      <w:szCs w:val="21"/>
                      <w:highlight w:val="none"/>
                      <w:vertAlign w:val="subscript"/>
                      <w:lang w:bidi="ar"/>
                    </w:rPr>
                    <w:t>6</w:t>
                  </w:r>
                  <w:r>
                    <w:rPr>
                      <w:rFonts w:hint="default" w:ascii="Times New Roman" w:hAnsi="Times New Roman" w:eastAsia="宋体" w:cs="Times New Roman"/>
                      <w:color w:val="auto"/>
                      <w:kern w:val="0"/>
                      <w:sz w:val="21"/>
                      <w:szCs w:val="21"/>
                      <w:highlight w:val="none"/>
                      <w:lang w:bidi="ar"/>
                    </w:rPr>
                    <w:t>O</w:t>
                  </w:r>
                  <w:r>
                    <w:rPr>
                      <w:rFonts w:hint="default" w:ascii="Times New Roman" w:hAnsi="Times New Roman" w:eastAsia="宋体" w:cs="Times New Roman"/>
                      <w:color w:val="auto"/>
                      <w:kern w:val="0"/>
                      <w:sz w:val="21"/>
                      <w:szCs w:val="21"/>
                      <w:highlight w:val="none"/>
                      <w:vertAlign w:val="subscript"/>
                      <w:lang w:bidi="ar"/>
                    </w:rPr>
                    <w:t>3</w:t>
                  </w:r>
                  <w:r>
                    <w:rPr>
                      <w:rFonts w:hint="default" w:ascii="Times New Roman" w:hAnsi="Times New Roman" w:eastAsia="宋体" w:cs="Times New Roman"/>
                      <w:color w:val="auto"/>
                      <w:kern w:val="0"/>
                      <w:sz w:val="21"/>
                      <w:szCs w:val="21"/>
                      <w:highlight w:val="none"/>
                      <w:lang w:bidi="ar"/>
                    </w:rPr>
                    <w:t>，是植物柳树皮提取物，是一种天然的消炎药。有特殊的酚酸味。在空气中稳定，但遇光渐渐改变颜色。相对密度</w:t>
                  </w:r>
                  <w:r>
                    <w:rPr>
                      <w:rFonts w:hint="eastAsia" w:cs="Times New Roman"/>
                      <w:color w:val="auto"/>
                      <w:kern w:val="0"/>
                      <w:sz w:val="21"/>
                      <w:szCs w:val="21"/>
                      <w:highlight w:val="none"/>
                      <w:lang w:eastAsia="zh-CN" w:bidi="ar"/>
                    </w:rPr>
                    <w:t>（</w:t>
                  </w:r>
                  <w:r>
                    <w:rPr>
                      <w:rFonts w:hint="eastAsia" w:cs="Times New Roman"/>
                      <w:color w:val="auto"/>
                      <w:kern w:val="0"/>
                      <w:sz w:val="21"/>
                      <w:szCs w:val="21"/>
                      <w:highlight w:val="none"/>
                      <w:lang w:val="en-US" w:eastAsia="zh-CN" w:bidi="ar"/>
                    </w:rPr>
                    <w:t>水以1计</w:t>
                  </w:r>
                  <w:r>
                    <w:rPr>
                      <w:rFonts w:hint="eastAsia" w:cs="Times New Roman"/>
                      <w:color w:val="auto"/>
                      <w:kern w:val="0"/>
                      <w:sz w:val="21"/>
                      <w:szCs w:val="21"/>
                      <w:highlight w:val="none"/>
                      <w:lang w:eastAsia="zh-CN" w:bidi="ar"/>
                    </w:rPr>
                    <w:t>）</w:t>
                  </w:r>
                  <w:r>
                    <w:rPr>
                      <w:rFonts w:hint="eastAsia" w:cs="Times New Roman"/>
                      <w:color w:val="auto"/>
                      <w:kern w:val="0"/>
                      <w:sz w:val="21"/>
                      <w:szCs w:val="21"/>
                      <w:highlight w:val="none"/>
                      <w:lang w:val="en-US" w:eastAsia="zh-CN" w:bidi="ar"/>
                    </w:rPr>
                    <w:t>为</w:t>
                  </w:r>
                  <w:r>
                    <w:rPr>
                      <w:rFonts w:hint="default" w:ascii="Times New Roman" w:hAnsi="Times New Roman" w:eastAsia="宋体" w:cs="Times New Roman"/>
                      <w:color w:val="auto"/>
                      <w:kern w:val="0"/>
                      <w:sz w:val="21"/>
                      <w:szCs w:val="21"/>
                      <w:highlight w:val="none"/>
                      <w:lang w:bidi="ar"/>
                    </w:rPr>
                    <w:t>1.44</w:t>
                  </w:r>
                  <w:r>
                    <w:rPr>
                      <w:rFonts w:hint="eastAsia" w:cs="Times New Roman"/>
                      <w:color w:val="auto"/>
                      <w:kern w:val="0"/>
                      <w:sz w:val="21"/>
                      <w:szCs w:val="21"/>
                      <w:highlight w:val="none"/>
                      <w:lang w:val="en-US" w:eastAsia="zh-CN" w:bidi="ar"/>
                    </w:rPr>
                    <w:t>g/cm</w:t>
                  </w:r>
                  <w:r>
                    <w:rPr>
                      <w:rFonts w:hint="eastAsia" w:cs="Times New Roman"/>
                      <w:color w:val="auto"/>
                      <w:kern w:val="0"/>
                      <w:sz w:val="21"/>
                      <w:szCs w:val="21"/>
                      <w:highlight w:val="none"/>
                      <w:vertAlign w:val="superscript"/>
                      <w:lang w:val="en-US" w:eastAsia="zh-CN" w:bidi="ar"/>
                    </w:rPr>
                    <w:t>3</w:t>
                  </w:r>
                  <w:r>
                    <w:rPr>
                      <w:rFonts w:hint="default" w:ascii="Times New Roman" w:hAnsi="Times New Roman" w:eastAsia="宋体" w:cs="Times New Roman"/>
                      <w:color w:val="auto"/>
                      <w:kern w:val="0"/>
                      <w:sz w:val="21"/>
                      <w:szCs w:val="21"/>
                      <w:highlight w:val="none"/>
                      <w:lang w:bidi="ar"/>
                    </w:rPr>
                    <w:t>，熔点</w:t>
                  </w:r>
                  <w:r>
                    <w:rPr>
                      <w:rFonts w:hint="eastAsia" w:cs="Times New Roman"/>
                      <w:color w:val="auto"/>
                      <w:kern w:val="0"/>
                      <w:sz w:val="21"/>
                      <w:szCs w:val="21"/>
                      <w:highlight w:val="none"/>
                      <w:lang w:val="en-US" w:eastAsia="zh-CN" w:bidi="ar"/>
                    </w:rPr>
                    <w:t>为159</w:t>
                  </w:r>
                  <w:r>
                    <w:rPr>
                      <w:rFonts w:hint="default" w:ascii="Times New Roman" w:hAnsi="Times New Roman" w:eastAsia="宋体" w:cs="Times New Roman"/>
                      <w:color w:val="auto"/>
                      <w:kern w:val="0"/>
                      <w:sz w:val="21"/>
                      <w:szCs w:val="21"/>
                      <w:highlight w:val="none"/>
                      <w:lang w:bidi="ar"/>
                    </w:rPr>
                    <w:t>ºC，沸点</w:t>
                  </w:r>
                  <w:r>
                    <w:rPr>
                      <w:rFonts w:hint="eastAsia" w:cs="Times New Roman"/>
                      <w:color w:val="auto"/>
                      <w:kern w:val="0"/>
                      <w:sz w:val="21"/>
                      <w:szCs w:val="21"/>
                      <w:highlight w:val="none"/>
                      <w:lang w:val="en-US" w:eastAsia="zh-CN" w:bidi="ar"/>
                    </w:rPr>
                    <w:t>为</w:t>
                  </w:r>
                  <w:r>
                    <w:rPr>
                      <w:rFonts w:hint="default" w:ascii="Times New Roman" w:hAnsi="Times New Roman" w:eastAsia="宋体" w:cs="Times New Roman"/>
                      <w:color w:val="auto"/>
                      <w:kern w:val="0"/>
                      <w:sz w:val="21"/>
                      <w:szCs w:val="21"/>
                      <w:highlight w:val="none"/>
                      <w:lang w:bidi="ar"/>
                    </w:rPr>
                    <w:t>2</w:t>
                  </w:r>
                  <w:r>
                    <w:rPr>
                      <w:rFonts w:hint="eastAsia" w:cs="Times New Roman"/>
                      <w:color w:val="auto"/>
                      <w:kern w:val="0"/>
                      <w:sz w:val="21"/>
                      <w:szCs w:val="21"/>
                      <w:highlight w:val="none"/>
                      <w:lang w:val="en-US" w:eastAsia="zh-CN" w:bidi="ar"/>
                    </w:rPr>
                    <w:t>56℃，</w:t>
                  </w:r>
                  <w:r>
                    <w:rPr>
                      <w:rFonts w:hint="default" w:ascii="Times New Roman" w:hAnsi="Times New Roman" w:eastAsia="宋体" w:cs="Times New Roman"/>
                      <w:color w:val="auto"/>
                      <w:kern w:val="0"/>
                      <w:sz w:val="21"/>
                      <w:szCs w:val="21"/>
                      <w:highlight w:val="none"/>
                      <w:lang w:bidi="ar"/>
                    </w:rPr>
                    <w:t>闪点</w:t>
                  </w:r>
                  <w:r>
                    <w:rPr>
                      <w:rFonts w:hint="eastAsia" w:cs="Times New Roman"/>
                      <w:color w:val="auto"/>
                      <w:kern w:val="0"/>
                      <w:sz w:val="21"/>
                      <w:szCs w:val="21"/>
                      <w:highlight w:val="none"/>
                      <w:lang w:val="en-US" w:eastAsia="zh-CN" w:bidi="ar"/>
                    </w:rPr>
                    <w:t>为37℃</w:t>
                  </w:r>
                  <w:r>
                    <w:rPr>
                      <w:rFonts w:hint="default" w:ascii="Times New Roman" w:hAnsi="Times New Roman" w:eastAsia="宋体" w:cs="Times New Roman"/>
                      <w:color w:val="auto"/>
                      <w:kern w:val="0"/>
                      <w:sz w:val="21"/>
                      <w:szCs w:val="21"/>
                      <w:highlight w:val="none"/>
                      <w:lang w:bidi="ar"/>
                    </w:rPr>
                    <w:t>。</w:t>
                  </w:r>
                </w:p>
              </w:tc>
              <w:tc>
                <w:tcPr>
                  <w:tcW w:w="425" w:type="pct"/>
                  <w:noWrap w:val="0"/>
                  <w:vAlign w:val="center"/>
                </w:tcPr>
                <w:p w14:paraId="28841C37">
                  <w:pPr>
                    <w:widowControl/>
                    <w:jc w:val="center"/>
                    <w:textAlignment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否</w:t>
                  </w:r>
                </w:p>
              </w:tc>
              <w:tc>
                <w:tcPr>
                  <w:tcW w:w="378" w:type="pct"/>
                  <w:noWrap w:val="0"/>
                  <w:vAlign w:val="center"/>
                </w:tcPr>
                <w:p w14:paraId="0DFE0D16">
                  <w:pPr>
                    <w:jc w:val="center"/>
                    <w:rPr>
                      <w:rFonts w:hint="default" w:ascii="Times New Roman" w:hAnsi="Times New Roman"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sz w:val="21"/>
                      <w:szCs w:val="21"/>
                      <w:highlight w:val="none"/>
                      <w:lang w:val="en-US" w:eastAsia="zh-CN"/>
                    </w:rPr>
                    <w:t>/</w:t>
                  </w:r>
                </w:p>
              </w:tc>
            </w:tr>
            <w:tr w14:paraId="22AFF4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1723" w:hRule="atLeast"/>
                <w:jc w:val="center"/>
              </w:trPr>
              <w:tc>
                <w:tcPr>
                  <w:tcW w:w="253" w:type="pct"/>
                  <w:noWrap w:val="0"/>
                  <w:vAlign w:val="center"/>
                </w:tcPr>
                <w:p w14:paraId="4F70BD9B">
                  <w:pPr>
                    <w:widowControl/>
                    <w:jc w:val="center"/>
                    <w:textAlignment w:val="center"/>
                    <w:rPr>
                      <w:rFonts w:hint="default" w:ascii="Times New Roman" w:hAnsi="Times New Roman"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8</w:t>
                  </w:r>
                </w:p>
              </w:tc>
              <w:tc>
                <w:tcPr>
                  <w:tcW w:w="621" w:type="pct"/>
                  <w:noWrap w:val="0"/>
                  <w:vAlign w:val="center"/>
                </w:tcPr>
                <w:p w14:paraId="6AAB425D">
                  <w:pPr>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草酸钠</w:t>
                  </w:r>
                </w:p>
              </w:tc>
              <w:tc>
                <w:tcPr>
                  <w:tcW w:w="576" w:type="pct"/>
                  <w:noWrap w:val="0"/>
                  <w:vAlign w:val="center"/>
                </w:tcPr>
                <w:p w14:paraId="48780E00">
                  <w:pPr>
                    <w:tabs>
                      <w:tab w:val="left" w:pos="1088"/>
                    </w:tabs>
                    <w:jc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bCs/>
                      <w:color w:val="auto"/>
                      <w:sz w:val="21"/>
                      <w:szCs w:val="21"/>
                      <w:highlight w:val="none"/>
                    </w:rPr>
                    <w:t>500g</w:t>
                  </w:r>
                  <w:r>
                    <w:rPr>
                      <w:rFonts w:hint="eastAsia" w:cs="Times New Roman"/>
                      <w:bCs/>
                      <w:color w:val="auto"/>
                      <w:sz w:val="21"/>
                      <w:szCs w:val="21"/>
                      <w:highlight w:val="none"/>
                      <w:lang w:val="en-US" w:eastAsia="zh-CN"/>
                    </w:rPr>
                    <w:t>/瓶</w:t>
                  </w:r>
                </w:p>
              </w:tc>
              <w:tc>
                <w:tcPr>
                  <w:tcW w:w="534" w:type="pct"/>
                  <w:noWrap w:val="0"/>
                  <w:vAlign w:val="center"/>
                </w:tcPr>
                <w:p w14:paraId="303BC569">
                  <w:pPr>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2.5kg</w:t>
                  </w:r>
                </w:p>
              </w:tc>
              <w:tc>
                <w:tcPr>
                  <w:tcW w:w="596" w:type="pct"/>
                  <w:noWrap w:val="0"/>
                  <w:vAlign w:val="center"/>
                </w:tcPr>
                <w:p w14:paraId="7AE595B9">
                  <w:pPr>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2.5kg</w:t>
                  </w:r>
                </w:p>
              </w:tc>
              <w:tc>
                <w:tcPr>
                  <w:tcW w:w="1614" w:type="pct"/>
                  <w:noWrap w:val="0"/>
                  <w:vAlign w:val="center"/>
                </w:tcPr>
                <w:p w14:paraId="4CBF0195">
                  <w:pPr>
                    <w:widowControl/>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白色结晶性粉末</w:t>
                  </w:r>
                  <w:r>
                    <w:rPr>
                      <w:rFonts w:hint="eastAsia" w:cs="Times New Roman"/>
                      <w:color w:val="auto"/>
                      <w:kern w:val="0"/>
                      <w:sz w:val="21"/>
                      <w:szCs w:val="21"/>
                      <w:highlight w:val="none"/>
                      <w:lang w:eastAsia="zh-CN" w:bidi="ar"/>
                    </w:rPr>
                    <w:t>，</w:t>
                  </w:r>
                  <w:r>
                    <w:rPr>
                      <w:rFonts w:hint="default" w:ascii="Times New Roman" w:hAnsi="Times New Roman" w:eastAsia="宋体" w:cs="Times New Roman"/>
                      <w:color w:val="auto"/>
                      <w:kern w:val="0"/>
                      <w:sz w:val="21"/>
                      <w:szCs w:val="21"/>
                      <w:highlight w:val="none"/>
                      <w:lang w:bidi="ar"/>
                    </w:rPr>
                    <w:t>无气味。有吸湿性。</w:t>
                  </w:r>
                  <w:r>
                    <w:rPr>
                      <w:rFonts w:hint="eastAsia" w:cs="Times New Roman"/>
                      <w:color w:val="auto"/>
                      <w:kern w:val="0"/>
                      <w:sz w:val="21"/>
                      <w:szCs w:val="21"/>
                      <w:highlight w:val="none"/>
                      <w:lang w:val="en-US" w:eastAsia="zh-CN" w:bidi="ar"/>
                    </w:rPr>
                    <w:t>闪点为188.8℃，</w:t>
                  </w:r>
                  <w:r>
                    <w:rPr>
                      <w:rFonts w:hint="default" w:ascii="Times New Roman" w:hAnsi="Times New Roman" w:eastAsia="宋体" w:cs="Times New Roman"/>
                      <w:color w:val="auto"/>
                      <w:kern w:val="0"/>
                      <w:sz w:val="21"/>
                      <w:szCs w:val="21"/>
                      <w:highlight w:val="none"/>
                      <w:lang w:bidi="ar"/>
                    </w:rPr>
                    <w:t>密度</w:t>
                  </w:r>
                  <w:r>
                    <w:rPr>
                      <w:rFonts w:hint="eastAsia" w:cs="Times New Roman"/>
                      <w:color w:val="auto"/>
                      <w:kern w:val="0"/>
                      <w:sz w:val="21"/>
                      <w:szCs w:val="21"/>
                      <w:highlight w:val="none"/>
                      <w:lang w:val="en-US" w:eastAsia="zh-CN" w:bidi="ar"/>
                    </w:rPr>
                    <w:t>为</w:t>
                  </w:r>
                  <w:r>
                    <w:rPr>
                      <w:rFonts w:hint="default" w:ascii="Times New Roman" w:hAnsi="Times New Roman" w:eastAsia="宋体" w:cs="Times New Roman"/>
                      <w:color w:val="auto"/>
                      <w:kern w:val="0"/>
                      <w:sz w:val="21"/>
                      <w:szCs w:val="21"/>
                      <w:highlight w:val="none"/>
                      <w:lang w:bidi="ar"/>
                    </w:rPr>
                    <w:t>2.34</w:t>
                  </w:r>
                  <w:r>
                    <w:rPr>
                      <w:rFonts w:hint="eastAsia" w:cs="Times New Roman"/>
                      <w:color w:val="auto"/>
                      <w:kern w:val="0"/>
                      <w:sz w:val="21"/>
                      <w:szCs w:val="21"/>
                      <w:highlight w:val="none"/>
                      <w:lang w:val="en-US" w:eastAsia="zh-CN" w:bidi="ar"/>
                    </w:rPr>
                    <w:t>g/cm</w:t>
                  </w:r>
                  <w:r>
                    <w:rPr>
                      <w:rFonts w:hint="eastAsia" w:cs="Times New Roman"/>
                      <w:color w:val="auto"/>
                      <w:kern w:val="0"/>
                      <w:sz w:val="21"/>
                      <w:szCs w:val="21"/>
                      <w:highlight w:val="none"/>
                      <w:vertAlign w:val="superscript"/>
                      <w:lang w:val="en-US" w:eastAsia="zh-CN" w:bidi="ar"/>
                    </w:rPr>
                    <w:t>3</w:t>
                  </w:r>
                  <w:r>
                    <w:rPr>
                      <w:rFonts w:hint="default" w:ascii="Times New Roman" w:hAnsi="Times New Roman" w:eastAsia="宋体" w:cs="Times New Roman"/>
                      <w:color w:val="auto"/>
                      <w:kern w:val="0"/>
                      <w:sz w:val="21"/>
                      <w:szCs w:val="21"/>
                      <w:highlight w:val="none"/>
                      <w:lang w:bidi="ar"/>
                    </w:rPr>
                    <w:t>，熔点</w:t>
                  </w:r>
                  <w:r>
                    <w:rPr>
                      <w:rFonts w:hint="eastAsia" w:cs="Times New Roman"/>
                      <w:color w:val="auto"/>
                      <w:kern w:val="0"/>
                      <w:sz w:val="21"/>
                      <w:szCs w:val="21"/>
                      <w:highlight w:val="none"/>
                      <w:lang w:val="en-US" w:eastAsia="zh-CN" w:bidi="ar"/>
                    </w:rPr>
                    <w:t>为</w:t>
                  </w:r>
                  <w:r>
                    <w:rPr>
                      <w:rFonts w:hint="default" w:ascii="Times New Roman" w:hAnsi="Times New Roman" w:eastAsia="宋体" w:cs="Times New Roman"/>
                      <w:color w:val="auto"/>
                      <w:kern w:val="0"/>
                      <w:sz w:val="21"/>
                      <w:szCs w:val="21"/>
                      <w:highlight w:val="none"/>
                      <w:lang w:bidi="ar"/>
                    </w:rPr>
                    <w:t>250-257</w:t>
                  </w:r>
                  <w:r>
                    <w:rPr>
                      <w:rFonts w:hint="eastAsia" w:cs="Times New Roman"/>
                      <w:color w:val="auto"/>
                      <w:kern w:val="0"/>
                      <w:sz w:val="21"/>
                      <w:szCs w:val="21"/>
                      <w:highlight w:val="none"/>
                      <w:lang w:val="en-US" w:eastAsia="zh-CN" w:bidi="ar"/>
                    </w:rPr>
                    <w:t>℃，</w:t>
                  </w:r>
                  <w:r>
                    <w:rPr>
                      <w:rFonts w:hint="default" w:ascii="Times New Roman" w:hAnsi="Times New Roman" w:eastAsia="宋体" w:cs="Times New Roman"/>
                      <w:color w:val="auto"/>
                      <w:kern w:val="0"/>
                      <w:sz w:val="21"/>
                      <w:szCs w:val="21"/>
                      <w:highlight w:val="none"/>
                      <w:lang w:bidi="ar"/>
                    </w:rPr>
                    <w:t>草酸钠为草酸的钠盐，是一种还原剂，也常作为双齿配体。</w:t>
                  </w:r>
                </w:p>
              </w:tc>
              <w:tc>
                <w:tcPr>
                  <w:tcW w:w="425" w:type="pct"/>
                  <w:noWrap w:val="0"/>
                  <w:vAlign w:val="center"/>
                </w:tcPr>
                <w:p w14:paraId="1C3AF0FC">
                  <w:pPr>
                    <w:widowControl/>
                    <w:jc w:val="center"/>
                    <w:textAlignment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否</w:t>
                  </w:r>
                </w:p>
              </w:tc>
              <w:tc>
                <w:tcPr>
                  <w:tcW w:w="378" w:type="pct"/>
                  <w:noWrap w:val="0"/>
                  <w:vAlign w:val="center"/>
                </w:tcPr>
                <w:p w14:paraId="50770918">
                  <w:pPr>
                    <w:jc w:val="center"/>
                    <w:rPr>
                      <w:rFonts w:hint="default" w:ascii="Times New Roman" w:hAnsi="Times New Roman"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sz w:val="21"/>
                      <w:szCs w:val="21"/>
                      <w:highlight w:val="none"/>
                      <w:lang w:val="en-US" w:eastAsia="zh-CN"/>
                    </w:rPr>
                    <w:t>/</w:t>
                  </w:r>
                </w:p>
              </w:tc>
            </w:tr>
            <w:tr w14:paraId="4D0506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331" w:hRule="atLeast"/>
                <w:jc w:val="center"/>
              </w:trPr>
              <w:tc>
                <w:tcPr>
                  <w:tcW w:w="253" w:type="pct"/>
                  <w:noWrap w:val="0"/>
                  <w:vAlign w:val="center"/>
                </w:tcPr>
                <w:p w14:paraId="0734F8CC">
                  <w:pPr>
                    <w:widowControl/>
                    <w:jc w:val="center"/>
                    <w:textAlignment w:val="center"/>
                    <w:rPr>
                      <w:rFonts w:hint="default" w:ascii="Times New Roman" w:hAnsi="Times New Roman"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9</w:t>
                  </w:r>
                </w:p>
              </w:tc>
              <w:tc>
                <w:tcPr>
                  <w:tcW w:w="621" w:type="pct"/>
                  <w:noWrap w:val="0"/>
                  <w:vAlign w:val="center"/>
                </w:tcPr>
                <w:p w14:paraId="7D940F61">
                  <w:pPr>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无水乙酸钠</w:t>
                  </w:r>
                </w:p>
              </w:tc>
              <w:tc>
                <w:tcPr>
                  <w:tcW w:w="576" w:type="pct"/>
                  <w:noWrap w:val="0"/>
                  <w:vAlign w:val="center"/>
                </w:tcPr>
                <w:p w14:paraId="1C7AB97D">
                  <w:pPr>
                    <w:jc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bCs/>
                      <w:color w:val="auto"/>
                      <w:sz w:val="21"/>
                      <w:szCs w:val="21"/>
                      <w:highlight w:val="none"/>
                    </w:rPr>
                    <w:t>500g</w:t>
                  </w:r>
                  <w:r>
                    <w:rPr>
                      <w:rFonts w:hint="eastAsia" w:cs="Times New Roman"/>
                      <w:bCs/>
                      <w:color w:val="auto"/>
                      <w:sz w:val="21"/>
                      <w:szCs w:val="21"/>
                      <w:highlight w:val="none"/>
                      <w:lang w:val="en-US" w:eastAsia="zh-CN"/>
                    </w:rPr>
                    <w:t>/瓶</w:t>
                  </w:r>
                </w:p>
              </w:tc>
              <w:tc>
                <w:tcPr>
                  <w:tcW w:w="534" w:type="pct"/>
                  <w:noWrap w:val="0"/>
                  <w:vAlign w:val="center"/>
                </w:tcPr>
                <w:p w14:paraId="59B092EB">
                  <w:pPr>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1kg</w:t>
                  </w:r>
                </w:p>
              </w:tc>
              <w:tc>
                <w:tcPr>
                  <w:tcW w:w="596" w:type="pct"/>
                  <w:noWrap w:val="0"/>
                  <w:vAlign w:val="center"/>
                </w:tcPr>
                <w:p w14:paraId="6FBCD354">
                  <w:pPr>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1kg</w:t>
                  </w:r>
                </w:p>
              </w:tc>
              <w:tc>
                <w:tcPr>
                  <w:tcW w:w="1614" w:type="pct"/>
                  <w:noWrap w:val="0"/>
                  <w:vAlign w:val="center"/>
                </w:tcPr>
                <w:p w14:paraId="4BD835EB">
                  <w:pPr>
                    <w:widowControl/>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无味的</w:t>
                  </w:r>
                  <w:r>
                    <w:rPr>
                      <w:rFonts w:hint="default" w:ascii="Times New Roman" w:hAnsi="Times New Roman" w:eastAsia="宋体" w:cs="Times New Roman"/>
                      <w:color w:val="auto"/>
                      <w:kern w:val="0"/>
                      <w:sz w:val="21"/>
                      <w:szCs w:val="21"/>
                      <w:highlight w:val="none"/>
                      <w:lang w:val="en-US" w:eastAsia="zh-CN" w:bidi="ar"/>
                    </w:rPr>
                    <w:t>白色</w:t>
                  </w:r>
                  <w:r>
                    <w:rPr>
                      <w:rFonts w:hint="eastAsia" w:cs="Times New Roman"/>
                      <w:color w:val="auto"/>
                      <w:kern w:val="0"/>
                      <w:sz w:val="21"/>
                      <w:szCs w:val="21"/>
                      <w:highlight w:val="none"/>
                      <w:lang w:val="en-US" w:eastAsia="zh-CN" w:bidi="ar"/>
                    </w:rPr>
                    <w:t>晶状</w:t>
                  </w:r>
                  <w:r>
                    <w:rPr>
                      <w:rFonts w:hint="default" w:ascii="Times New Roman" w:hAnsi="Times New Roman" w:eastAsia="宋体" w:cs="Times New Roman"/>
                      <w:color w:val="auto"/>
                      <w:kern w:val="0"/>
                      <w:sz w:val="21"/>
                      <w:szCs w:val="21"/>
                      <w:highlight w:val="none"/>
                      <w:lang w:val="en-US" w:eastAsia="zh-CN" w:bidi="ar"/>
                    </w:rPr>
                    <w:t>粉末</w:t>
                  </w:r>
                  <w:r>
                    <w:rPr>
                      <w:rFonts w:hint="default" w:ascii="Times New Roman" w:hAnsi="Times New Roman" w:eastAsia="宋体" w:cs="Times New Roman"/>
                      <w:color w:val="auto"/>
                      <w:kern w:val="0"/>
                      <w:sz w:val="21"/>
                      <w:szCs w:val="21"/>
                      <w:highlight w:val="none"/>
                      <w:lang w:bidi="ar"/>
                    </w:rPr>
                    <w:t>，</w:t>
                  </w:r>
                  <w:r>
                    <w:rPr>
                      <w:rFonts w:hint="default" w:ascii="Times New Roman" w:hAnsi="Times New Roman" w:eastAsia="宋体" w:cs="Times New Roman"/>
                      <w:color w:val="auto"/>
                      <w:kern w:val="0"/>
                      <w:sz w:val="21"/>
                      <w:szCs w:val="21"/>
                      <w:highlight w:val="none"/>
                      <w:lang w:val="en-US" w:eastAsia="zh-CN" w:bidi="ar"/>
                    </w:rPr>
                    <w:t>沸点为392.35℃，闪点为63℃，相对密度为1.53</w:t>
                  </w:r>
                  <w:r>
                    <w:rPr>
                      <w:rFonts w:hint="default" w:ascii="Times New Roman" w:hAnsi="Times New Roman" w:eastAsia="宋体" w:cs="Times New Roman"/>
                      <w:i w:val="0"/>
                      <w:iCs w:val="0"/>
                      <w:caps w:val="0"/>
                      <w:color w:val="auto"/>
                      <w:spacing w:val="0"/>
                      <w:sz w:val="21"/>
                      <w:szCs w:val="21"/>
                      <w:highlight w:val="none"/>
                    </w:rPr>
                    <w:t>g/cm³</w:t>
                  </w:r>
                  <w:r>
                    <w:rPr>
                      <w:rFonts w:hint="default" w:ascii="Times New Roman" w:hAnsi="Times New Roman" w:eastAsia="宋体" w:cs="Times New Roman"/>
                      <w:i w:val="0"/>
                      <w:iCs w:val="0"/>
                      <w:caps w:val="0"/>
                      <w:color w:val="auto"/>
                      <w:spacing w:val="0"/>
                      <w:sz w:val="21"/>
                      <w:szCs w:val="21"/>
                      <w:highlight w:val="none"/>
                      <w:lang w:eastAsia="zh-CN"/>
                    </w:rPr>
                    <w:t>，</w:t>
                  </w:r>
                  <w:r>
                    <w:rPr>
                      <w:rFonts w:hint="default" w:ascii="Times New Roman" w:hAnsi="Times New Roman" w:eastAsia="宋体" w:cs="Times New Roman"/>
                      <w:i w:val="0"/>
                      <w:iCs w:val="0"/>
                      <w:caps w:val="0"/>
                      <w:color w:val="auto"/>
                      <w:spacing w:val="0"/>
                      <w:sz w:val="21"/>
                      <w:szCs w:val="21"/>
                      <w:highlight w:val="none"/>
                      <w:lang w:val="en-US" w:eastAsia="zh-CN"/>
                    </w:rPr>
                    <w:t>熔点为324℃，</w:t>
                  </w:r>
                  <w:r>
                    <w:rPr>
                      <w:rFonts w:hint="default" w:ascii="Times New Roman" w:hAnsi="Times New Roman" w:eastAsia="宋体" w:cs="Times New Roman"/>
                      <w:color w:val="auto"/>
                      <w:kern w:val="0"/>
                      <w:sz w:val="21"/>
                      <w:szCs w:val="21"/>
                      <w:highlight w:val="none"/>
                      <w:lang w:bidi="ar"/>
                    </w:rPr>
                    <w:t>在空气中可被风化，可燃。易溶于水，微溶于乙醇，不溶于乙醚</w:t>
                  </w:r>
                  <w:r>
                    <w:rPr>
                      <w:rFonts w:hint="eastAsia" w:cs="Times New Roman"/>
                      <w:color w:val="auto"/>
                      <w:kern w:val="0"/>
                      <w:sz w:val="21"/>
                      <w:szCs w:val="21"/>
                      <w:highlight w:val="none"/>
                      <w:lang w:eastAsia="zh-CN" w:bidi="ar"/>
                    </w:rPr>
                    <w:t>，</w:t>
                  </w:r>
                  <w:r>
                    <w:rPr>
                      <w:rFonts w:hint="default" w:ascii="Times New Roman" w:hAnsi="Times New Roman" w:eastAsia="宋体" w:cs="Times New Roman"/>
                      <w:color w:val="auto"/>
                      <w:kern w:val="0"/>
                      <w:sz w:val="21"/>
                      <w:szCs w:val="21"/>
                      <w:highlight w:val="none"/>
                      <w:lang w:bidi="ar"/>
                    </w:rPr>
                    <w:t>易吸湿。</w:t>
                  </w:r>
                </w:p>
              </w:tc>
              <w:tc>
                <w:tcPr>
                  <w:tcW w:w="425" w:type="pct"/>
                  <w:noWrap w:val="0"/>
                  <w:vAlign w:val="center"/>
                </w:tcPr>
                <w:p w14:paraId="0E9296EC">
                  <w:pPr>
                    <w:widowControl/>
                    <w:jc w:val="center"/>
                    <w:textAlignment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否</w:t>
                  </w:r>
                </w:p>
              </w:tc>
              <w:tc>
                <w:tcPr>
                  <w:tcW w:w="378" w:type="pct"/>
                  <w:noWrap w:val="0"/>
                  <w:vAlign w:val="center"/>
                </w:tcPr>
                <w:p w14:paraId="5DA4B885">
                  <w:pPr>
                    <w:jc w:val="center"/>
                    <w:rPr>
                      <w:rFonts w:hint="default" w:ascii="Times New Roman" w:hAnsi="Times New Roman"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sz w:val="21"/>
                      <w:szCs w:val="21"/>
                      <w:highlight w:val="none"/>
                      <w:lang w:val="en-US" w:eastAsia="zh-CN"/>
                    </w:rPr>
                    <w:t>/</w:t>
                  </w:r>
                </w:p>
              </w:tc>
            </w:tr>
            <w:tr w14:paraId="48CE8D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723" w:hRule="atLeast"/>
                <w:jc w:val="center"/>
              </w:trPr>
              <w:tc>
                <w:tcPr>
                  <w:tcW w:w="253" w:type="pct"/>
                  <w:noWrap w:val="0"/>
                  <w:vAlign w:val="center"/>
                </w:tcPr>
                <w:p w14:paraId="7D3C76BF">
                  <w:pPr>
                    <w:widowControl/>
                    <w:jc w:val="center"/>
                    <w:textAlignment w:val="center"/>
                    <w:rPr>
                      <w:rFonts w:hint="default" w:ascii="Times New Roman" w:hAnsi="Times New Roman"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10</w:t>
                  </w:r>
                </w:p>
              </w:tc>
              <w:tc>
                <w:tcPr>
                  <w:tcW w:w="621" w:type="pct"/>
                  <w:noWrap w:val="0"/>
                  <w:vAlign w:val="center"/>
                </w:tcPr>
                <w:p w14:paraId="3F19242D">
                  <w:pPr>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尿素</w:t>
                  </w:r>
                </w:p>
              </w:tc>
              <w:tc>
                <w:tcPr>
                  <w:tcW w:w="576" w:type="pct"/>
                  <w:noWrap w:val="0"/>
                  <w:vAlign w:val="center"/>
                </w:tcPr>
                <w:p w14:paraId="2BECA41F">
                  <w:pPr>
                    <w:tabs>
                      <w:tab w:val="left" w:pos="1088"/>
                    </w:tabs>
                    <w:jc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bCs/>
                      <w:color w:val="auto"/>
                      <w:sz w:val="21"/>
                      <w:szCs w:val="21"/>
                      <w:highlight w:val="none"/>
                    </w:rPr>
                    <w:t>500g</w:t>
                  </w:r>
                  <w:r>
                    <w:rPr>
                      <w:rFonts w:hint="eastAsia" w:cs="Times New Roman"/>
                      <w:bCs/>
                      <w:color w:val="auto"/>
                      <w:sz w:val="21"/>
                      <w:szCs w:val="21"/>
                      <w:highlight w:val="none"/>
                      <w:lang w:val="en-US" w:eastAsia="zh-CN"/>
                    </w:rPr>
                    <w:t>/瓶</w:t>
                  </w:r>
                </w:p>
              </w:tc>
              <w:tc>
                <w:tcPr>
                  <w:tcW w:w="534" w:type="pct"/>
                  <w:noWrap w:val="0"/>
                  <w:vAlign w:val="center"/>
                </w:tcPr>
                <w:p w14:paraId="5A0C5EBB">
                  <w:pPr>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1kg</w:t>
                  </w:r>
                </w:p>
              </w:tc>
              <w:tc>
                <w:tcPr>
                  <w:tcW w:w="596" w:type="pct"/>
                  <w:noWrap w:val="0"/>
                  <w:vAlign w:val="center"/>
                </w:tcPr>
                <w:p w14:paraId="35E9DA7E">
                  <w:pPr>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1kg</w:t>
                  </w:r>
                </w:p>
              </w:tc>
              <w:tc>
                <w:tcPr>
                  <w:tcW w:w="1614" w:type="pct"/>
                  <w:noWrap w:val="0"/>
                  <w:vAlign w:val="center"/>
                </w:tcPr>
                <w:p w14:paraId="7E11F212">
                  <w:pPr>
                    <w:widowControl/>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无色或白色</w:t>
                  </w:r>
                  <w:r>
                    <w:rPr>
                      <w:rFonts w:hint="eastAsia" w:cs="Times New Roman"/>
                      <w:color w:val="auto"/>
                      <w:kern w:val="0"/>
                      <w:sz w:val="21"/>
                      <w:szCs w:val="21"/>
                      <w:highlight w:val="none"/>
                      <w:lang w:val="en-US" w:eastAsia="zh-CN" w:bidi="ar"/>
                    </w:rPr>
                    <w:t>颗粒</w:t>
                  </w:r>
                  <w:r>
                    <w:rPr>
                      <w:rFonts w:hint="default" w:ascii="Times New Roman" w:hAnsi="Times New Roman" w:eastAsia="宋体" w:cs="Times New Roman"/>
                      <w:color w:val="auto"/>
                      <w:kern w:val="0"/>
                      <w:sz w:val="21"/>
                      <w:szCs w:val="21"/>
                      <w:highlight w:val="none"/>
                      <w:lang w:bidi="ar"/>
                    </w:rPr>
                    <w:t>，无臭无味</w:t>
                  </w:r>
                  <w:r>
                    <w:rPr>
                      <w:rFonts w:hint="eastAsia" w:cs="Times New Roman"/>
                      <w:color w:val="auto"/>
                      <w:kern w:val="0"/>
                      <w:sz w:val="21"/>
                      <w:szCs w:val="21"/>
                      <w:highlight w:val="none"/>
                      <w:lang w:eastAsia="zh-CN" w:bidi="ar"/>
                    </w:rPr>
                    <w:t>，</w:t>
                  </w:r>
                  <w:r>
                    <w:rPr>
                      <w:rFonts w:hint="default" w:ascii="Times New Roman" w:hAnsi="Times New Roman" w:eastAsia="宋体" w:cs="Times New Roman"/>
                      <w:color w:val="auto"/>
                      <w:kern w:val="0"/>
                      <w:sz w:val="21"/>
                      <w:szCs w:val="21"/>
                      <w:highlight w:val="none"/>
                      <w:lang w:bidi="ar"/>
                    </w:rPr>
                    <w:t>又称碳酰胺（carbamide)</w:t>
                  </w:r>
                  <w:r>
                    <w:rPr>
                      <w:rFonts w:hint="eastAsia" w:cs="Times New Roman"/>
                      <w:color w:val="auto"/>
                      <w:kern w:val="0"/>
                      <w:sz w:val="21"/>
                      <w:szCs w:val="21"/>
                      <w:highlight w:val="none"/>
                      <w:lang w:eastAsia="zh-CN" w:bidi="ar"/>
                    </w:rPr>
                    <w:t>，</w:t>
                  </w:r>
                  <w:r>
                    <w:rPr>
                      <w:rFonts w:hint="default" w:ascii="Times New Roman" w:hAnsi="Times New Roman" w:eastAsia="宋体" w:cs="Times New Roman"/>
                      <w:color w:val="auto"/>
                      <w:kern w:val="0"/>
                      <w:sz w:val="21"/>
                      <w:szCs w:val="21"/>
                      <w:highlight w:val="none"/>
                      <w:lang w:bidi="ar"/>
                    </w:rPr>
                    <w:t>是哺乳动物和某些鱼类体内蛋白质代谢分解的主要含氮终产物。密度1.335g/cm</w:t>
                  </w:r>
                  <w:r>
                    <w:rPr>
                      <w:rFonts w:hint="default" w:ascii="Times New Roman" w:hAnsi="Times New Roman" w:eastAsia="宋体" w:cs="Times New Roman"/>
                      <w:color w:val="auto"/>
                      <w:kern w:val="0"/>
                      <w:sz w:val="21"/>
                      <w:szCs w:val="21"/>
                      <w:highlight w:val="none"/>
                      <w:vertAlign w:val="superscript"/>
                      <w:lang w:bidi="ar"/>
                    </w:rPr>
                    <w:t>3</w:t>
                  </w:r>
                  <w:r>
                    <w:rPr>
                      <w:rFonts w:hint="default" w:ascii="Times New Roman" w:hAnsi="Times New Roman" w:eastAsia="宋体" w:cs="Times New Roman"/>
                      <w:color w:val="auto"/>
                      <w:kern w:val="0"/>
                      <w:sz w:val="21"/>
                      <w:szCs w:val="21"/>
                      <w:highlight w:val="none"/>
                      <w:lang w:bidi="ar"/>
                    </w:rPr>
                    <w:t>。熔点132.7℃。溶于水、醇，难溶于乙醚、氯仿。</w:t>
                  </w:r>
                </w:p>
              </w:tc>
              <w:tc>
                <w:tcPr>
                  <w:tcW w:w="425" w:type="pct"/>
                  <w:noWrap w:val="0"/>
                  <w:vAlign w:val="center"/>
                </w:tcPr>
                <w:p w14:paraId="3E4EEA44">
                  <w:pPr>
                    <w:widowControl/>
                    <w:jc w:val="center"/>
                    <w:textAlignment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否</w:t>
                  </w:r>
                </w:p>
              </w:tc>
              <w:tc>
                <w:tcPr>
                  <w:tcW w:w="378" w:type="pct"/>
                  <w:noWrap w:val="0"/>
                  <w:vAlign w:val="center"/>
                </w:tcPr>
                <w:p w14:paraId="62B68C98">
                  <w:pPr>
                    <w:jc w:val="center"/>
                    <w:rPr>
                      <w:rFonts w:hint="default" w:ascii="Times New Roman" w:hAnsi="Times New Roman"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sz w:val="21"/>
                      <w:szCs w:val="21"/>
                      <w:highlight w:val="none"/>
                      <w:lang w:val="en-US" w:eastAsia="zh-CN"/>
                    </w:rPr>
                    <w:t>/</w:t>
                  </w:r>
                </w:p>
              </w:tc>
            </w:tr>
            <w:tr w14:paraId="4438E0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535" w:hRule="atLeast"/>
                <w:jc w:val="center"/>
              </w:trPr>
              <w:tc>
                <w:tcPr>
                  <w:tcW w:w="253" w:type="pct"/>
                  <w:noWrap w:val="0"/>
                  <w:vAlign w:val="center"/>
                </w:tcPr>
                <w:p w14:paraId="6307F849">
                  <w:pPr>
                    <w:widowControl/>
                    <w:jc w:val="center"/>
                    <w:textAlignment w:val="center"/>
                    <w:rPr>
                      <w:rFonts w:hint="default" w:ascii="Times New Roman" w:hAnsi="Times New Roman"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11</w:t>
                  </w:r>
                </w:p>
              </w:tc>
              <w:tc>
                <w:tcPr>
                  <w:tcW w:w="621" w:type="pct"/>
                  <w:noWrap w:val="0"/>
                  <w:vAlign w:val="center"/>
                </w:tcPr>
                <w:p w14:paraId="404224CE">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甲醇</w:t>
                  </w:r>
                </w:p>
              </w:tc>
              <w:tc>
                <w:tcPr>
                  <w:tcW w:w="576" w:type="pct"/>
                  <w:noWrap w:val="0"/>
                  <w:vAlign w:val="center"/>
                </w:tcPr>
                <w:p w14:paraId="3C8C4331">
                  <w:pPr>
                    <w:tabs>
                      <w:tab w:val="left" w:pos="1088"/>
                    </w:tabs>
                    <w:jc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bCs/>
                      <w:color w:val="auto"/>
                      <w:sz w:val="21"/>
                      <w:szCs w:val="21"/>
                      <w:highlight w:val="none"/>
                    </w:rPr>
                    <w:t>500ml</w:t>
                  </w:r>
                  <w:r>
                    <w:rPr>
                      <w:rFonts w:hint="eastAsia" w:cs="Times New Roman"/>
                      <w:bCs/>
                      <w:color w:val="auto"/>
                      <w:sz w:val="21"/>
                      <w:szCs w:val="21"/>
                      <w:highlight w:val="none"/>
                      <w:lang w:val="en-US" w:eastAsia="zh-CN"/>
                    </w:rPr>
                    <w:t>/瓶</w:t>
                  </w:r>
                </w:p>
              </w:tc>
              <w:tc>
                <w:tcPr>
                  <w:tcW w:w="534" w:type="pct"/>
                  <w:noWrap w:val="0"/>
                  <w:vAlign w:val="center"/>
                </w:tcPr>
                <w:p w14:paraId="011962B3">
                  <w:pPr>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2.5</w:t>
                  </w:r>
                  <w:r>
                    <w:rPr>
                      <w:rFonts w:hint="eastAsia" w:cs="Times New Roman"/>
                      <w:color w:val="auto"/>
                      <w:sz w:val="21"/>
                      <w:szCs w:val="21"/>
                      <w:highlight w:val="none"/>
                      <w:lang w:val="en-US" w:eastAsia="zh-CN"/>
                    </w:rPr>
                    <w:t>kg</w:t>
                  </w:r>
                </w:p>
              </w:tc>
              <w:tc>
                <w:tcPr>
                  <w:tcW w:w="596" w:type="pct"/>
                  <w:noWrap w:val="0"/>
                  <w:vAlign w:val="center"/>
                </w:tcPr>
                <w:p w14:paraId="4F4E1EA5">
                  <w:pPr>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2.5</w:t>
                  </w:r>
                  <w:r>
                    <w:rPr>
                      <w:rFonts w:hint="eastAsia" w:cs="Times New Roman"/>
                      <w:color w:val="auto"/>
                      <w:sz w:val="21"/>
                      <w:szCs w:val="21"/>
                      <w:highlight w:val="none"/>
                      <w:lang w:val="en-US" w:eastAsia="zh-CN"/>
                    </w:rPr>
                    <w:t>kg</w:t>
                  </w:r>
                </w:p>
              </w:tc>
              <w:tc>
                <w:tcPr>
                  <w:tcW w:w="1614" w:type="pct"/>
                  <w:noWrap w:val="0"/>
                  <w:vAlign w:val="center"/>
                </w:tcPr>
                <w:p w14:paraId="684FC929">
                  <w:pPr>
                    <w:widowControl/>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称“木醇”或“木精”。是无色有酒精气味易挥发的液体。</w:t>
                  </w:r>
                  <w:r>
                    <w:rPr>
                      <w:rFonts w:hint="default" w:ascii="Times New Roman" w:hAnsi="Times New Roman" w:eastAsia="宋体" w:cs="Times New Roman"/>
                      <w:i w:val="0"/>
                      <w:iCs w:val="0"/>
                      <w:caps w:val="0"/>
                      <w:color w:val="auto"/>
                      <w:spacing w:val="0"/>
                      <w:sz w:val="21"/>
                      <w:szCs w:val="21"/>
                      <w:highlight w:val="none"/>
                    </w:rPr>
                    <w:t>有刺激性气味</w:t>
                  </w:r>
                  <w:r>
                    <w:rPr>
                      <w:rFonts w:hint="default" w:ascii="Times New Roman" w:hAnsi="Times New Roman" w:eastAsia="宋体" w:cs="Times New Roman"/>
                      <w:i w:val="0"/>
                      <w:iCs w:val="0"/>
                      <w:caps w:val="0"/>
                      <w:color w:val="auto"/>
                      <w:spacing w:val="0"/>
                      <w:sz w:val="21"/>
                      <w:szCs w:val="21"/>
                      <w:highlight w:val="none"/>
                      <w:lang w:eastAsia="zh-CN"/>
                    </w:rPr>
                    <w:t>，</w:t>
                  </w:r>
                  <w:r>
                    <w:rPr>
                      <w:rFonts w:hint="default" w:ascii="Times New Roman" w:hAnsi="Times New Roman" w:eastAsia="宋体" w:cs="Times New Roman"/>
                      <w:color w:val="auto"/>
                      <w:kern w:val="0"/>
                      <w:sz w:val="21"/>
                      <w:szCs w:val="21"/>
                      <w:highlight w:val="none"/>
                      <w:lang w:bidi="ar"/>
                    </w:rPr>
                    <w:t>透明无色液体，熔点：-98℃，</w:t>
                  </w:r>
                  <w:r>
                    <w:rPr>
                      <w:rFonts w:hint="default" w:ascii="Times New Roman" w:hAnsi="Times New Roman" w:eastAsia="宋体" w:cs="Times New Roman"/>
                      <w:color w:val="auto"/>
                      <w:kern w:val="0"/>
                      <w:sz w:val="21"/>
                      <w:szCs w:val="21"/>
                      <w:highlight w:val="none"/>
                      <w:lang w:val="en-US" w:eastAsia="zh-CN" w:bidi="ar"/>
                    </w:rPr>
                    <w:t>闪点为9.7℃，</w:t>
                  </w:r>
                  <w:r>
                    <w:rPr>
                      <w:rFonts w:hint="default" w:ascii="Times New Roman" w:hAnsi="Times New Roman" w:eastAsia="宋体" w:cs="Times New Roman"/>
                      <w:color w:val="auto"/>
                      <w:kern w:val="0"/>
                      <w:sz w:val="21"/>
                      <w:szCs w:val="21"/>
                      <w:highlight w:val="none"/>
                      <w:lang w:bidi="ar"/>
                    </w:rPr>
                    <w:t>沸点：64.5～64.7℃。密度：0.791g/</w:t>
                  </w:r>
                  <w:r>
                    <w:rPr>
                      <w:rFonts w:hint="default" w:ascii="Times New Roman" w:hAnsi="Times New Roman" w:eastAsia="宋体" w:cs="Times New Roman"/>
                      <w:color w:val="auto"/>
                      <w:kern w:val="0"/>
                      <w:sz w:val="21"/>
                      <w:szCs w:val="21"/>
                      <w:highlight w:val="none"/>
                      <w:lang w:val="en-US" w:eastAsia="zh-CN" w:bidi="ar"/>
                    </w:rPr>
                    <w:t>cm</w:t>
                  </w:r>
                  <w:r>
                    <w:rPr>
                      <w:rFonts w:hint="default" w:ascii="Times New Roman" w:hAnsi="Times New Roman" w:eastAsia="宋体" w:cs="Times New Roman"/>
                      <w:color w:val="auto"/>
                      <w:kern w:val="0"/>
                      <w:sz w:val="21"/>
                      <w:szCs w:val="21"/>
                      <w:highlight w:val="none"/>
                      <w:vertAlign w:val="superscript"/>
                      <w:lang w:val="en-US" w:eastAsia="zh-CN" w:bidi="ar"/>
                    </w:rPr>
                    <w:t>3</w:t>
                  </w:r>
                  <w:r>
                    <w:rPr>
                      <w:rFonts w:hint="default" w:ascii="Times New Roman" w:hAnsi="Times New Roman" w:eastAsia="宋体" w:cs="Times New Roman"/>
                      <w:color w:val="auto"/>
                      <w:kern w:val="0"/>
                      <w:sz w:val="21"/>
                      <w:szCs w:val="21"/>
                      <w:highlight w:val="none"/>
                      <w:lang w:bidi="ar"/>
                    </w:rPr>
                    <w:t>。</w:t>
                  </w:r>
                  <w:r>
                    <w:rPr>
                      <w:rFonts w:hint="default" w:ascii="Times New Roman" w:hAnsi="Times New Roman" w:eastAsia="宋体" w:cs="Times New Roman"/>
                      <w:color w:val="auto"/>
                      <w:kern w:val="2"/>
                      <w:sz w:val="21"/>
                      <w:szCs w:val="21"/>
                      <w:highlight w:val="none"/>
                    </w:rPr>
                    <w:t>属于风险导则附录</w:t>
                  </w:r>
                  <w:r>
                    <w:rPr>
                      <w:rFonts w:hint="default" w:ascii="Times New Roman" w:hAnsi="Times New Roman" w:eastAsia="宋体" w:cs="Times New Roman"/>
                      <w:color w:val="auto"/>
                      <w:kern w:val="2"/>
                      <w:sz w:val="21"/>
                      <w:szCs w:val="21"/>
                      <w:highlight w:val="none"/>
                      <w:lang w:val="en-US" w:eastAsia="zh-CN"/>
                    </w:rPr>
                    <w:t>B</w:t>
                  </w:r>
                  <w:r>
                    <w:rPr>
                      <w:rFonts w:hint="eastAsia" w:cs="Times New Roman"/>
                      <w:color w:val="auto"/>
                      <w:kern w:val="2"/>
                      <w:sz w:val="21"/>
                      <w:szCs w:val="21"/>
                      <w:highlight w:val="none"/>
                      <w:lang w:val="en-US" w:eastAsia="zh-CN"/>
                    </w:rPr>
                    <w:t>.1</w:t>
                  </w:r>
                  <w:r>
                    <w:rPr>
                      <w:rFonts w:hint="default" w:ascii="Times New Roman" w:hAnsi="Times New Roman" w:eastAsia="宋体" w:cs="Times New Roman"/>
                      <w:color w:val="auto"/>
                      <w:kern w:val="2"/>
                      <w:sz w:val="21"/>
                      <w:szCs w:val="21"/>
                      <w:highlight w:val="none"/>
                    </w:rPr>
                    <w:t>中的风险物质。</w:t>
                  </w:r>
                </w:p>
              </w:tc>
              <w:tc>
                <w:tcPr>
                  <w:tcW w:w="425" w:type="pct"/>
                  <w:noWrap w:val="0"/>
                  <w:vAlign w:val="center"/>
                </w:tcPr>
                <w:p w14:paraId="3B4D3744">
                  <w:pPr>
                    <w:widowControl/>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是</w:t>
                  </w:r>
                </w:p>
              </w:tc>
              <w:tc>
                <w:tcPr>
                  <w:tcW w:w="378" w:type="pct"/>
                  <w:noWrap w:val="0"/>
                  <w:vAlign w:val="center"/>
                </w:tcPr>
                <w:p w14:paraId="54B3FF09">
                  <w:pPr>
                    <w:jc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10</w:t>
                  </w:r>
                </w:p>
              </w:tc>
            </w:tr>
            <w:tr w14:paraId="675C8F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723" w:hRule="atLeast"/>
                <w:jc w:val="center"/>
              </w:trPr>
              <w:tc>
                <w:tcPr>
                  <w:tcW w:w="253" w:type="pct"/>
                  <w:noWrap w:val="0"/>
                  <w:vAlign w:val="center"/>
                </w:tcPr>
                <w:p w14:paraId="392F2683">
                  <w:pPr>
                    <w:widowControl/>
                    <w:jc w:val="center"/>
                    <w:textAlignment w:val="center"/>
                    <w:rPr>
                      <w:rFonts w:hint="default" w:ascii="Times New Roman" w:hAnsi="Times New Roman"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12</w:t>
                  </w:r>
                </w:p>
              </w:tc>
              <w:tc>
                <w:tcPr>
                  <w:tcW w:w="621" w:type="pct"/>
                  <w:noWrap w:val="0"/>
                  <w:vAlign w:val="center"/>
                </w:tcPr>
                <w:p w14:paraId="3E715DF8">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无水乙醇</w:t>
                  </w:r>
                </w:p>
              </w:tc>
              <w:tc>
                <w:tcPr>
                  <w:tcW w:w="576" w:type="pct"/>
                  <w:noWrap w:val="0"/>
                  <w:vAlign w:val="center"/>
                </w:tcPr>
                <w:p w14:paraId="631711F1">
                  <w:pPr>
                    <w:tabs>
                      <w:tab w:val="left" w:pos="1088"/>
                    </w:tabs>
                    <w:jc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bCs/>
                      <w:color w:val="auto"/>
                      <w:sz w:val="21"/>
                      <w:szCs w:val="21"/>
                      <w:highlight w:val="none"/>
                    </w:rPr>
                    <w:t>500ml</w:t>
                  </w:r>
                  <w:r>
                    <w:rPr>
                      <w:rFonts w:hint="eastAsia" w:cs="Times New Roman"/>
                      <w:bCs/>
                      <w:color w:val="auto"/>
                      <w:sz w:val="21"/>
                      <w:szCs w:val="21"/>
                      <w:highlight w:val="none"/>
                      <w:lang w:val="en-US" w:eastAsia="zh-CN"/>
                    </w:rPr>
                    <w:t>/瓶</w:t>
                  </w:r>
                </w:p>
              </w:tc>
              <w:tc>
                <w:tcPr>
                  <w:tcW w:w="534" w:type="pct"/>
                  <w:noWrap w:val="0"/>
                  <w:vAlign w:val="center"/>
                </w:tcPr>
                <w:p w14:paraId="06B1D79F">
                  <w:pPr>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4</w:t>
                  </w:r>
                  <w:r>
                    <w:rPr>
                      <w:rFonts w:hint="eastAsia" w:cs="Times New Roman"/>
                      <w:color w:val="auto"/>
                      <w:sz w:val="21"/>
                      <w:szCs w:val="21"/>
                      <w:highlight w:val="none"/>
                      <w:lang w:val="en-US" w:eastAsia="zh-CN"/>
                    </w:rPr>
                    <w:t>kg</w:t>
                  </w:r>
                </w:p>
              </w:tc>
              <w:tc>
                <w:tcPr>
                  <w:tcW w:w="596" w:type="pct"/>
                  <w:noWrap w:val="0"/>
                  <w:vAlign w:val="center"/>
                </w:tcPr>
                <w:p w14:paraId="1598791D">
                  <w:pPr>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4</w:t>
                  </w:r>
                  <w:r>
                    <w:rPr>
                      <w:rFonts w:hint="eastAsia" w:cs="Times New Roman"/>
                      <w:color w:val="auto"/>
                      <w:sz w:val="21"/>
                      <w:szCs w:val="21"/>
                      <w:highlight w:val="none"/>
                      <w:lang w:val="en-US" w:eastAsia="zh-CN"/>
                    </w:rPr>
                    <w:t>kg</w:t>
                  </w:r>
                </w:p>
              </w:tc>
              <w:tc>
                <w:tcPr>
                  <w:tcW w:w="1614" w:type="pct"/>
                  <w:noWrap w:val="0"/>
                  <w:vAlign w:val="center"/>
                </w:tcPr>
                <w:p w14:paraId="6A72AC05">
                  <w:pPr>
                    <w:widowControl/>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乙醇是一种有机物，俗称酒精，在常温、常压下是一种易燃、易挥发的无色透明液体，它的水溶液具有酒香的气味，并略带刺激。乙醇密度是0.789g/cm</w:t>
                  </w:r>
                  <w:r>
                    <w:rPr>
                      <w:rFonts w:hint="default" w:ascii="Times New Roman" w:hAnsi="Times New Roman" w:eastAsia="宋体" w:cs="Times New Roman"/>
                      <w:color w:val="auto"/>
                      <w:kern w:val="0"/>
                      <w:sz w:val="21"/>
                      <w:szCs w:val="21"/>
                      <w:highlight w:val="none"/>
                      <w:vertAlign w:val="superscript"/>
                      <w:lang w:bidi="ar"/>
                    </w:rPr>
                    <w:t>3</w:t>
                  </w:r>
                  <w:r>
                    <w:rPr>
                      <w:rFonts w:hint="default" w:ascii="Times New Roman" w:hAnsi="Times New Roman" w:eastAsia="宋体" w:cs="Times New Roman"/>
                      <w:color w:val="auto"/>
                      <w:kern w:val="0"/>
                      <w:sz w:val="21"/>
                      <w:szCs w:val="21"/>
                      <w:highlight w:val="none"/>
                      <w:lang w:bidi="ar"/>
                    </w:rPr>
                    <w:t>，沸点是78.3℃，熔点是-114.1℃，</w:t>
                  </w:r>
                  <w:r>
                    <w:rPr>
                      <w:rFonts w:hint="eastAsia" w:cs="Times New Roman"/>
                      <w:color w:val="auto"/>
                      <w:kern w:val="0"/>
                      <w:sz w:val="21"/>
                      <w:szCs w:val="21"/>
                      <w:highlight w:val="none"/>
                      <w:lang w:val="en-US" w:eastAsia="zh-CN" w:bidi="ar"/>
                    </w:rPr>
                    <w:t>闪点是13℃，</w:t>
                  </w:r>
                  <w:r>
                    <w:rPr>
                      <w:rFonts w:hint="default" w:ascii="Times New Roman" w:hAnsi="Times New Roman" w:eastAsia="宋体" w:cs="Times New Roman"/>
                      <w:color w:val="auto"/>
                      <w:kern w:val="0"/>
                      <w:sz w:val="21"/>
                      <w:szCs w:val="21"/>
                      <w:highlight w:val="none"/>
                      <w:lang w:bidi="ar"/>
                    </w:rPr>
                    <w:t>易燃，能与水以任意比互溶。</w:t>
                  </w:r>
                  <w:r>
                    <w:rPr>
                      <w:rFonts w:hint="eastAsia" w:cs="Times New Roman"/>
                      <w:color w:val="auto"/>
                      <w:kern w:val="0"/>
                      <w:sz w:val="21"/>
                      <w:szCs w:val="21"/>
                      <w:highlight w:val="none"/>
                      <w:lang w:val="en-US" w:eastAsia="zh-CN" w:bidi="ar"/>
                    </w:rPr>
                    <w:t>属于</w:t>
                  </w:r>
                  <w:r>
                    <w:rPr>
                      <w:rFonts w:hint="default" w:ascii="Times New Roman" w:hAnsi="Times New Roman" w:eastAsia="宋体" w:cs="Times New Roman"/>
                      <w:b w:val="0"/>
                      <w:bCs w:val="0"/>
                      <w:color w:val="auto"/>
                      <w:kern w:val="2"/>
                      <w:sz w:val="21"/>
                      <w:szCs w:val="21"/>
                      <w:highlight w:val="none"/>
                      <w:lang w:val="en-US" w:eastAsia="zh-CN" w:bidi="ar-SA"/>
                    </w:rPr>
                    <w:t>《危险化学品重大危险源辨识》（GB18218-2018）</w:t>
                  </w:r>
                  <w:r>
                    <w:rPr>
                      <w:rFonts w:hint="eastAsia" w:ascii="Times New Roman" w:hAnsi="Times New Roman" w:cs="Times New Roman"/>
                      <w:b w:val="0"/>
                      <w:bCs w:val="0"/>
                      <w:color w:val="auto"/>
                      <w:kern w:val="2"/>
                      <w:sz w:val="21"/>
                      <w:szCs w:val="21"/>
                      <w:highlight w:val="none"/>
                      <w:lang w:val="en-US" w:eastAsia="zh-CN" w:bidi="ar-SA"/>
                    </w:rPr>
                    <w:t>表1的风险物质</w:t>
                  </w:r>
                  <w:r>
                    <w:rPr>
                      <w:rFonts w:hint="eastAsia" w:cs="Times New Roman"/>
                      <w:b w:val="0"/>
                      <w:bCs w:val="0"/>
                      <w:color w:val="auto"/>
                      <w:kern w:val="2"/>
                      <w:sz w:val="21"/>
                      <w:szCs w:val="21"/>
                      <w:highlight w:val="none"/>
                      <w:lang w:val="en-US" w:eastAsia="zh-CN" w:bidi="ar-SA"/>
                    </w:rPr>
                    <w:t>。</w:t>
                  </w:r>
                </w:p>
              </w:tc>
              <w:tc>
                <w:tcPr>
                  <w:tcW w:w="425" w:type="pct"/>
                  <w:noWrap w:val="0"/>
                  <w:vAlign w:val="center"/>
                </w:tcPr>
                <w:p w14:paraId="519F9CD8">
                  <w:pPr>
                    <w:widowControl/>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是</w:t>
                  </w:r>
                </w:p>
              </w:tc>
              <w:tc>
                <w:tcPr>
                  <w:tcW w:w="378" w:type="pct"/>
                  <w:noWrap w:val="0"/>
                  <w:vAlign w:val="center"/>
                </w:tcPr>
                <w:p w14:paraId="21E3AFF9">
                  <w:pPr>
                    <w:jc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50</w:t>
                  </w:r>
                  <w:r>
                    <w:rPr>
                      <w:rFonts w:hint="eastAsia" w:cs="Times New Roman"/>
                      <w:b w:val="0"/>
                      <w:bCs w:val="0"/>
                      <w:color w:val="auto"/>
                      <w:sz w:val="21"/>
                      <w:szCs w:val="21"/>
                      <w:highlight w:val="none"/>
                      <w:lang w:val="en-US" w:eastAsia="zh-CN"/>
                    </w:rPr>
                    <w:t>0</w:t>
                  </w:r>
                </w:p>
              </w:tc>
            </w:tr>
            <w:tr w14:paraId="198B9F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723" w:hRule="atLeast"/>
                <w:jc w:val="center"/>
              </w:trPr>
              <w:tc>
                <w:tcPr>
                  <w:tcW w:w="253" w:type="pct"/>
                  <w:noWrap w:val="0"/>
                  <w:vAlign w:val="center"/>
                </w:tcPr>
                <w:p w14:paraId="6695CFB7">
                  <w:pPr>
                    <w:widowControl/>
                    <w:jc w:val="center"/>
                    <w:textAlignment w:val="center"/>
                    <w:rPr>
                      <w:rFonts w:hint="default" w:ascii="Times New Roman" w:hAnsi="Times New Roman"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13</w:t>
                  </w:r>
                </w:p>
              </w:tc>
              <w:tc>
                <w:tcPr>
                  <w:tcW w:w="621" w:type="pct"/>
                  <w:noWrap w:val="0"/>
                  <w:vAlign w:val="center"/>
                </w:tcPr>
                <w:p w14:paraId="7695ADE1">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丙酮</w:t>
                  </w:r>
                </w:p>
              </w:tc>
              <w:tc>
                <w:tcPr>
                  <w:tcW w:w="576" w:type="pct"/>
                  <w:noWrap w:val="0"/>
                  <w:vAlign w:val="center"/>
                </w:tcPr>
                <w:p w14:paraId="2A4F10C0">
                  <w:pPr>
                    <w:tabs>
                      <w:tab w:val="left" w:pos="1088"/>
                    </w:tabs>
                    <w:jc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bCs/>
                      <w:color w:val="auto"/>
                      <w:sz w:val="21"/>
                      <w:szCs w:val="21"/>
                      <w:highlight w:val="none"/>
                    </w:rPr>
                    <w:t>99.5%，500ml</w:t>
                  </w:r>
                  <w:r>
                    <w:rPr>
                      <w:rFonts w:hint="eastAsia" w:cs="Times New Roman"/>
                      <w:bCs/>
                      <w:color w:val="auto"/>
                      <w:sz w:val="21"/>
                      <w:szCs w:val="21"/>
                      <w:highlight w:val="none"/>
                      <w:lang w:val="en-US" w:eastAsia="zh-CN"/>
                    </w:rPr>
                    <w:t>/瓶</w:t>
                  </w:r>
                </w:p>
              </w:tc>
              <w:tc>
                <w:tcPr>
                  <w:tcW w:w="534" w:type="pct"/>
                  <w:noWrap w:val="0"/>
                  <w:vAlign w:val="center"/>
                </w:tcPr>
                <w:p w14:paraId="11B69517">
                  <w:pPr>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5.5</w:t>
                  </w:r>
                  <w:r>
                    <w:rPr>
                      <w:rFonts w:hint="eastAsia" w:cs="Times New Roman"/>
                      <w:color w:val="auto"/>
                      <w:sz w:val="21"/>
                      <w:szCs w:val="21"/>
                      <w:highlight w:val="none"/>
                      <w:lang w:val="en-US" w:eastAsia="zh-CN"/>
                    </w:rPr>
                    <w:t>kg</w:t>
                  </w:r>
                </w:p>
              </w:tc>
              <w:tc>
                <w:tcPr>
                  <w:tcW w:w="596" w:type="pct"/>
                  <w:noWrap w:val="0"/>
                  <w:vAlign w:val="center"/>
                </w:tcPr>
                <w:p w14:paraId="28525B3D">
                  <w:pPr>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5.</w:t>
                  </w:r>
                  <w:r>
                    <w:rPr>
                      <w:rFonts w:hint="eastAsia" w:cs="Times New Roman"/>
                      <w:color w:val="auto"/>
                      <w:sz w:val="21"/>
                      <w:szCs w:val="21"/>
                      <w:highlight w:val="none"/>
                      <w:lang w:val="en-US" w:eastAsia="zh-CN"/>
                    </w:rPr>
                    <w:t>4725kg</w:t>
                  </w:r>
                </w:p>
              </w:tc>
              <w:tc>
                <w:tcPr>
                  <w:tcW w:w="1614" w:type="pct"/>
                  <w:noWrap w:val="0"/>
                  <w:vAlign w:val="center"/>
                </w:tcPr>
                <w:p w14:paraId="4F54C0D6">
                  <w:pPr>
                    <w:widowControl/>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bidi="ar"/>
                    </w:rPr>
                    <w:t>丙酮(CH</w:t>
                  </w:r>
                  <w:r>
                    <w:rPr>
                      <w:rFonts w:hint="default" w:ascii="Times New Roman" w:hAnsi="Times New Roman" w:eastAsia="宋体" w:cs="Times New Roman"/>
                      <w:color w:val="auto"/>
                      <w:kern w:val="0"/>
                      <w:sz w:val="21"/>
                      <w:szCs w:val="21"/>
                      <w:highlight w:val="none"/>
                      <w:vertAlign w:val="subscript"/>
                      <w:lang w:bidi="ar"/>
                    </w:rPr>
                    <w:t>3</w:t>
                  </w:r>
                  <w:r>
                    <w:rPr>
                      <w:rFonts w:hint="default" w:ascii="Times New Roman" w:hAnsi="Times New Roman" w:eastAsia="宋体" w:cs="Times New Roman"/>
                      <w:color w:val="auto"/>
                      <w:kern w:val="0"/>
                      <w:sz w:val="21"/>
                      <w:szCs w:val="21"/>
                      <w:highlight w:val="none"/>
                      <w:lang w:bidi="ar"/>
                    </w:rPr>
                    <w:t>COCH</w:t>
                  </w:r>
                  <w:r>
                    <w:rPr>
                      <w:rFonts w:hint="default" w:ascii="Times New Roman" w:hAnsi="Times New Roman" w:eastAsia="宋体" w:cs="Times New Roman"/>
                      <w:color w:val="auto"/>
                      <w:kern w:val="0"/>
                      <w:sz w:val="21"/>
                      <w:szCs w:val="21"/>
                      <w:highlight w:val="none"/>
                      <w:vertAlign w:val="subscript"/>
                      <w:lang w:bidi="ar"/>
                    </w:rPr>
                    <w:t>3</w:t>
                  </w:r>
                  <w:r>
                    <w:rPr>
                      <w:rFonts w:hint="default" w:ascii="Times New Roman" w:hAnsi="Times New Roman" w:eastAsia="宋体" w:cs="Times New Roman"/>
                      <w:color w:val="auto"/>
                      <w:kern w:val="0"/>
                      <w:sz w:val="21"/>
                      <w:szCs w:val="21"/>
                      <w:highlight w:val="none"/>
                      <w:lang w:bidi="ar"/>
                    </w:rPr>
                    <w:t>)，又名二甲基酮，为最简单的饱和酮。是一种无色透明液体，有特殊的辛辣气味。</w:t>
                  </w:r>
                  <w:r>
                    <w:rPr>
                      <w:rFonts w:hint="eastAsia" w:cs="Times New Roman"/>
                      <w:color w:val="auto"/>
                      <w:kern w:val="0"/>
                      <w:sz w:val="21"/>
                      <w:szCs w:val="21"/>
                      <w:highlight w:val="none"/>
                      <w:lang w:val="en-US" w:eastAsia="zh-CN" w:bidi="ar"/>
                    </w:rPr>
                    <w:t>浓度为99.5%，</w:t>
                  </w:r>
                  <w:r>
                    <w:rPr>
                      <w:rFonts w:hint="default" w:ascii="Times New Roman" w:hAnsi="Times New Roman" w:eastAsia="宋体" w:cs="Times New Roman"/>
                      <w:color w:val="auto"/>
                      <w:kern w:val="0"/>
                      <w:sz w:val="21"/>
                      <w:szCs w:val="21"/>
                      <w:highlight w:val="none"/>
                      <w:lang w:bidi="ar"/>
                    </w:rPr>
                    <w:t>相对密度0.788g/cm</w:t>
                  </w:r>
                  <w:r>
                    <w:rPr>
                      <w:rFonts w:hint="default" w:ascii="Times New Roman" w:hAnsi="Times New Roman" w:eastAsia="宋体" w:cs="Times New Roman"/>
                      <w:color w:val="auto"/>
                      <w:kern w:val="0"/>
                      <w:sz w:val="21"/>
                      <w:szCs w:val="21"/>
                      <w:highlight w:val="none"/>
                      <w:vertAlign w:val="superscript"/>
                      <w:lang w:bidi="ar"/>
                    </w:rPr>
                    <w:t>3</w:t>
                  </w:r>
                  <w:r>
                    <w:rPr>
                      <w:rFonts w:hint="default" w:ascii="Times New Roman" w:hAnsi="Times New Roman" w:eastAsia="宋体" w:cs="Times New Roman"/>
                      <w:color w:val="auto"/>
                      <w:kern w:val="0"/>
                      <w:sz w:val="21"/>
                      <w:szCs w:val="21"/>
                      <w:highlight w:val="none"/>
                      <w:lang w:bidi="ar"/>
                    </w:rPr>
                    <w:t>，</w:t>
                  </w:r>
                  <w:r>
                    <w:rPr>
                      <w:rFonts w:hint="eastAsia" w:cs="Times New Roman"/>
                      <w:color w:val="auto"/>
                      <w:kern w:val="0"/>
                      <w:sz w:val="21"/>
                      <w:szCs w:val="21"/>
                      <w:highlight w:val="none"/>
                      <w:lang w:val="en-US" w:eastAsia="zh-CN" w:bidi="ar"/>
                    </w:rPr>
                    <w:t>沸点为56℃，闪点为-17℃，熔点为-95℃，自燃温度为465℃，</w:t>
                  </w:r>
                  <w:r>
                    <w:rPr>
                      <w:rFonts w:hint="default" w:ascii="Times New Roman" w:hAnsi="Times New Roman" w:eastAsia="宋体" w:cs="Times New Roman"/>
                      <w:color w:val="auto"/>
                      <w:kern w:val="0"/>
                      <w:sz w:val="21"/>
                      <w:szCs w:val="21"/>
                      <w:highlight w:val="none"/>
                      <w:lang w:bidi="ar"/>
                    </w:rPr>
                    <w:t>易溶于水</w:t>
                  </w:r>
                  <w:r>
                    <w:rPr>
                      <w:rFonts w:hint="eastAsia" w:cs="Times New Roman"/>
                      <w:color w:val="auto"/>
                      <w:kern w:val="0"/>
                      <w:sz w:val="21"/>
                      <w:szCs w:val="21"/>
                      <w:highlight w:val="none"/>
                      <w:lang w:eastAsia="zh-CN" w:bidi="ar"/>
                    </w:rPr>
                    <w:t>，</w:t>
                  </w:r>
                  <w:r>
                    <w:rPr>
                      <w:rFonts w:hint="default" w:ascii="Times New Roman" w:hAnsi="Times New Roman" w:eastAsia="宋体" w:cs="Times New Roman"/>
                      <w:color w:val="auto"/>
                      <w:kern w:val="0"/>
                      <w:sz w:val="21"/>
                      <w:szCs w:val="21"/>
                      <w:highlight w:val="none"/>
                      <w:lang w:bidi="ar"/>
                    </w:rPr>
                    <w:t>易燃、易挥发，化学性质较活泼。</w:t>
                  </w:r>
                  <w:r>
                    <w:rPr>
                      <w:rFonts w:hint="default" w:ascii="Times New Roman" w:hAnsi="Times New Roman" w:eastAsia="宋体" w:cs="Times New Roman"/>
                      <w:color w:val="auto"/>
                      <w:kern w:val="2"/>
                      <w:sz w:val="21"/>
                      <w:szCs w:val="21"/>
                      <w:highlight w:val="none"/>
                    </w:rPr>
                    <w:t>属于风险导则附录</w:t>
                  </w:r>
                  <w:r>
                    <w:rPr>
                      <w:rFonts w:hint="eastAsia" w:ascii="Times New Roman" w:hAnsi="Times New Roman" w:eastAsia="宋体" w:cs="Times New Roman"/>
                      <w:color w:val="auto"/>
                      <w:kern w:val="2"/>
                      <w:sz w:val="21"/>
                      <w:szCs w:val="21"/>
                      <w:highlight w:val="none"/>
                      <w:lang w:val="en-US" w:eastAsia="zh-CN"/>
                    </w:rPr>
                    <w:t>B</w:t>
                  </w:r>
                  <w:r>
                    <w:rPr>
                      <w:rFonts w:hint="eastAsia" w:cs="Times New Roman"/>
                      <w:color w:val="auto"/>
                      <w:kern w:val="2"/>
                      <w:sz w:val="21"/>
                      <w:szCs w:val="21"/>
                      <w:highlight w:val="none"/>
                      <w:lang w:val="en-US" w:eastAsia="zh-CN"/>
                    </w:rPr>
                    <w:t>.1</w:t>
                  </w:r>
                  <w:r>
                    <w:rPr>
                      <w:rFonts w:hint="default" w:ascii="Times New Roman" w:hAnsi="Times New Roman" w:eastAsia="宋体" w:cs="Times New Roman"/>
                      <w:color w:val="auto"/>
                      <w:kern w:val="2"/>
                      <w:sz w:val="21"/>
                      <w:szCs w:val="21"/>
                      <w:highlight w:val="none"/>
                    </w:rPr>
                    <w:t>中的风险物质</w:t>
                  </w:r>
                  <w:r>
                    <w:rPr>
                      <w:rFonts w:hint="eastAsia" w:cs="Times New Roman"/>
                      <w:color w:val="auto"/>
                      <w:kern w:val="2"/>
                      <w:sz w:val="21"/>
                      <w:szCs w:val="21"/>
                      <w:highlight w:val="none"/>
                      <w:lang w:eastAsia="zh-CN"/>
                    </w:rPr>
                    <w:t>。</w:t>
                  </w:r>
                </w:p>
              </w:tc>
              <w:tc>
                <w:tcPr>
                  <w:tcW w:w="425" w:type="pct"/>
                  <w:noWrap w:val="0"/>
                  <w:vAlign w:val="center"/>
                </w:tcPr>
                <w:p w14:paraId="1DAD8E80">
                  <w:pPr>
                    <w:widowControl/>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是</w:t>
                  </w:r>
                </w:p>
              </w:tc>
              <w:tc>
                <w:tcPr>
                  <w:tcW w:w="378" w:type="pct"/>
                  <w:noWrap w:val="0"/>
                  <w:vAlign w:val="center"/>
                </w:tcPr>
                <w:p w14:paraId="5BAB9242">
                  <w:pPr>
                    <w:jc w:val="center"/>
                    <w:rPr>
                      <w:rFonts w:hint="default" w:ascii="Times New Roman" w:hAnsi="Times New Roman"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sz w:val="21"/>
                      <w:szCs w:val="21"/>
                      <w:highlight w:val="none"/>
                      <w:lang w:val="en-US" w:eastAsia="zh-CN"/>
                    </w:rPr>
                    <w:t>10</w:t>
                  </w:r>
                </w:p>
              </w:tc>
            </w:tr>
            <w:tr w14:paraId="285F29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723" w:hRule="atLeast"/>
                <w:jc w:val="center"/>
              </w:trPr>
              <w:tc>
                <w:tcPr>
                  <w:tcW w:w="253" w:type="pct"/>
                  <w:noWrap w:val="0"/>
                  <w:vAlign w:val="center"/>
                </w:tcPr>
                <w:p w14:paraId="5534B092">
                  <w:pPr>
                    <w:widowControl/>
                    <w:jc w:val="center"/>
                    <w:textAlignment w:val="center"/>
                    <w:rPr>
                      <w:rFonts w:hint="default" w:ascii="Times New Roman" w:hAnsi="Times New Roman"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14</w:t>
                  </w:r>
                </w:p>
              </w:tc>
              <w:tc>
                <w:tcPr>
                  <w:tcW w:w="621" w:type="pct"/>
                  <w:noWrap w:val="0"/>
                  <w:vAlign w:val="center"/>
                </w:tcPr>
                <w:p w14:paraId="6EC864A1">
                  <w:pPr>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苯酚</w:t>
                  </w:r>
                </w:p>
              </w:tc>
              <w:tc>
                <w:tcPr>
                  <w:tcW w:w="576" w:type="pct"/>
                  <w:noWrap w:val="0"/>
                  <w:vAlign w:val="center"/>
                </w:tcPr>
                <w:p w14:paraId="7C8A58D3">
                  <w:pPr>
                    <w:tabs>
                      <w:tab w:val="left" w:pos="1088"/>
                    </w:tabs>
                    <w:jc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bCs/>
                      <w:color w:val="auto"/>
                      <w:sz w:val="21"/>
                      <w:szCs w:val="21"/>
                      <w:highlight w:val="none"/>
                    </w:rPr>
                    <w:t>500g</w:t>
                  </w:r>
                  <w:r>
                    <w:rPr>
                      <w:rFonts w:hint="eastAsia" w:cs="Times New Roman"/>
                      <w:bCs/>
                      <w:color w:val="auto"/>
                      <w:sz w:val="21"/>
                      <w:szCs w:val="21"/>
                      <w:highlight w:val="none"/>
                      <w:lang w:val="en-US" w:eastAsia="zh-CN"/>
                    </w:rPr>
                    <w:t>/瓶</w:t>
                  </w:r>
                </w:p>
              </w:tc>
              <w:tc>
                <w:tcPr>
                  <w:tcW w:w="534" w:type="pct"/>
                  <w:noWrap w:val="0"/>
                  <w:vAlign w:val="center"/>
                </w:tcPr>
                <w:p w14:paraId="58BCC44D">
                  <w:pPr>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1kg</w:t>
                  </w:r>
                </w:p>
              </w:tc>
              <w:tc>
                <w:tcPr>
                  <w:tcW w:w="596" w:type="pct"/>
                  <w:noWrap w:val="0"/>
                  <w:vAlign w:val="center"/>
                </w:tcPr>
                <w:p w14:paraId="0D40C1E3">
                  <w:pPr>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1kg</w:t>
                  </w:r>
                </w:p>
              </w:tc>
              <w:tc>
                <w:tcPr>
                  <w:tcW w:w="1614" w:type="pct"/>
                  <w:noWrap w:val="0"/>
                  <w:vAlign w:val="center"/>
                </w:tcPr>
                <w:p w14:paraId="33419077">
                  <w:pPr>
                    <w:widowControl/>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bidi="ar"/>
                    </w:rPr>
                    <w:t>俗称：石炭酸，</w:t>
                  </w:r>
                  <w:r>
                    <w:rPr>
                      <w:rFonts w:hint="default" w:ascii="Times New Roman" w:hAnsi="Times New Roman" w:eastAsia="宋体" w:cs="Times New Roman"/>
                      <w:i w:val="0"/>
                      <w:iCs w:val="0"/>
                      <w:caps w:val="0"/>
                      <w:color w:val="auto"/>
                      <w:spacing w:val="0"/>
                      <w:sz w:val="21"/>
                      <w:szCs w:val="21"/>
                      <w:highlight w:val="none"/>
                    </w:rPr>
                    <w:t>无色或白色</w:t>
                  </w:r>
                  <w:r>
                    <w:rPr>
                      <w:rFonts w:hint="eastAsia" w:cs="Times New Roman"/>
                      <w:i w:val="0"/>
                      <w:iCs w:val="0"/>
                      <w:caps w:val="0"/>
                      <w:color w:val="auto"/>
                      <w:spacing w:val="0"/>
                      <w:sz w:val="21"/>
                      <w:szCs w:val="21"/>
                      <w:highlight w:val="none"/>
                      <w:lang w:val="en-US" w:eastAsia="zh-CN"/>
                    </w:rPr>
                    <w:t>晶状</w:t>
                  </w:r>
                  <w:r>
                    <w:rPr>
                      <w:rFonts w:hint="default" w:ascii="Times New Roman" w:hAnsi="Times New Roman" w:eastAsia="宋体" w:cs="Times New Roman"/>
                      <w:i w:val="0"/>
                      <w:iCs w:val="0"/>
                      <w:caps w:val="0"/>
                      <w:color w:val="auto"/>
                      <w:spacing w:val="0"/>
                      <w:sz w:val="21"/>
                      <w:szCs w:val="21"/>
                      <w:highlight w:val="none"/>
                      <w:lang w:val="en-US" w:eastAsia="zh-CN"/>
                    </w:rPr>
                    <w:t>粉末</w:t>
                  </w:r>
                  <w:r>
                    <w:rPr>
                      <w:rFonts w:hint="default" w:ascii="Times New Roman" w:hAnsi="Times New Roman" w:eastAsia="宋体" w:cs="Times New Roman"/>
                      <w:i w:val="0"/>
                      <w:iCs w:val="0"/>
                      <w:caps w:val="0"/>
                      <w:color w:val="auto"/>
                      <w:spacing w:val="0"/>
                      <w:sz w:val="21"/>
                      <w:szCs w:val="21"/>
                      <w:highlight w:val="none"/>
                      <w:lang w:eastAsia="zh-CN"/>
                    </w:rPr>
                    <w:t>，</w:t>
                  </w:r>
                  <w:r>
                    <w:rPr>
                      <w:rFonts w:hint="default" w:ascii="Times New Roman" w:hAnsi="Times New Roman" w:eastAsia="宋体" w:cs="Times New Roman"/>
                      <w:color w:val="auto"/>
                      <w:kern w:val="0"/>
                      <w:sz w:val="21"/>
                      <w:szCs w:val="21"/>
                      <w:highlight w:val="none"/>
                      <w:lang w:bidi="ar"/>
                    </w:rPr>
                    <w:t>分子式为C6H6O，主要由异丙苯经氧化、分解制得</w:t>
                  </w:r>
                  <w:r>
                    <w:rPr>
                      <w:rFonts w:hint="default" w:ascii="Times New Roman" w:hAnsi="Times New Roman" w:eastAsia="宋体" w:cs="Times New Roman"/>
                      <w:color w:val="auto"/>
                      <w:kern w:val="0"/>
                      <w:sz w:val="21"/>
                      <w:szCs w:val="21"/>
                      <w:highlight w:val="none"/>
                      <w:lang w:eastAsia="zh-CN" w:bidi="ar"/>
                    </w:rPr>
                    <w:t>，</w:t>
                  </w:r>
                  <w:r>
                    <w:rPr>
                      <w:rFonts w:hint="default" w:ascii="Times New Roman" w:hAnsi="Times New Roman" w:eastAsia="宋体" w:cs="Times New Roman"/>
                      <w:i w:val="0"/>
                      <w:iCs w:val="0"/>
                      <w:caps w:val="0"/>
                      <w:color w:val="auto"/>
                      <w:spacing w:val="0"/>
                      <w:sz w:val="21"/>
                      <w:szCs w:val="21"/>
                      <w:highlight w:val="none"/>
                      <w:lang w:eastAsia="zh-CN"/>
                    </w:rPr>
                    <w:t>有</w:t>
                  </w:r>
                  <w:r>
                    <w:rPr>
                      <w:rFonts w:hint="default" w:ascii="Times New Roman" w:hAnsi="Times New Roman" w:eastAsia="宋体" w:cs="Times New Roman"/>
                      <w:i w:val="0"/>
                      <w:iCs w:val="0"/>
                      <w:caps w:val="0"/>
                      <w:color w:val="auto"/>
                      <w:spacing w:val="0"/>
                      <w:sz w:val="21"/>
                      <w:szCs w:val="21"/>
                      <w:highlight w:val="none"/>
                      <w:lang w:val="en-US" w:eastAsia="zh-CN"/>
                    </w:rPr>
                    <w:t>特殊气味，</w:t>
                  </w:r>
                  <w:r>
                    <w:rPr>
                      <w:rFonts w:hint="default" w:ascii="Times New Roman" w:hAnsi="Times New Roman" w:eastAsia="宋体" w:cs="Times New Roman"/>
                      <w:color w:val="auto"/>
                      <w:kern w:val="0"/>
                      <w:sz w:val="21"/>
                      <w:szCs w:val="21"/>
                      <w:highlight w:val="none"/>
                      <w:lang w:bidi="ar"/>
                    </w:rPr>
                    <w:t>沸点</w:t>
                  </w:r>
                  <w:r>
                    <w:rPr>
                      <w:rFonts w:hint="default" w:ascii="Times New Roman" w:hAnsi="Times New Roman" w:eastAsia="宋体" w:cs="Times New Roman"/>
                      <w:color w:val="auto"/>
                      <w:kern w:val="0"/>
                      <w:sz w:val="21"/>
                      <w:szCs w:val="21"/>
                      <w:highlight w:val="none"/>
                      <w:lang w:val="en-US" w:eastAsia="zh-CN" w:bidi="ar"/>
                    </w:rPr>
                    <w:t>181.9</w:t>
                  </w:r>
                  <w:r>
                    <w:rPr>
                      <w:rFonts w:hint="default" w:ascii="Times New Roman" w:hAnsi="Times New Roman" w:eastAsia="宋体" w:cs="Times New Roman"/>
                      <w:color w:val="auto"/>
                      <w:kern w:val="0"/>
                      <w:sz w:val="21"/>
                      <w:szCs w:val="21"/>
                      <w:highlight w:val="none"/>
                      <w:lang w:bidi="ar"/>
                    </w:rPr>
                    <w:t>℃，密度</w:t>
                  </w:r>
                  <w:r>
                    <w:rPr>
                      <w:rFonts w:hint="default" w:ascii="Times New Roman" w:hAnsi="Times New Roman" w:eastAsia="宋体" w:cs="Times New Roman"/>
                      <w:color w:val="auto"/>
                      <w:kern w:val="0"/>
                      <w:sz w:val="21"/>
                      <w:szCs w:val="21"/>
                      <w:highlight w:val="none"/>
                      <w:lang w:val="en-US" w:eastAsia="zh-CN" w:bidi="ar"/>
                    </w:rPr>
                    <w:t>1.071</w:t>
                  </w:r>
                  <w:r>
                    <w:rPr>
                      <w:rFonts w:hint="default" w:ascii="Times New Roman" w:hAnsi="Times New Roman" w:eastAsia="宋体" w:cs="Times New Roman"/>
                      <w:color w:val="auto"/>
                      <w:kern w:val="0"/>
                      <w:sz w:val="21"/>
                      <w:szCs w:val="21"/>
                      <w:highlight w:val="none"/>
                      <w:lang w:bidi="ar"/>
                    </w:rPr>
                    <w:t>g/cm</w:t>
                  </w:r>
                  <w:r>
                    <w:rPr>
                      <w:rFonts w:hint="default" w:ascii="Times New Roman" w:hAnsi="Times New Roman" w:eastAsia="宋体" w:cs="Times New Roman"/>
                      <w:color w:val="auto"/>
                      <w:kern w:val="0"/>
                      <w:sz w:val="21"/>
                      <w:szCs w:val="21"/>
                      <w:highlight w:val="none"/>
                      <w:vertAlign w:val="superscript"/>
                      <w:lang w:bidi="ar"/>
                    </w:rPr>
                    <w:t>3</w:t>
                  </w:r>
                  <w:r>
                    <w:rPr>
                      <w:rFonts w:hint="default" w:ascii="Times New Roman" w:hAnsi="Times New Roman" w:eastAsia="宋体" w:cs="Times New Roman"/>
                      <w:color w:val="auto"/>
                      <w:kern w:val="0"/>
                      <w:sz w:val="21"/>
                      <w:szCs w:val="21"/>
                      <w:highlight w:val="none"/>
                      <w:lang w:bidi="ar"/>
                    </w:rPr>
                    <w:t>，闪点</w:t>
                  </w:r>
                  <w:r>
                    <w:rPr>
                      <w:rFonts w:hint="default" w:ascii="Times New Roman" w:hAnsi="Times New Roman" w:eastAsia="宋体" w:cs="Times New Roman"/>
                      <w:color w:val="auto"/>
                      <w:kern w:val="0"/>
                      <w:sz w:val="21"/>
                      <w:szCs w:val="21"/>
                      <w:highlight w:val="none"/>
                      <w:lang w:val="en-US" w:eastAsia="zh-CN" w:bidi="ar"/>
                    </w:rPr>
                    <w:t>72.5</w:t>
                  </w:r>
                  <w:r>
                    <w:rPr>
                      <w:rFonts w:hint="default" w:ascii="Times New Roman" w:hAnsi="Times New Roman" w:eastAsia="宋体" w:cs="Times New Roman"/>
                      <w:color w:val="auto"/>
                      <w:kern w:val="0"/>
                      <w:sz w:val="21"/>
                      <w:szCs w:val="21"/>
                      <w:highlight w:val="none"/>
                      <w:lang w:bidi="ar"/>
                    </w:rPr>
                    <w:t>℃</w:t>
                  </w:r>
                  <w:r>
                    <w:rPr>
                      <w:rFonts w:hint="default" w:ascii="Times New Roman" w:hAnsi="Times New Roman" w:eastAsia="宋体" w:cs="Times New Roman"/>
                      <w:color w:val="auto"/>
                      <w:kern w:val="0"/>
                      <w:sz w:val="21"/>
                      <w:szCs w:val="21"/>
                      <w:highlight w:val="none"/>
                      <w:lang w:eastAsia="zh-CN" w:bidi="ar"/>
                    </w:rPr>
                    <w:t>。</w:t>
                  </w:r>
                  <w:r>
                    <w:rPr>
                      <w:rFonts w:hint="default" w:ascii="Times New Roman" w:hAnsi="Times New Roman" w:eastAsia="宋体" w:cs="Times New Roman"/>
                      <w:color w:val="auto"/>
                      <w:kern w:val="2"/>
                      <w:sz w:val="21"/>
                      <w:szCs w:val="21"/>
                      <w:highlight w:val="none"/>
                    </w:rPr>
                    <w:t>属于风险导则附录</w:t>
                  </w:r>
                  <w:r>
                    <w:rPr>
                      <w:rFonts w:hint="default" w:ascii="Times New Roman" w:hAnsi="Times New Roman" w:eastAsia="宋体" w:cs="Times New Roman"/>
                      <w:color w:val="auto"/>
                      <w:kern w:val="2"/>
                      <w:sz w:val="21"/>
                      <w:szCs w:val="21"/>
                      <w:highlight w:val="none"/>
                      <w:lang w:val="en-US" w:eastAsia="zh-CN"/>
                    </w:rPr>
                    <w:t>B</w:t>
                  </w:r>
                  <w:r>
                    <w:rPr>
                      <w:rFonts w:hint="eastAsia" w:cs="Times New Roman"/>
                      <w:color w:val="auto"/>
                      <w:kern w:val="2"/>
                      <w:sz w:val="21"/>
                      <w:szCs w:val="21"/>
                      <w:highlight w:val="none"/>
                      <w:lang w:val="en-US" w:eastAsia="zh-CN"/>
                    </w:rPr>
                    <w:t>.1</w:t>
                  </w:r>
                  <w:r>
                    <w:rPr>
                      <w:rFonts w:hint="default" w:ascii="Times New Roman" w:hAnsi="Times New Roman" w:eastAsia="宋体" w:cs="Times New Roman"/>
                      <w:color w:val="auto"/>
                      <w:kern w:val="2"/>
                      <w:sz w:val="21"/>
                      <w:szCs w:val="21"/>
                      <w:highlight w:val="none"/>
                    </w:rPr>
                    <w:t>中的风险物质</w:t>
                  </w:r>
                  <w:r>
                    <w:rPr>
                      <w:rFonts w:hint="eastAsia" w:cs="Times New Roman"/>
                      <w:color w:val="auto"/>
                      <w:kern w:val="2"/>
                      <w:sz w:val="21"/>
                      <w:szCs w:val="21"/>
                      <w:highlight w:val="none"/>
                      <w:lang w:eastAsia="zh-CN"/>
                    </w:rPr>
                    <w:t>。</w:t>
                  </w:r>
                </w:p>
              </w:tc>
              <w:tc>
                <w:tcPr>
                  <w:tcW w:w="425" w:type="pct"/>
                  <w:noWrap w:val="0"/>
                  <w:vAlign w:val="center"/>
                </w:tcPr>
                <w:p w14:paraId="78E0757C">
                  <w:pPr>
                    <w:widowControl/>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是</w:t>
                  </w:r>
                </w:p>
              </w:tc>
              <w:tc>
                <w:tcPr>
                  <w:tcW w:w="378" w:type="pct"/>
                  <w:noWrap w:val="0"/>
                  <w:vAlign w:val="center"/>
                </w:tcPr>
                <w:p w14:paraId="2728C32B">
                  <w:pPr>
                    <w:jc w:val="center"/>
                    <w:rPr>
                      <w:rFonts w:hint="default" w:ascii="Times New Roman" w:hAnsi="Times New Roman"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sz w:val="21"/>
                      <w:szCs w:val="21"/>
                      <w:highlight w:val="none"/>
                      <w:lang w:val="en-US" w:eastAsia="zh-CN"/>
                    </w:rPr>
                    <w:t>5</w:t>
                  </w:r>
                </w:p>
              </w:tc>
            </w:tr>
            <w:tr w14:paraId="5D0E5C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723" w:hRule="atLeast"/>
                <w:jc w:val="center"/>
              </w:trPr>
              <w:tc>
                <w:tcPr>
                  <w:tcW w:w="253" w:type="pct"/>
                  <w:noWrap w:val="0"/>
                  <w:vAlign w:val="center"/>
                </w:tcPr>
                <w:p w14:paraId="01D24B12">
                  <w:pPr>
                    <w:widowControl/>
                    <w:jc w:val="center"/>
                    <w:textAlignment w:val="center"/>
                    <w:rPr>
                      <w:rFonts w:hint="default" w:ascii="Times New Roman" w:hAnsi="Times New Roman"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15</w:t>
                  </w:r>
                </w:p>
              </w:tc>
              <w:tc>
                <w:tcPr>
                  <w:tcW w:w="621" w:type="pct"/>
                  <w:noWrap w:val="0"/>
                  <w:vAlign w:val="center"/>
                </w:tcPr>
                <w:p w14:paraId="12F621BD">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磷酸氢二铵</w:t>
                  </w:r>
                </w:p>
              </w:tc>
              <w:tc>
                <w:tcPr>
                  <w:tcW w:w="576" w:type="pct"/>
                  <w:noWrap w:val="0"/>
                  <w:vAlign w:val="center"/>
                </w:tcPr>
                <w:p w14:paraId="65D2202A">
                  <w:pPr>
                    <w:tabs>
                      <w:tab w:val="left" w:pos="1088"/>
                    </w:tabs>
                    <w:jc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bCs/>
                      <w:color w:val="auto"/>
                      <w:sz w:val="21"/>
                      <w:szCs w:val="21"/>
                      <w:highlight w:val="none"/>
                    </w:rPr>
                    <w:t>500g</w:t>
                  </w:r>
                  <w:r>
                    <w:rPr>
                      <w:rFonts w:hint="eastAsia" w:cs="Times New Roman"/>
                      <w:bCs/>
                      <w:color w:val="auto"/>
                      <w:sz w:val="21"/>
                      <w:szCs w:val="21"/>
                      <w:highlight w:val="none"/>
                      <w:lang w:val="en-US" w:eastAsia="zh-CN"/>
                    </w:rPr>
                    <w:t>/瓶</w:t>
                  </w:r>
                </w:p>
              </w:tc>
              <w:tc>
                <w:tcPr>
                  <w:tcW w:w="534" w:type="pct"/>
                  <w:noWrap w:val="0"/>
                  <w:vAlign w:val="center"/>
                </w:tcPr>
                <w:p w14:paraId="04260B02">
                  <w:pPr>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3.5kg</w:t>
                  </w:r>
                </w:p>
              </w:tc>
              <w:tc>
                <w:tcPr>
                  <w:tcW w:w="596" w:type="pct"/>
                  <w:noWrap w:val="0"/>
                  <w:vAlign w:val="center"/>
                </w:tcPr>
                <w:p w14:paraId="09576A3F">
                  <w:pPr>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3.5kg</w:t>
                  </w:r>
                </w:p>
              </w:tc>
              <w:tc>
                <w:tcPr>
                  <w:tcW w:w="1614" w:type="pct"/>
                  <w:noWrap w:val="0"/>
                  <w:vAlign w:val="center"/>
                </w:tcPr>
                <w:p w14:paraId="75B76CC0">
                  <w:pPr>
                    <w:widowControl/>
                    <w:jc w:val="center"/>
                    <w:textAlignment w:val="center"/>
                    <w:rPr>
                      <w:rFonts w:hint="eastAsia" w:ascii="Times New Roman" w:hAnsi="Times New Roman" w:eastAsia="宋体" w:cs="Times New Roman"/>
                      <w:color w:val="auto"/>
                      <w:kern w:val="0"/>
                      <w:sz w:val="21"/>
                      <w:szCs w:val="21"/>
                      <w:highlight w:val="none"/>
                      <w:lang w:eastAsia="zh-CN" w:bidi="ar"/>
                    </w:rPr>
                  </w:pPr>
                  <w:r>
                    <w:rPr>
                      <w:rFonts w:hint="default" w:ascii="Times New Roman" w:hAnsi="Times New Roman" w:eastAsia="宋体" w:cs="Times New Roman"/>
                      <w:color w:val="auto"/>
                      <w:kern w:val="0"/>
                      <w:sz w:val="21"/>
                      <w:szCs w:val="21"/>
                      <w:highlight w:val="none"/>
                      <w:lang w:bidi="ar"/>
                    </w:rPr>
                    <w:t>磷酸氢二铵是一种无机化合物，白色粉末</w:t>
                  </w:r>
                  <w:r>
                    <w:rPr>
                      <w:rFonts w:hint="eastAsia" w:cs="Times New Roman"/>
                      <w:color w:val="auto"/>
                      <w:kern w:val="0"/>
                      <w:sz w:val="21"/>
                      <w:szCs w:val="21"/>
                      <w:highlight w:val="none"/>
                      <w:lang w:eastAsia="zh-CN" w:bidi="ar"/>
                    </w:rPr>
                    <w:t>，</w:t>
                  </w:r>
                  <w:r>
                    <w:rPr>
                      <w:rFonts w:hint="default" w:ascii="Times New Roman" w:hAnsi="Times New Roman" w:eastAsia="宋体" w:cs="Times New Roman"/>
                      <w:color w:val="auto"/>
                      <w:kern w:val="0"/>
                      <w:sz w:val="21"/>
                      <w:szCs w:val="21"/>
                      <w:highlight w:val="none"/>
                      <w:lang w:bidi="ar"/>
                    </w:rPr>
                    <w:t>无气味。密度</w:t>
                  </w:r>
                  <w:r>
                    <w:rPr>
                      <w:rFonts w:hint="eastAsia" w:cs="Times New Roman"/>
                      <w:color w:val="auto"/>
                      <w:kern w:val="0"/>
                      <w:sz w:val="21"/>
                      <w:szCs w:val="21"/>
                      <w:highlight w:val="none"/>
                      <w:lang w:val="en-US" w:eastAsia="zh-CN" w:bidi="ar"/>
                    </w:rPr>
                    <w:t>为</w:t>
                  </w:r>
                  <w:r>
                    <w:rPr>
                      <w:rFonts w:hint="default" w:ascii="Times New Roman" w:hAnsi="Times New Roman" w:eastAsia="宋体" w:cs="Times New Roman"/>
                      <w:color w:val="auto"/>
                      <w:kern w:val="0"/>
                      <w:sz w:val="21"/>
                      <w:szCs w:val="21"/>
                      <w:highlight w:val="none"/>
                      <w:lang w:bidi="ar"/>
                    </w:rPr>
                    <w:t>1.619</w:t>
                  </w:r>
                  <w:r>
                    <w:rPr>
                      <w:rFonts w:hint="eastAsia" w:cs="Times New Roman"/>
                      <w:color w:val="auto"/>
                      <w:kern w:val="0"/>
                      <w:sz w:val="21"/>
                      <w:szCs w:val="21"/>
                      <w:highlight w:val="none"/>
                      <w:lang w:val="en-US" w:eastAsia="zh-CN" w:bidi="ar"/>
                    </w:rPr>
                    <w:t>g/cm</w:t>
                  </w:r>
                  <w:r>
                    <w:rPr>
                      <w:rFonts w:hint="eastAsia" w:cs="Times New Roman"/>
                      <w:color w:val="auto"/>
                      <w:kern w:val="0"/>
                      <w:sz w:val="21"/>
                      <w:szCs w:val="21"/>
                      <w:highlight w:val="none"/>
                      <w:vertAlign w:val="superscript"/>
                      <w:lang w:val="en-US" w:eastAsia="zh-CN" w:bidi="ar"/>
                    </w:rPr>
                    <w:t>3</w:t>
                  </w:r>
                  <w:r>
                    <w:rPr>
                      <w:rFonts w:hint="default" w:ascii="Times New Roman" w:hAnsi="Times New Roman" w:eastAsia="宋体" w:cs="Times New Roman"/>
                      <w:color w:val="auto"/>
                      <w:kern w:val="0"/>
                      <w:sz w:val="21"/>
                      <w:szCs w:val="21"/>
                      <w:highlight w:val="none"/>
                      <w:lang w:bidi="ar"/>
                    </w:rPr>
                    <w:t>，溶于水，</w:t>
                  </w:r>
                  <w:r>
                    <w:rPr>
                      <w:rFonts w:hint="eastAsia" w:cs="Times New Roman"/>
                      <w:color w:val="auto"/>
                      <w:kern w:val="0"/>
                      <w:sz w:val="21"/>
                      <w:szCs w:val="21"/>
                      <w:highlight w:val="none"/>
                      <w:lang w:val="en-US" w:eastAsia="zh-CN" w:bidi="ar"/>
                    </w:rPr>
                    <w:t>沸点为158℃，熔点为155℃，</w:t>
                  </w:r>
                  <w:r>
                    <w:rPr>
                      <w:rFonts w:hint="default" w:ascii="Times New Roman" w:hAnsi="Times New Roman" w:eastAsia="宋体" w:cs="Times New Roman"/>
                      <w:color w:val="auto"/>
                      <w:kern w:val="0"/>
                      <w:sz w:val="21"/>
                      <w:szCs w:val="21"/>
                      <w:highlight w:val="none"/>
                      <w:lang w:bidi="ar"/>
                    </w:rPr>
                    <w:t>不溶于乙醇和丙酮</w:t>
                  </w:r>
                  <w:r>
                    <w:rPr>
                      <w:rFonts w:hint="eastAsia" w:cs="Times New Roman"/>
                      <w:color w:val="auto"/>
                      <w:kern w:val="0"/>
                      <w:sz w:val="21"/>
                      <w:szCs w:val="21"/>
                      <w:highlight w:val="none"/>
                      <w:lang w:eastAsia="zh-CN" w:bidi="ar"/>
                    </w:rPr>
                    <w:t>。</w:t>
                  </w:r>
                </w:p>
              </w:tc>
              <w:tc>
                <w:tcPr>
                  <w:tcW w:w="425" w:type="pct"/>
                  <w:noWrap w:val="0"/>
                  <w:vAlign w:val="center"/>
                </w:tcPr>
                <w:p w14:paraId="19BD752B">
                  <w:pPr>
                    <w:widowControl/>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否</w:t>
                  </w:r>
                </w:p>
              </w:tc>
              <w:tc>
                <w:tcPr>
                  <w:tcW w:w="378" w:type="pct"/>
                  <w:noWrap w:val="0"/>
                  <w:vAlign w:val="center"/>
                </w:tcPr>
                <w:p w14:paraId="5E55EDB0">
                  <w:pPr>
                    <w:jc w:val="center"/>
                    <w:rPr>
                      <w:rFonts w:hint="default" w:ascii="Times New Roman" w:hAnsi="Times New Roman"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sz w:val="21"/>
                      <w:szCs w:val="21"/>
                      <w:highlight w:val="none"/>
                      <w:lang w:val="en-US" w:eastAsia="zh-CN"/>
                    </w:rPr>
                    <w:t>/</w:t>
                  </w:r>
                </w:p>
              </w:tc>
            </w:tr>
            <w:tr w14:paraId="60C965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723" w:hRule="atLeast"/>
                <w:jc w:val="center"/>
              </w:trPr>
              <w:tc>
                <w:tcPr>
                  <w:tcW w:w="253" w:type="pct"/>
                  <w:noWrap w:val="0"/>
                  <w:vAlign w:val="center"/>
                </w:tcPr>
                <w:p w14:paraId="549E8DDA">
                  <w:pPr>
                    <w:widowControl/>
                    <w:jc w:val="center"/>
                    <w:textAlignment w:val="center"/>
                    <w:rPr>
                      <w:rFonts w:hint="default" w:ascii="Times New Roman" w:hAnsi="Times New Roman"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16</w:t>
                  </w:r>
                </w:p>
              </w:tc>
              <w:tc>
                <w:tcPr>
                  <w:tcW w:w="621" w:type="pct"/>
                  <w:noWrap w:val="0"/>
                  <w:vAlign w:val="center"/>
                </w:tcPr>
                <w:p w14:paraId="0532DF91">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氯化铵</w:t>
                  </w:r>
                </w:p>
              </w:tc>
              <w:tc>
                <w:tcPr>
                  <w:tcW w:w="576" w:type="pct"/>
                  <w:noWrap w:val="0"/>
                  <w:vAlign w:val="center"/>
                </w:tcPr>
                <w:p w14:paraId="18E86BF0">
                  <w:pPr>
                    <w:tabs>
                      <w:tab w:val="left" w:pos="1088"/>
                    </w:tabs>
                    <w:jc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bCs/>
                      <w:color w:val="auto"/>
                      <w:sz w:val="21"/>
                      <w:szCs w:val="21"/>
                      <w:highlight w:val="none"/>
                    </w:rPr>
                    <w:t>500g</w:t>
                  </w:r>
                  <w:r>
                    <w:rPr>
                      <w:rFonts w:hint="eastAsia" w:cs="Times New Roman"/>
                      <w:bCs/>
                      <w:color w:val="auto"/>
                      <w:sz w:val="21"/>
                      <w:szCs w:val="21"/>
                      <w:highlight w:val="none"/>
                      <w:lang w:val="en-US" w:eastAsia="zh-CN"/>
                    </w:rPr>
                    <w:t>/瓶</w:t>
                  </w:r>
                </w:p>
              </w:tc>
              <w:tc>
                <w:tcPr>
                  <w:tcW w:w="534" w:type="pct"/>
                  <w:noWrap w:val="0"/>
                  <w:vAlign w:val="center"/>
                </w:tcPr>
                <w:p w14:paraId="512A34EC">
                  <w:pPr>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3kg</w:t>
                  </w:r>
                </w:p>
              </w:tc>
              <w:tc>
                <w:tcPr>
                  <w:tcW w:w="596" w:type="pct"/>
                  <w:noWrap w:val="0"/>
                  <w:vAlign w:val="center"/>
                </w:tcPr>
                <w:p w14:paraId="2B726560">
                  <w:pPr>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3kg</w:t>
                  </w:r>
                </w:p>
              </w:tc>
              <w:tc>
                <w:tcPr>
                  <w:tcW w:w="1614" w:type="pct"/>
                  <w:noWrap w:val="0"/>
                  <w:vAlign w:val="center"/>
                </w:tcPr>
                <w:p w14:paraId="3CA74901">
                  <w:pPr>
                    <w:widowControl/>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氯化铵为无色或白色结晶性粉末</w:t>
                  </w:r>
                  <w:r>
                    <w:rPr>
                      <w:rFonts w:hint="eastAsia" w:cs="Times New Roman"/>
                      <w:color w:val="auto"/>
                      <w:kern w:val="0"/>
                      <w:sz w:val="21"/>
                      <w:szCs w:val="21"/>
                      <w:highlight w:val="none"/>
                      <w:lang w:eastAsia="zh-CN" w:bidi="ar"/>
                    </w:rPr>
                    <w:t>，</w:t>
                  </w:r>
                  <w:r>
                    <w:rPr>
                      <w:rFonts w:hint="default" w:ascii="Times New Roman" w:hAnsi="Times New Roman" w:eastAsia="宋体" w:cs="Times New Roman"/>
                      <w:color w:val="auto"/>
                      <w:kern w:val="0"/>
                      <w:sz w:val="21"/>
                      <w:szCs w:val="21"/>
                      <w:highlight w:val="none"/>
                      <w:lang w:bidi="ar"/>
                    </w:rPr>
                    <w:t>无臭，有引湿性。相对密度1.5</w:t>
                  </w:r>
                  <w:r>
                    <w:rPr>
                      <w:rFonts w:hint="eastAsia" w:cs="Times New Roman"/>
                      <w:color w:val="auto"/>
                      <w:kern w:val="0"/>
                      <w:sz w:val="21"/>
                      <w:szCs w:val="21"/>
                      <w:highlight w:val="none"/>
                      <w:lang w:val="en-US" w:eastAsia="zh-CN" w:bidi="ar"/>
                    </w:rPr>
                    <w:t>3g/cm</w:t>
                  </w:r>
                  <w:r>
                    <w:rPr>
                      <w:rFonts w:hint="eastAsia" w:cs="Times New Roman"/>
                      <w:color w:val="auto"/>
                      <w:kern w:val="0"/>
                      <w:sz w:val="21"/>
                      <w:szCs w:val="21"/>
                      <w:highlight w:val="none"/>
                      <w:vertAlign w:val="superscript"/>
                      <w:lang w:val="en-US" w:eastAsia="zh-CN" w:bidi="ar"/>
                    </w:rPr>
                    <w:t>3</w:t>
                  </w:r>
                  <w:r>
                    <w:rPr>
                      <w:rFonts w:hint="eastAsia" w:cs="Times New Roman"/>
                      <w:color w:val="auto"/>
                      <w:kern w:val="0"/>
                      <w:sz w:val="21"/>
                      <w:szCs w:val="21"/>
                      <w:highlight w:val="none"/>
                      <w:vertAlign w:val="baseline"/>
                      <w:lang w:val="en-US" w:eastAsia="zh-CN" w:bidi="ar"/>
                    </w:rPr>
                    <w:t>，熔点为338℃，闪点为75℃，</w:t>
                  </w:r>
                  <w:r>
                    <w:rPr>
                      <w:rFonts w:hint="default" w:ascii="Times New Roman" w:hAnsi="Times New Roman" w:eastAsia="宋体" w:cs="Times New Roman"/>
                      <w:color w:val="auto"/>
                      <w:kern w:val="0"/>
                      <w:sz w:val="21"/>
                      <w:szCs w:val="21"/>
                      <w:highlight w:val="none"/>
                      <w:lang w:bidi="ar"/>
                    </w:rPr>
                    <w:t>沸点520℃。本品在水中易溶，在乙醇中微溶</w:t>
                  </w:r>
                  <w:r>
                    <w:rPr>
                      <w:rFonts w:hint="eastAsia" w:cs="Times New Roman"/>
                      <w:color w:val="auto"/>
                      <w:kern w:val="0"/>
                      <w:sz w:val="21"/>
                      <w:szCs w:val="21"/>
                      <w:highlight w:val="none"/>
                      <w:lang w:eastAsia="zh-CN" w:bidi="ar"/>
                    </w:rPr>
                    <w:t>，</w:t>
                  </w:r>
                  <w:r>
                    <w:rPr>
                      <w:rFonts w:hint="default" w:ascii="Times New Roman" w:hAnsi="Times New Roman" w:eastAsia="宋体" w:cs="Times New Roman"/>
                      <w:color w:val="auto"/>
                      <w:kern w:val="0"/>
                      <w:sz w:val="21"/>
                      <w:szCs w:val="21"/>
                      <w:highlight w:val="none"/>
                      <w:lang w:bidi="ar"/>
                    </w:rPr>
                    <w:t>低毒</w:t>
                  </w:r>
                  <w:r>
                    <w:rPr>
                      <w:rFonts w:hint="eastAsia" w:cs="Times New Roman"/>
                      <w:color w:val="auto"/>
                      <w:kern w:val="0"/>
                      <w:sz w:val="21"/>
                      <w:szCs w:val="21"/>
                      <w:highlight w:val="none"/>
                      <w:lang w:eastAsia="zh-CN" w:bidi="ar"/>
                    </w:rPr>
                    <w:t>，</w:t>
                  </w:r>
                  <w:r>
                    <w:rPr>
                      <w:rFonts w:hint="default" w:ascii="Times New Roman" w:hAnsi="Times New Roman" w:eastAsia="宋体" w:cs="Times New Roman"/>
                      <w:color w:val="auto"/>
                      <w:kern w:val="0"/>
                      <w:sz w:val="21"/>
                      <w:szCs w:val="21"/>
                      <w:highlight w:val="none"/>
                      <w:lang w:bidi="ar"/>
                    </w:rPr>
                    <w:t>有刺激性。</w:t>
                  </w:r>
                </w:p>
              </w:tc>
              <w:tc>
                <w:tcPr>
                  <w:tcW w:w="425" w:type="pct"/>
                  <w:noWrap w:val="0"/>
                  <w:vAlign w:val="center"/>
                </w:tcPr>
                <w:p w14:paraId="3534359C">
                  <w:pPr>
                    <w:widowControl/>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否</w:t>
                  </w:r>
                </w:p>
              </w:tc>
              <w:tc>
                <w:tcPr>
                  <w:tcW w:w="378" w:type="pct"/>
                  <w:noWrap w:val="0"/>
                  <w:vAlign w:val="center"/>
                </w:tcPr>
                <w:p w14:paraId="52A1CC7B">
                  <w:pPr>
                    <w:jc w:val="center"/>
                    <w:rPr>
                      <w:rFonts w:hint="default" w:ascii="Times New Roman" w:hAnsi="Times New Roman"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sz w:val="21"/>
                      <w:szCs w:val="21"/>
                      <w:highlight w:val="none"/>
                      <w:lang w:val="en-US" w:eastAsia="zh-CN"/>
                    </w:rPr>
                    <w:t>/</w:t>
                  </w:r>
                </w:p>
              </w:tc>
            </w:tr>
            <w:tr w14:paraId="37ECD4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723" w:hRule="atLeast"/>
                <w:jc w:val="center"/>
              </w:trPr>
              <w:tc>
                <w:tcPr>
                  <w:tcW w:w="253" w:type="pct"/>
                  <w:noWrap w:val="0"/>
                  <w:vAlign w:val="center"/>
                </w:tcPr>
                <w:p w14:paraId="1C09B8DA">
                  <w:pPr>
                    <w:widowControl/>
                    <w:jc w:val="center"/>
                    <w:textAlignment w:val="center"/>
                    <w:rPr>
                      <w:rFonts w:hint="default" w:ascii="Times New Roman" w:hAnsi="Times New Roman"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17</w:t>
                  </w:r>
                </w:p>
              </w:tc>
              <w:tc>
                <w:tcPr>
                  <w:tcW w:w="621" w:type="pct"/>
                  <w:noWrap w:val="0"/>
                  <w:vAlign w:val="center"/>
                </w:tcPr>
                <w:p w14:paraId="29A86F4F">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氯化钠</w:t>
                  </w:r>
                </w:p>
              </w:tc>
              <w:tc>
                <w:tcPr>
                  <w:tcW w:w="576" w:type="pct"/>
                  <w:noWrap w:val="0"/>
                  <w:vAlign w:val="center"/>
                </w:tcPr>
                <w:p w14:paraId="2BB8A78C">
                  <w:pPr>
                    <w:tabs>
                      <w:tab w:val="left" w:pos="1088"/>
                    </w:tabs>
                    <w:jc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bCs/>
                      <w:color w:val="auto"/>
                      <w:sz w:val="21"/>
                      <w:szCs w:val="21"/>
                      <w:highlight w:val="none"/>
                    </w:rPr>
                    <w:t>500g</w:t>
                  </w:r>
                  <w:r>
                    <w:rPr>
                      <w:rFonts w:hint="eastAsia" w:cs="Times New Roman"/>
                      <w:bCs/>
                      <w:color w:val="auto"/>
                      <w:sz w:val="21"/>
                      <w:szCs w:val="21"/>
                      <w:highlight w:val="none"/>
                      <w:lang w:val="en-US" w:eastAsia="zh-CN"/>
                    </w:rPr>
                    <w:t>/瓶</w:t>
                  </w:r>
                </w:p>
              </w:tc>
              <w:tc>
                <w:tcPr>
                  <w:tcW w:w="534" w:type="pct"/>
                  <w:noWrap w:val="0"/>
                  <w:vAlign w:val="center"/>
                </w:tcPr>
                <w:p w14:paraId="549DA9EC">
                  <w:pPr>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3</w:t>
                  </w:r>
                  <w:r>
                    <w:rPr>
                      <w:rFonts w:hint="eastAsia" w:ascii="Times New Roman" w:hAnsi="Times New Roman" w:cs="Times New Roman"/>
                      <w:color w:val="auto"/>
                      <w:sz w:val="21"/>
                      <w:szCs w:val="21"/>
                      <w:highlight w:val="none"/>
                      <w:lang w:val="en-US" w:eastAsia="zh-CN"/>
                    </w:rPr>
                    <w:t>.5</w:t>
                  </w:r>
                  <w:r>
                    <w:rPr>
                      <w:rFonts w:hint="default" w:ascii="Times New Roman" w:hAnsi="Times New Roman" w:cs="Times New Roman"/>
                      <w:color w:val="auto"/>
                      <w:sz w:val="21"/>
                      <w:szCs w:val="21"/>
                      <w:highlight w:val="none"/>
                    </w:rPr>
                    <w:t>kg</w:t>
                  </w:r>
                </w:p>
              </w:tc>
              <w:tc>
                <w:tcPr>
                  <w:tcW w:w="596" w:type="pct"/>
                  <w:noWrap w:val="0"/>
                  <w:vAlign w:val="center"/>
                </w:tcPr>
                <w:p w14:paraId="2AD48480">
                  <w:pPr>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3</w:t>
                  </w:r>
                  <w:r>
                    <w:rPr>
                      <w:rFonts w:hint="eastAsia" w:ascii="Times New Roman" w:hAnsi="Times New Roman" w:cs="Times New Roman"/>
                      <w:color w:val="auto"/>
                      <w:sz w:val="21"/>
                      <w:szCs w:val="21"/>
                      <w:highlight w:val="none"/>
                      <w:lang w:val="en-US" w:eastAsia="zh-CN"/>
                    </w:rPr>
                    <w:t>.5</w:t>
                  </w:r>
                  <w:r>
                    <w:rPr>
                      <w:rFonts w:hint="default" w:ascii="Times New Roman" w:hAnsi="Times New Roman" w:cs="Times New Roman"/>
                      <w:color w:val="auto"/>
                      <w:sz w:val="21"/>
                      <w:szCs w:val="21"/>
                      <w:highlight w:val="none"/>
                    </w:rPr>
                    <w:t>kg</w:t>
                  </w:r>
                </w:p>
              </w:tc>
              <w:tc>
                <w:tcPr>
                  <w:tcW w:w="1614" w:type="pct"/>
                  <w:noWrap w:val="0"/>
                  <w:vAlign w:val="center"/>
                </w:tcPr>
                <w:p w14:paraId="1FA2FCDF">
                  <w:pPr>
                    <w:widowControl/>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bidi="ar"/>
                    </w:rPr>
                    <w:t>化学式NaCl，无色立方结晶或细小结晶粉末</w:t>
                  </w:r>
                  <w:r>
                    <w:rPr>
                      <w:rFonts w:hint="eastAsia" w:cs="Times New Roman"/>
                      <w:color w:val="auto"/>
                      <w:kern w:val="0"/>
                      <w:sz w:val="21"/>
                      <w:szCs w:val="21"/>
                      <w:highlight w:val="none"/>
                      <w:lang w:eastAsia="zh-CN" w:bidi="ar"/>
                    </w:rPr>
                    <w:t>，</w:t>
                  </w:r>
                  <w:r>
                    <w:rPr>
                      <w:rFonts w:hint="eastAsia" w:cs="Times New Roman"/>
                      <w:color w:val="auto"/>
                      <w:kern w:val="0"/>
                      <w:sz w:val="21"/>
                      <w:szCs w:val="21"/>
                      <w:highlight w:val="none"/>
                      <w:lang w:val="en-US" w:eastAsia="zh-CN" w:bidi="ar"/>
                    </w:rPr>
                    <w:t>无气味，</w:t>
                  </w:r>
                  <w:r>
                    <w:rPr>
                      <w:rFonts w:hint="default" w:ascii="Times New Roman" w:hAnsi="Times New Roman" w:eastAsia="宋体" w:cs="Times New Roman"/>
                      <w:color w:val="auto"/>
                      <w:kern w:val="0"/>
                      <w:sz w:val="21"/>
                      <w:szCs w:val="21"/>
                      <w:highlight w:val="none"/>
                      <w:lang w:bidi="ar"/>
                    </w:rPr>
                    <w:t>其来源主要是海水，是食盐的主要成分。</w:t>
                  </w:r>
                  <w:r>
                    <w:rPr>
                      <w:rFonts w:hint="eastAsia" w:cs="Times New Roman"/>
                      <w:color w:val="auto"/>
                      <w:kern w:val="0"/>
                      <w:sz w:val="21"/>
                      <w:szCs w:val="21"/>
                      <w:highlight w:val="none"/>
                      <w:lang w:val="en-US" w:eastAsia="zh-CN" w:bidi="ar"/>
                    </w:rPr>
                    <w:t>沸点为100℃，闪点为1413℃，熔点为801℃，相对密度为2.16g/cm</w:t>
                  </w:r>
                  <w:r>
                    <w:rPr>
                      <w:rFonts w:hint="eastAsia" w:cs="Times New Roman"/>
                      <w:color w:val="auto"/>
                      <w:kern w:val="0"/>
                      <w:sz w:val="21"/>
                      <w:szCs w:val="21"/>
                      <w:highlight w:val="none"/>
                      <w:vertAlign w:val="superscript"/>
                      <w:lang w:val="en-US" w:eastAsia="zh-CN" w:bidi="ar"/>
                    </w:rPr>
                    <w:t>3</w:t>
                  </w:r>
                  <w:r>
                    <w:rPr>
                      <w:rFonts w:hint="eastAsia" w:cs="Times New Roman"/>
                      <w:color w:val="auto"/>
                      <w:kern w:val="0"/>
                      <w:sz w:val="21"/>
                      <w:szCs w:val="21"/>
                      <w:highlight w:val="none"/>
                      <w:lang w:val="en-US" w:eastAsia="zh-CN" w:bidi="ar"/>
                    </w:rPr>
                    <w:t>，</w:t>
                  </w:r>
                  <w:r>
                    <w:rPr>
                      <w:rFonts w:hint="default" w:ascii="Times New Roman" w:hAnsi="Times New Roman" w:eastAsia="宋体" w:cs="Times New Roman"/>
                      <w:color w:val="auto"/>
                      <w:kern w:val="0"/>
                      <w:sz w:val="21"/>
                      <w:szCs w:val="21"/>
                      <w:highlight w:val="none"/>
                      <w:lang w:bidi="ar"/>
                    </w:rPr>
                    <w:t>易溶于水、甘油，微溶于乙醇（酒精）、液氨。</w:t>
                  </w:r>
                </w:p>
              </w:tc>
              <w:tc>
                <w:tcPr>
                  <w:tcW w:w="425" w:type="pct"/>
                  <w:noWrap w:val="0"/>
                  <w:vAlign w:val="center"/>
                </w:tcPr>
                <w:p w14:paraId="2B7E3BE9">
                  <w:pPr>
                    <w:widowControl/>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否</w:t>
                  </w:r>
                </w:p>
              </w:tc>
              <w:tc>
                <w:tcPr>
                  <w:tcW w:w="378" w:type="pct"/>
                  <w:noWrap w:val="0"/>
                  <w:vAlign w:val="center"/>
                </w:tcPr>
                <w:p w14:paraId="7DC3D867">
                  <w:pPr>
                    <w:jc w:val="center"/>
                    <w:rPr>
                      <w:rFonts w:hint="default" w:ascii="Times New Roman" w:hAnsi="Times New Roman"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sz w:val="21"/>
                      <w:szCs w:val="21"/>
                      <w:highlight w:val="none"/>
                      <w:lang w:val="en-US" w:eastAsia="zh-CN"/>
                    </w:rPr>
                    <w:t>/</w:t>
                  </w:r>
                </w:p>
              </w:tc>
            </w:tr>
            <w:tr w14:paraId="179CBF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468" w:hRule="atLeast"/>
                <w:jc w:val="center"/>
              </w:trPr>
              <w:tc>
                <w:tcPr>
                  <w:tcW w:w="253" w:type="pct"/>
                  <w:noWrap w:val="0"/>
                  <w:vAlign w:val="center"/>
                </w:tcPr>
                <w:p w14:paraId="40692E50">
                  <w:pPr>
                    <w:widowControl/>
                    <w:jc w:val="center"/>
                    <w:textAlignment w:val="center"/>
                    <w:rPr>
                      <w:rFonts w:hint="default" w:ascii="Times New Roman" w:hAnsi="Times New Roman"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18</w:t>
                  </w:r>
                </w:p>
              </w:tc>
              <w:tc>
                <w:tcPr>
                  <w:tcW w:w="621" w:type="pct"/>
                  <w:noWrap w:val="0"/>
                  <w:vAlign w:val="center"/>
                </w:tcPr>
                <w:p w14:paraId="76D99A7C">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氢氧化钠</w:t>
                  </w:r>
                </w:p>
              </w:tc>
              <w:tc>
                <w:tcPr>
                  <w:tcW w:w="576" w:type="pct"/>
                  <w:noWrap w:val="0"/>
                  <w:vAlign w:val="center"/>
                </w:tcPr>
                <w:p w14:paraId="7294AC3A">
                  <w:pPr>
                    <w:tabs>
                      <w:tab w:val="left" w:pos="1088"/>
                    </w:tabs>
                    <w:jc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bCs/>
                      <w:color w:val="auto"/>
                      <w:sz w:val="21"/>
                      <w:szCs w:val="21"/>
                      <w:highlight w:val="none"/>
                    </w:rPr>
                    <w:t>500g</w:t>
                  </w:r>
                  <w:r>
                    <w:rPr>
                      <w:rFonts w:hint="eastAsia" w:cs="Times New Roman"/>
                      <w:bCs/>
                      <w:color w:val="auto"/>
                      <w:sz w:val="21"/>
                      <w:szCs w:val="21"/>
                      <w:highlight w:val="none"/>
                      <w:lang w:val="en-US" w:eastAsia="zh-CN"/>
                    </w:rPr>
                    <w:t>/瓶</w:t>
                  </w:r>
                </w:p>
              </w:tc>
              <w:tc>
                <w:tcPr>
                  <w:tcW w:w="534" w:type="pct"/>
                  <w:noWrap w:val="0"/>
                  <w:vAlign w:val="center"/>
                </w:tcPr>
                <w:p w14:paraId="41E1EE57">
                  <w:pPr>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1</w:t>
                  </w:r>
                  <w:r>
                    <w:rPr>
                      <w:rFonts w:hint="eastAsia" w:ascii="Times New Roman" w:hAnsi="Times New Roman" w:cs="Times New Roman"/>
                      <w:color w:val="auto"/>
                      <w:sz w:val="21"/>
                      <w:szCs w:val="21"/>
                      <w:highlight w:val="none"/>
                      <w:lang w:val="en-US" w:eastAsia="zh-CN"/>
                    </w:rPr>
                    <w:t>6</w:t>
                  </w:r>
                  <w:r>
                    <w:rPr>
                      <w:rFonts w:hint="default" w:ascii="Times New Roman" w:hAnsi="Times New Roman" w:cs="Times New Roman"/>
                      <w:color w:val="auto"/>
                      <w:sz w:val="21"/>
                      <w:szCs w:val="21"/>
                      <w:highlight w:val="none"/>
                    </w:rPr>
                    <w:t>kg</w:t>
                  </w:r>
                </w:p>
              </w:tc>
              <w:tc>
                <w:tcPr>
                  <w:tcW w:w="596" w:type="pct"/>
                  <w:noWrap w:val="0"/>
                  <w:vAlign w:val="center"/>
                </w:tcPr>
                <w:p w14:paraId="61B84C52">
                  <w:pPr>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1</w:t>
                  </w:r>
                  <w:r>
                    <w:rPr>
                      <w:rFonts w:hint="eastAsia" w:ascii="Times New Roman" w:hAnsi="Times New Roman" w:cs="Times New Roman"/>
                      <w:color w:val="auto"/>
                      <w:sz w:val="21"/>
                      <w:szCs w:val="21"/>
                      <w:highlight w:val="none"/>
                      <w:lang w:val="en-US" w:eastAsia="zh-CN"/>
                    </w:rPr>
                    <w:t>6</w:t>
                  </w:r>
                  <w:r>
                    <w:rPr>
                      <w:rFonts w:hint="default" w:ascii="Times New Roman" w:hAnsi="Times New Roman" w:cs="Times New Roman"/>
                      <w:color w:val="auto"/>
                      <w:sz w:val="21"/>
                      <w:szCs w:val="21"/>
                      <w:highlight w:val="none"/>
                    </w:rPr>
                    <w:t>kg</w:t>
                  </w:r>
                </w:p>
              </w:tc>
              <w:tc>
                <w:tcPr>
                  <w:tcW w:w="1614" w:type="pct"/>
                  <w:noWrap w:val="0"/>
                  <w:vAlign w:val="center"/>
                </w:tcPr>
                <w:p w14:paraId="784B324A">
                  <w:pPr>
                    <w:widowControl/>
                    <w:jc w:val="center"/>
                    <w:textAlignment w:val="center"/>
                    <w:rPr>
                      <w:rFonts w:hint="eastAsia" w:ascii="Times New Roman" w:hAnsi="Times New Roman" w:eastAsia="宋体" w:cs="Times New Roman"/>
                      <w:color w:val="auto"/>
                      <w:kern w:val="0"/>
                      <w:sz w:val="21"/>
                      <w:szCs w:val="21"/>
                      <w:highlight w:val="none"/>
                      <w:lang w:eastAsia="zh-CN" w:bidi="ar"/>
                    </w:rPr>
                  </w:pPr>
                  <w:r>
                    <w:rPr>
                      <w:rFonts w:hint="default" w:ascii="Times New Roman" w:hAnsi="Times New Roman" w:eastAsia="宋体" w:cs="Times New Roman"/>
                      <w:color w:val="auto"/>
                      <w:kern w:val="0"/>
                      <w:sz w:val="21"/>
                      <w:szCs w:val="21"/>
                      <w:highlight w:val="none"/>
                      <w:lang w:bidi="ar"/>
                    </w:rPr>
                    <w:t>氢氧化钠，粉状固体</w:t>
                  </w:r>
                  <w:r>
                    <w:rPr>
                      <w:rFonts w:hint="eastAsia" w:cs="Times New Roman"/>
                      <w:color w:val="auto"/>
                      <w:kern w:val="0"/>
                      <w:sz w:val="21"/>
                      <w:szCs w:val="21"/>
                      <w:highlight w:val="none"/>
                      <w:lang w:eastAsia="zh-CN" w:bidi="ar"/>
                    </w:rPr>
                    <w:t>，</w:t>
                  </w:r>
                  <w:r>
                    <w:rPr>
                      <w:rFonts w:hint="default" w:ascii="Times New Roman" w:hAnsi="Times New Roman" w:eastAsia="宋体" w:cs="Times New Roman"/>
                      <w:color w:val="auto"/>
                      <w:kern w:val="0"/>
                      <w:sz w:val="21"/>
                      <w:szCs w:val="21"/>
                      <w:highlight w:val="none"/>
                      <w:lang w:bidi="ar"/>
                    </w:rPr>
                    <w:t>化学式为NaOH，俗称烧碱、火碱、苛性钠，为一种具有强腐蚀性的强碱，</w:t>
                  </w:r>
                  <w:r>
                    <w:rPr>
                      <w:rFonts w:hint="eastAsia" w:cs="Times New Roman"/>
                      <w:color w:val="auto"/>
                      <w:kern w:val="0"/>
                      <w:sz w:val="21"/>
                      <w:szCs w:val="21"/>
                      <w:highlight w:val="none"/>
                      <w:lang w:val="en-US" w:eastAsia="zh-CN" w:bidi="ar"/>
                    </w:rPr>
                    <w:t>无气味，</w:t>
                  </w:r>
                  <w:r>
                    <w:rPr>
                      <w:rFonts w:hint="default" w:ascii="Times New Roman" w:hAnsi="Times New Roman" w:eastAsia="宋体" w:cs="Times New Roman"/>
                      <w:color w:val="auto"/>
                      <w:kern w:val="0"/>
                      <w:sz w:val="21"/>
                      <w:szCs w:val="21"/>
                      <w:highlight w:val="none"/>
                      <w:lang w:bidi="ar"/>
                    </w:rPr>
                    <w:t>密度为2.12g/cm</w:t>
                  </w:r>
                  <w:r>
                    <w:rPr>
                      <w:rFonts w:hint="default" w:ascii="Times New Roman" w:hAnsi="Times New Roman" w:eastAsia="宋体" w:cs="Times New Roman"/>
                      <w:color w:val="auto"/>
                      <w:kern w:val="0"/>
                      <w:sz w:val="21"/>
                      <w:szCs w:val="21"/>
                      <w:highlight w:val="none"/>
                      <w:vertAlign w:val="superscript"/>
                      <w:lang w:bidi="ar"/>
                    </w:rPr>
                    <w:t>3</w:t>
                  </w:r>
                  <w:r>
                    <w:rPr>
                      <w:rFonts w:hint="default" w:ascii="Times New Roman" w:hAnsi="Times New Roman" w:eastAsia="宋体" w:cs="Times New Roman"/>
                      <w:color w:val="auto"/>
                      <w:kern w:val="0"/>
                      <w:sz w:val="21"/>
                      <w:szCs w:val="21"/>
                      <w:highlight w:val="none"/>
                      <w:lang w:bidi="ar"/>
                    </w:rPr>
                    <w:t>，闪点为176-178℃，沸点1390℃</w:t>
                  </w:r>
                  <w:r>
                    <w:rPr>
                      <w:rFonts w:hint="eastAsia" w:ascii="Times New Roman" w:hAnsi="Times New Roman" w:eastAsia="宋体" w:cs="Times New Roman"/>
                      <w:color w:val="auto"/>
                      <w:kern w:val="0"/>
                      <w:sz w:val="21"/>
                      <w:szCs w:val="21"/>
                      <w:highlight w:val="none"/>
                      <w:lang w:eastAsia="zh-CN" w:bidi="ar"/>
                    </w:rPr>
                    <w:t>。</w:t>
                  </w:r>
                  <w:r>
                    <w:rPr>
                      <w:rFonts w:hint="default" w:ascii="Times New Roman" w:hAnsi="Times New Roman" w:eastAsia="宋体" w:cs="Times New Roman"/>
                      <w:color w:val="auto"/>
                      <w:kern w:val="0"/>
                      <w:sz w:val="21"/>
                      <w:szCs w:val="21"/>
                      <w:highlight w:val="none"/>
                      <w:lang w:bidi="ar"/>
                    </w:rPr>
                    <w:t>易溶于水(溶于水时放热)并形成碱性溶液</w:t>
                  </w:r>
                  <w:r>
                    <w:rPr>
                      <w:rFonts w:hint="eastAsia" w:cs="Times New Roman"/>
                      <w:color w:val="auto"/>
                      <w:kern w:val="0"/>
                      <w:sz w:val="21"/>
                      <w:szCs w:val="21"/>
                      <w:highlight w:val="none"/>
                      <w:lang w:eastAsia="zh-CN" w:bidi="ar"/>
                    </w:rPr>
                    <w:t>。</w:t>
                  </w:r>
                </w:p>
              </w:tc>
              <w:tc>
                <w:tcPr>
                  <w:tcW w:w="425" w:type="pct"/>
                  <w:noWrap w:val="0"/>
                  <w:vAlign w:val="center"/>
                </w:tcPr>
                <w:p w14:paraId="5C4B750F">
                  <w:pPr>
                    <w:widowControl/>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否</w:t>
                  </w:r>
                </w:p>
              </w:tc>
              <w:tc>
                <w:tcPr>
                  <w:tcW w:w="378" w:type="pct"/>
                  <w:noWrap w:val="0"/>
                  <w:vAlign w:val="center"/>
                </w:tcPr>
                <w:p w14:paraId="2618528C">
                  <w:pPr>
                    <w:jc w:val="center"/>
                    <w:rPr>
                      <w:rFonts w:hint="default" w:ascii="Times New Roman" w:hAnsi="Times New Roman"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sz w:val="21"/>
                      <w:szCs w:val="21"/>
                      <w:highlight w:val="none"/>
                      <w:lang w:val="en-US" w:eastAsia="zh-CN"/>
                    </w:rPr>
                    <w:t>/</w:t>
                  </w:r>
                </w:p>
              </w:tc>
            </w:tr>
            <w:tr w14:paraId="2DF83C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723" w:hRule="atLeast"/>
                <w:jc w:val="center"/>
              </w:trPr>
              <w:tc>
                <w:tcPr>
                  <w:tcW w:w="253" w:type="pct"/>
                  <w:noWrap w:val="0"/>
                  <w:vAlign w:val="center"/>
                </w:tcPr>
                <w:p w14:paraId="7FAFF4EB">
                  <w:pPr>
                    <w:widowControl/>
                    <w:jc w:val="center"/>
                    <w:textAlignment w:val="center"/>
                    <w:rPr>
                      <w:rFonts w:hint="default" w:ascii="Times New Roman" w:hAnsi="Times New Roman"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19</w:t>
                  </w:r>
                </w:p>
              </w:tc>
              <w:tc>
                <w:tcPr>
                  <w:tcW w:w="621" w:type="pct"/>
                  <w:noWrap w:val="0"/>
                  <w:vAlign w:val="center"/>
                </w:tcPr>
                <w:p w14:paraId="651CF028">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碳酸氢钠</w:t>
                  </w:r>
                </w:p>
              </w:tc>
              <w:tc>
                <w:tcPr>
                  <w:tcW w:w="576" w:type="pct"/>
                  <w:noWrap w:val="0"/>
                  <w:vAlign w:val="center"/>
                </w:tcPr>
                <w:p w14:paraId="297D5A03">
                  <w:pPr>
                    <w:jc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bCs/>
                      <w:color w:val="auto"/>
                      <w:sz w:val="21"/>
                      <w:szCs w:val="21"/>
                      <w:highlight w:val="none"/>
                    </w:rPr>
                    <w:t>500g</w:t>
                  </w:r>
                  <w:r>
                    <w:rPr>
                      <w:rFonts w:hint="eastAsia" w:cs="Times New Roman"/>
                      <w:bCs/>
                      <w:color w:val="auto"/>
                      <w:sz w:val="21"/>
                      <w:szCs w:val="21"/>
                      <w:highlight w:val="none"/>
                      <w:lang w:val="en-US" w:eastAsia="zh-CN"/>
                    </w:rPr>
                    <w:t>/瓶</w:t>
                  </w:r>
                </w:p>
              </w:tc>
              <w:tc>
                <w:tcPr>
                  <w:tcW w:w="534" w:type="pct"/>
                  <w:noWrap w:val="0"/>
                  <w:vAlign w:val="center"/>
                </w:tcPr>
                <w:p w14:paraId="5C0CA446">
                  <w:pPr>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3kg</w:t>
                  </w:r>
                </w:p>
              </w:tc>
              <w:tc>
                <w:tcPr>
                  <w:tcW w:w="596" w:type="pct"/>
                  <w:noWrap w:val="0"/>
                  <w:vAlign w:val="center"/>
                </w:tcPr>
                <w:p w14:paraId="09A8D676">
                  <w:pPr>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3kg</w:t>
                  </w:r>
                </w:p>
              </w:tc>
              <w:tc>
                <w:tcPr>
                  <w:tcW w:w="1614" w:type="pct"/>
                  <w:noWrap w:val="0"/>
                  <w:vAlign w:val="center"/>
                </w:tcPr>
                <w:p w14:paraId="68535A93">
                  <w:pPr>
                    <w:widowControl/>
                    <w:jc w:val="center"/>
                    <w:textAlignment w:val="center"/>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lang w:bidi="ar"/>
                    </w:rPr>
                    <w:t>碳酸氢钠为白色晶体</w:t>
                  </w:r>
                  <w:r>
                    <w:rPr>
                      <w:rFonts w:hint="eastAsia" w:cs="Times New Roman"/>
                      <w:color w:val="auto"/>
                      <w:kern w:val="0"/>
                      <w:sz w:val="21"/>
                      <w:szCs w:val="21"/>
                      <w:highlight w:val="none"/>
                      <w:lang w:val="en-US" w:eastAsia="zh-CN" w:bidi="ar"/>
                    </w:rPr>
                    <w:t>粉末</w:t>
                  </w:r>
                  <w:r>
                    <w:rPr>
                      <w:rFonts w:hint="default" w:ascii="Times New Roman" w:hAnsi="Times New Roman" w:eastAsia="宋体" w:cs="Times New Roman"/>
                      <w:color w:val="auto"/>
                      <w:kern w:val="0"/>
                      <w:sz w:val="21"/>
                      <w:szCs w:val="21"/>
                      <w:highlight w:val="none"/>
                      <w:lang w:bidi="ar"/>
                    </w:rPr>
                    <w:t>，或不透明单斜晶系细微结晶。无臭，可溶于水，不溶于乙醇。</w:t>
                  </w:r>
                  <w:r>
                    <w:rPr>
                      <w:rFonts w:hint="eastAsia" w:cs="Times New Roman"/>
                      <w:color w:val="auto"/>
                      <w:kern w:val="0"/>
                      <w:sz w:val="21"/>
                      <w:szCs w:val="21"/>
                      <w:highlight w:val="none"/>
                      <w:lang w:val="en-US" w:eastAsia="zh-CN" w:bidi="ar"/>
                    </w:rPr>
                    <w:t>熔点＞500℃，沸点为851℃，闪点为42℃，密度为2.21g/cm</w:t>
                  </w:r>
                  <w:r>
                    <w:rPr>
                      <w:rFonts w:hint="eastAsia" w:cs="Times New Roman"/>
                      <w:color w:val="auto"/>
                      <w:kern w:val="0"/>
                      <w:sz w:val="21"/>
                      <w:szCs w:val="21"/>
                      <w:highlight w:val="none"/>
                      <w:vertAlign w:val="superscript"/>
                      <w:lang w:val="en-US" w:eastAsia="zh-CN" w:bidi="ar"/>
                    </w:rPr>
                    <w:t>3</w:t>
                  </w:r>
                  <w:r>
                    <w:rPr>
                      <w:rFonts w:hint="eastAsia" w:cs="Times New Roman"/>
                      <w:color w:val="auto"/>
                      <w:kern w:val="0"/>
                      <w:sz w:val="21"/>
                      <w:szCs w:val="21"/>
                      <w:highlight w:val="none"/>
                      <w:vertAlign w:val="baseline"/>
                      <w:lang w:val="en-US" w:eastAsia="zh-CN" w:bidi="ar"/>
                    </w:rPr>
                    <w:t>，溶于水，不溶于乙醇。</w:t>
                  </w:r>
                </w:p>
              </w:tc>
              <w:tc>
                <w:tcPr>
                  <w:tcW w:w="425" w:type="pct"/>
                  <w:noWrap w:val="0"/>
                  <w:vAlign w:val="center"/>
                </w:tcPr>
                <w:p w14:paraId="0A8FD678">
                  <w:pPr>
                    <w:widowControl/>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否</w:t>
                  </w:r>
                </w:p>
              </w:tc>
              <w:tc>
                <w:tcPr>
                  <w:tcW w:w="378" w:type="pct"/>
                  <w:noWrap w:val="0"/>
                  <w:vAlign w:val="center"/>
                </w:tcPr>
                <w:p w14:paraId="475BED35">
                  <w:pPr>
                    <w:jc w:val="center"/>
                    <w:rPr>
                      <w:rFonts w:hint="default" w:ascii="Times New Roman" w:hAnsi="Times New Roman"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sz w:val="21"/>
                      <w:szCs w:val="21"/>
                      <w:highlight w:val="none"/>
                      <w:lang w:val="en-US" w:eastAsia="zh-CN"/>
                    </w:rPr>
                    <w:t>/</w:t>
                  </w:r>
                </w:p>
              </w:tc>
            </w:tr>
            <w:tr w14:paraId="777F83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43" w:hRule="atLeast"/>
                <w:jc w:val="center"/>
              </w:trPr>
              <w:tc>
                <w:tcPr>
                  <w:tcW w:w="253" w:type="pct"/>
                  <w:noWrap w:val="0"/>
                  <w:vAlign w:val="center"/>
                </w:tcPr>
                <w:p w14:paraId="34ADCA20">
                  <w:pPr>
                    <w:widowControl/>
                    <w:jc w:val="center"/>
                    <w:textAlignment w:val="center"/>
                    <w:rPr>
                      <w:rFonts w:hint="default" w:ascii="Times New Roman" w:hAnsi="Times New Roman"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20</w:t>
                  </w:r>
                </w:p>
              </w:tc>
              <w:tc>
                <w:tcPr>
                  <w:tcW w:w="621" w:type="pct"/>
                  <w:noWrap w:val="0"/>
                  <w:vAlign w:val="center"/>
                </w:tcPr>
                <w:p w14:paraId="2A4E54D6">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硫酸铜</w:t>
                  </w:r>
                </w:p>
              </w:tc>
              <w:tc>
                <w:tcPr>
                  <w:tcW w:w="576" w:type="pct"/>
                  <w:noWrap w:val="0"/>
                  <w:vAlign w:val="center"/>
                </w:tcPr>
                <w:p w14:paraId="544E7567">
                  <w:pPr>
                    <w:jc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bCs/>
                      <w:color w:val="auto"/>
                      <w:sz w:val="21"/>
                      <w:szCs w:val="21"/>
                      <w:highlight w:val="none"/>
                    </w:rPr>
                    <w:t>500g</w:t>
                  </w:r>
                  <w:r>
                    <w:rPr>
                      <w:rFonts w:hint="eastAsia" w:cs="Times New Roman"/>
                      <w:bCs/>
                      <w:color w:val="auto"/>
                      <w:sz w:val="21"/>
                      <w:szCs w:val="21"/>
                      <w:highlight w:val="none"/>
                      <w:lang w:val="en-US" w:eastAsia="zh-CN"/>
                    </w:rPr>
                    <w:t>/瓶</w:t>
                  </w:r>
                </w:p>
              </w:tc>
              <w:tc>
                <w:tcPr>
                  <w:tcW w:w="534" w:type="pct"/>
                  <w:noWrap w:val="0"/>
                  <w:vAlign w:val="center"/>
                </w:tcPr>
                <w:p w14:paraId="50D89E3A">
                  <w:pPr>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2.5kg</w:t>
                  </w:r>
                </w:p>
              </w:tc>
              <w:tc>
                <w:tcPr>
                  <w:tcW w:w="596" w:type="pct"/>
                  <w:noWrap w:val="0"/>
                  <w:vAlign w:val="center"/>
                </w:tcPr>
                <w:p w14:paraId="1AC7FDC6">
                  <w:pPr>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2.5kg</w:t>
                  </w:r>
                </w:p>
              </w:tc>
              <w:tc>
                <w:tcPr>
                  <w:tcW w:w="1614" w:type="pct"/>
                  <w:noWrap w:val="0"/>
                  <w:vAlign w:val="center"/>
                </w:tcPr>
                <w:p w14:paraId="792EC597">
                  <w:pPr>
                    <w:widowControl/>
                    <w:jc w:val="center"/>
                    <w:textAlignment w:val="center"/>
                    <w:rPr>
                      <w:rFonts w:hint="eastAsia" w:ascii="Times New Roman" w:hAnsi="Times New Roman" w:eastAsia="微软雅黑" w:cs="Times New Roman"/>
                      <w:color w:val="auto"/>
                      <w:kern w:val="0"/>
                      <w:sz w:val="21"/>
                      <w:szCs w:val="21"/>
                      <w:highlight w:val="none"/>
                      <w:lang w:eastAsia="zh-CN" w:bidi="ar"/>
                    </w:rPr>
                  </w:pPr>
                  <w:r>
                    <w:rPr>
                      <w:rFonts w:hint="default" w:ascii="Times New Roman" w:hAnsi="Times New Roman" w:eastAsia="宋体" w:cs="Times New Roman"/>
                      <w:color w:val="auto"/>
                      <w:kern w:val="0"/>
                      <w:sz w:val="21"/>
                      <w:szCs w:val="21"/>
                      <w:highlight w:val="none"/>
                      <w:lang w:bidi="ar"/>
                    </w:rPr>
                    <w:t>硫酸铜(化学式:CuSO</w:t>
                  </w:r>
                  <w:r>
                    <w:rPr>
                      <w:rFonts w:hint="default" w:ascii="Times New Roman" w:hAnsi="Times New Roman" w:eastAsia="宋体" w:cs="Times New Roman"/>
                      <w:color w:val="auto"/>
                      <w:kern w:val="0"/>
                      <w:sz w:val="21"/>
                      <w:szCs w:val="21"/>
                      <w:highlight w:val="none"/>
                      <w:vertAlign w:val="subscript"/>
                      <w:lang w:bidi="ar"/>
                    </w:rPr>
                    <w:t>4</w:t>
                  </w:r>
                  <w:r>
                    <w:rPr>
                      <w:rFonts w:hint="default" w:ascii="Times New Roman" w:hAnsi="Times New Roman" w:eastAsia="宋体" w:cs="Times New Roman"/>
                      <w:color w:val="auto"/>
                      <w:kern w:val="0"/>
                      <w:sz w:val="21"/>
                      <w:szCs w:val="21"/>
                      <w:highlight w:val="none"/>
                      <w:lang w:bidi="ar"/>
                    </w:rPr>
                    <w:t>)，无水硫酸铜为白色或灰白色粉末</w:t>
                  </w:r>
                  <w:r>
                    <w:rPr>
                      <w:rFonts w:hint="eastAsia" w:cs="Times New Roman"/>
                      <w:color w:val="auto"/>
                      <w:kern w:val="0"/>
                      <w:sz w:val="21"/>
                      <w:szCs w:val="21"/>
                      <w:highlight w:val="none"/>
                      <w:lang w:eastAsia="zh-CN" w:bidi="ar"/>
                    </w:rPr>
                    <w:t>，</w:t>
                  </w:r>
                  <w:r>
                    <w:rPr>
                      <w:rFonts w:hint="eastAsia" w:cs="Times New Roman"/>
                      <w:color w:val="auto"/>
                      <w:kern w:val="0"/>
                      <w:sz w:val="21"/>
                      <w:szCs w:val="21"/>
                      <w:highlight w:val="none"/>
                      <w:lang w:val="en-US" w:eastAsia="zh-CN" w:bidi="ar"/>
                    </w:rPr>
                    <w:t>无气味，</w:t>
                  </w:r>
                  <w:r>
                    <w:rPr>
                      <w:rFonts w:hint="default" w:ascii="Times New Roman" w:hAnsi="Times New Roman" w:eastAsia="宋体" w:cs="Times New Roman"/>
                      <w:color w:val="auto"/>
                      <w:kern w:val="0"/>
                      <w:sz w:val="21"/>
                      <w:szCs w:val="21"/>
                      <w:highlight w:val="none"/>
                      <w:lang w:bidi="ar"/>
                    </w:rPr>
                    <w:t>其水溶液呈弱酸性，显蓝色。密度：3.603g/cm</w:t>
                  </w:r>
                  <w:r>
                    <w:rPr>
                      <w:rFonts w:hint="default" w:ascii="Times New Roman" w:hAnsi="Times New Roman" w:eastAsia="宋体" w:cs="Times New Roman"/>
                      <w:color w:val="auto"/>
                      <w:kern w:val="0"/>
                      <w:sz w:val="21"/>
                      <w:szCs w:val="21"/>
                      <w:highlight w:val="none"/>
                      <w:vertAlign w:val="superscript"/>
                      <w:lang w:bidi="ar"/>
                    </w:rPr>
                    <w:t>3</w:t>
                  </w:r>
                  <w:r>
                    <w:rPr>
                      <w:rFonts w:hint="default" w:ascii="Times New Roman" w:hAnsi="Times New Roman" w:eastAsia="宋体" w:cs="Times New Roman"/>
                      <w:color w:val="auto"/>
                      <w:kern w:val="0"/>
                      <w:sz w:val="21"/>
                      <w:szCs w:val="21"/>
                      <w:highlight w:val="none"/>
                      <w:lang w:bidi="ar"/>
                    </w:rPr>
                    <w:t>，熔点</w:t>
                  </w:r>
                  <w:r>
                    <w:rPr>
                      <w:rFonts w:hint="default" w:ascii="Times New Roman" w:hAnsi="Times New Roman" w:eastAsia="宋体" w:cs="Times New Roman"/>
                      <w:color w:val="auto"/>
                      <w:kern w:val="0"/>
                      <w:sz w:val="21"/>
                      <w:szCs w:val="21"/>
                      <w:highlight w:val="none"/>
                      <w:lang w:val="en-US" w:eastAsia="zh-CN" w:bidi="ar"/>
                    </w:rPr>
                    <w:t>为200</w:t>
                  </w:r>
                  <w:r>
                    <w:rPr>
                      <w:rFonts w:hint="default" w:ascii="Times New Roman" w:hAnsi="Times New Roman" w:eastAsia="宋体" w:cs="Times New Roman"/>
                      <w:color w:val="auto"/>
                      <w:kern w:val="0"/>
                      <w:sz w:val="21"/>
                      <w:szCs w:val="21"/>
                      <w:highlight w:val="none"/>
                      <w:lang w:bidi="ar"/>
                    </w:rPr>
                    <w:t>℃</w:t>
                  </w:r>
                  <w:r>
                    <w:rPr>
                      <w:rFonts w:hint="default" w:ascii="Times New Roman" w:hAnsi="Times New Roman" w:eastAsia="宋体" w:cs="Times New Roman"/>
                      <w:color w:val="auto"/>
                      <w:kern w:val="0"/>
                      <w:sz w:val="21"/>
                      <w:szCs w:val="21"/>
                      <w:highlight w:val="none"/>
                      <w:lang w:eastAsia="zh-CN" w:bidi="ar"/>
                    </w:rPr>
                    <w:t>，</w:t>
                  </w:r>
                  <w:r>
                    <w:rPr>
                      <w:rFonts w:hint="default" w:ascii="Times New Roman" w:hAnsi="Times New Roman" w:eastAsia="宋体" w:cs="Times New Roman"/>
                      <w:color w:val="auto"/>
                      <w:kern w:val="0"/>
                      <w:sz w:val="21"/>
                      <w:szCs w:val="21"/>
                      <w:highlight w:val="none"/>
                      <w:lang w:val="en-US" w:eastAsia="zh-CN" w:bidi="ar"/>
                    </w:rPr>
                    <w:t>沸点为330℃</w:t>
                  </w:r>
                  <w:r>
                    <w:rPr>
                      <w:rFonts w:hint="default" w:ascii="Times New Roman" w:hAnsi="Times New Roman" w:eastAsia="宋体" w:cs="Times New Roman"/>
                      <w:color w:val="auto"/>
                      <w:kern w:val="0"/>
                      <w:sz w:val="21"/>
                      <w:szCs w:val="21"/>
                      <w:highlight w:val="none"/>
                      <w:lang w:bidi="ar"/>
                    </w:rPr>
                    <w:t>。</w:t>
                  </w:r>
                  <w:r>
                    <w:rPr>
                      <w:rFonts w:hint="default" w:ascii="Times New Roman" w:hAnsi="Times New Roman" w:eastAsia="宋体" w:cs="Times New Roman"/>
                      <w:i w:val="0"/>
                      <w:iCs w:val="0"/>
                      <w:caps w:val="0"/>
                      <w:color w:val="auto"/>
                      <w:spacing w:val="0"/>
                      <w:sz w:val="21"/>
                      <w:szCs w:val="21"/>
                      <w:highlight w:val="none"/>
                    </w:rPr>
                    <w:t>对水生生物毒性极大并具有长期持续影响</w:t>
                  </w:r>
                  <w:r>
                    <w:rPr>
                      <w:rFonts w:hint="default" w:ascii="Times New Roman" w:hAnsi="Times New Roman" w:eastAsia="宋体" w:cs="Times New Roman"/>
                      <w:i w:val="0"/>
                      <w:iCs w:val="0"/>
                      <w:caps w:val="0"/>
                      <w:color w:val="auto"/>
                      <w:spacing w:val="0"/>
                      <w:sz w:val="21"/>
                      <w:szCs w:val="21"/>
                      <w:highlight w:val="none"/>
                      <w:lang w:eastAsia="zh-CN"/>
                    </w:rPr>
                    <w:t>，属于风险导则</w:t>
                  </w:r>
                  <w:r>
                    <w:rPr>
                      <w:rFonts w:hint="default" w:ascii="Times New Roman" w:hAnsi="Times New Roman" w:eastAsia="宋体" w:cs="Times New Roman"/>
                      <w:i w:val="0"/>
                      <w:iCs w:val="0"/>
                      <w:caps w:val="0"/>
                      <w:color w:val="auto"/>
                      <w:spacing w:val="0"/>
                      <w:sz w:val="21"/>
                      <w:szCs w:val="21"/>
                      <w:highlight w:val="none"/>
                      <w:lang w:eastAsia="zh-CN"/>
                    </w:rPr>
                    <w:t>附录B</w:t>
                  </w:r>
                  <w:r>
                    <w:rPr>
                      <w:rFonts w:hint="eastAsia" w:cs="Times New Roman"/>
                      <w:i w:val="0"/>
                      <w:iCs w:val="0"/>
                      <w:caps w:val="0"/>
                      <w:color w:val="auto"/>
                      <w:spacing w:val="0"/>
                      <w:sz w:val="21"/>
                      <w:szCs w:val="21"/>
                      <w:highlight w:val="none"/>
                      <w:lang w:val="en-US" w:eastAsia="zh-CN"/>
                    </w:rPr>
                    <w:t>.2</w:t>
                  </w:r>
                  <w:r>
                    <w:rPr>
                      <w:rFonts w:ascii="宋体" w:hAnsi="宋体" w:eastAsia="宋体" w:cs="宋体"/>
                      <w:color w:val="auto"/>
                      <w:sz w:val="21"/>
                      <w:szCs w:val="21"/>
                      <w:highlight w:val="none"/>
                    </w:rPr>
                    <w:t>危害水环境物质（急性毒性类别</w:t>
                  </w:r>
                  <w:r>
                    <w:rPr>
                      <w:rFonts w:ascii="宋体" w:hAnsi="宋体" w:eastAsia="宋体" w:cs="宋体"/>
                      <w:color w:val="auto"/>
                      <w:spacing w:val="-46"/>
                      <w:sz w:val="21"/>
                      <w:szCs w:val="21"/>
                      <w:highlight w:val="none"/>
                    </w:rPr>
                    <w:t xml:space="preserve"> </w:t>
                  </w:r>
                  <w:r>
                    <w:rPr>
                      <w:rFonts w:hint="eastAsia" w:ascii="宋体" w:hAnsi="宋体" w:eastAsia="宋体" w:cs="宋体"/>
                      <w:color w:val="auto"/>
                      <w:spacing w:val="-46"/>
                      <w:sz w:val="21"/>
                      <w:szCs w:val="21"/>
                      <w:highlight w:val="none"/>
                      <w:lang w:val="en-US" w:eastAsia="zh-CN"/>
                    </w:rPr>
                    <w:t>1）</w:t>
                  </w:r>
                  <w:r>
                    <w:rPr>
                      <w:rFonts w:hint="default" w:ascii="Times New Roman" w:hAnsi="Times New Roman" w:eastAsia="宋体" w:cs="Times New Roman"/>
                      <w:i w:val="0"/>
                      <w:iCs w:val="0"/>
                      <w:caps w:val="0"/>
                      <w:color w:val="auto"/>
                      <w:spacing w:val="0"/>
                      <w:sz w:val="21"/>
                      <w:szCs w:val="21"/>
                      <w:highlight w:val="none"/>
                      <w:lang w:eastAsia="zh-CN"/>
                    </w:rPr>
                    <w:t>的风险物质。</w:t>
                  </w:r>
                </w:p>
              </w:tc>
              <w:tc>
                <w:tcPr>
                  <w:tcW w:w="425" w:type="pct"/>
                  <w:noWrap w:val="0"/>
                  <w:vAlign w:val="center"/>
                </w:tcPr>
                <w:p w14:paraId="5F77ABC5">
                  <w:pPr>
                    <w:widowControl/>
                    <w:jc w:val="center"/>
                    <w:textAlignment w:val="center"/>
                    <w:rPr>
                      <w:rFonts w:hint="default"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是</w:t>
                  </w:r>
                </w:p>
              </w:tc>
              <w:tc>
                <w:tcPr>
                  <w:tcW w:w="378" w:type="pct"/>
                  <w:noWrap w:val="0"/>
                  <w:vAlign w:val="center"/>
                </w:tcPr>
                <w:p w14:paraId="29ACB0A4">
                  <w:pPr>
                    <w:jc w:val="center"/>
                    <w:rPr>
                      <w:rFonts w:hint="default" w:ascii="Times New Roman" w:hAnsi="Times New Roman" w:cs="Times New Roman"/>
                      <w:b w:val="0"/>
                      <w:bCs w:val="0"/>
                      <w:color w:val="auto"/>
                      <w:kern w:val="2"/>
                      <w:sz w:val="21"/>
                      <w:szCs w:val="21"/>
                      <w:highlight w:val="none"/>
                      <w:lang w:val="en-US" w:eastAsia="zh-CN" w:bidi="ar-SA"/>
                    </w:rPr>
                  </w:pPr>
                  <w:r>
                    <w:rPr>
                      <w:rFonts w:hint="eastAsia" w:cs="Times New Roman"/>
                      <w:b w:val="0"/>
                      <w:bCs w:val="0"/>
                      <w:color w:val="auto"/>
                      <w:sz w:val="21"/>
                      <w:szCs w:val="21"/>
                      <w:highlight w:val="none"/>
                      <w:lang w:val="en-US" w:eastAsia="zh-CN"/>
                    </w:rPr>
                    <w:t>100</w:t>
                  </w:r>
                </w:p>
              </w:tc>
            </w:tr>
            <w:tr w14:paraId="144797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723" w:hRule="atLeast"/>
                <w:jc w:val="center"/>
              </w:trPr>
              <w:tc>
                <w:tcPr>
                  <w:tcW w:w="253" w:type="pct"/>
                  <w:noWrap w:val="0"/>
                  <w:vAlign w:val="center"/>
                </w:tcPr>
                <w:p w14:paraId="3A5D3B51">
                  <w:pPr>
                    <w:widowControl/>
                    <w:jc w:val="center"/>
                    <w:textAlignment w:val="center"/>
                    <w:rPr>
                      <w:rFonts w:hint="default" w:ascii="Times New Roman" w:hAnsi="Times New Roman"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21</w:t>
                  </w:r>
                </w:p>
              </w:tc>
              <w:tc>
                <w:tcPr>
                  <w:tcW w:w="621" w:type="pct"/>
                  <w:noWrap w:val="0"/>
                  <w:vAlign w:val="center"/>
                </w:tcPr>
                <w:p w14:paraId="7F8F5B1C">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硫酸钾</w:t>
                  </w:r>
                </w:p>
              </w:tc>
              <w:tc>
                <w:tcPr>
                  <w:tcW w:w="576" w:type="pct"/>
                  <w:noWrap w:val="0"/>
                  <w:vAlign w:val="center"/>
                </w:tcPr>
                <w:p w14:paraId="4FF98658">
                  <w:pPr>
                    <w:jc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bCs/>
                      <w:color w:val="auto"/>
                      <w:sz w:val="21"/>
                      <w:szCs w:val="21"/>
                      <w:highlight w:val="none"/>
                    </w:rPr>
                    <w:t>500g</w:t>
                  </w:r>
                  <w:r>
                    <w:rPr>
                      <w:rFonts w:hint="eastAsia" w:cs="Times New Roman"/>
                      <w:bCs/>
                      <w:color w:val="auto"/>
                      <w:sz w:val="21"/>
                      <w:szCs w:val="21"/>
                      <w:highlight w:val="none"/>
                      <w:lang w:val="en-US" w:eastAsia="zh-CN"/>
                    </w:rPr>
                    <w:t>/瓶</w:t>
                  </w:r>
                </w:p>
              </w:tc>
              <w:tc>
                <w:tcPr>
                  <w:tcW w:w="534" w:type="pct"/>
                  <w:noWrap w:val="0"/>
                  <w:vAlign w:val="center"/>
                </w:tcPr>
                <w:p w14:paraId="4312B27C">
                  <w:pPr>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2.5kg</w:t>
                  </w:r>
                </w:p>
              </w:tc>
              <w:tc>
                <w:tcPr>
                  <w:tcW w:w="596" w:type="pct"/>
                  <w:noWrap w:val="0"/>
                  <w:vAlign w:val="center"/>
                </w:tcPr>
                <w:p w14:paraId="65D77974">
                  <w:pPr>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2.5kg</w:t>
                  </w:r>
                </w:p>
              </w:tc>
              <w:tc>
                <w:tcPr>
                  <w:tcW w:w="1614" w:type="pct"/>
                  <w:noWrap w:val="0"/>
                  <w:vAlign w:val="center"/>
                </w:tcPr>
                <w:p w14:paraId="52F08661">
                  <w:pPr>
                    <w:widowControl/>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无色或白色粉末。无气味，化学性质不活泼。在空气中稳定</w:t>
                  </w:r>
                  <w:r>
                    <w:rPr>
                      <w:rFonts w:hint="eastAsia" w:cs="Times New Roman"/>
                      <w:color w:val="auto"/>
                      <w:kern w:val="0"/>
                      <w:sz w:val="21"/>
                      <w:szCs w:val="21"/>
                      <w:highlight w:val="none"/>
                      <w:lang w:eastAsia="zh-CN" w:bidi="ar"/>
                    </w:rPr>
                    <w:t>，</w:t>
                  </w:r>
                  <w:r>
                    <w:rPr>
                      <w:rFonts w:hint="default" w:ascii="Times New Roman" w:hAnsi="Times New Roman" w:eastAsia="宋体" w:cs="Times New Roman"/>
                      <w:color w:val="auto"/>
                      <w:kern w:val="0"/>
                      <w:sz w:val="21"/>
                      <w:szCs w:val="21"/>
                      <w:highlight w:val="none"/>
                      <w:lang w:bidi="ar"/>
                    </w:rPr>
                    <w:t>密度2.66g/cm</w:t>
                  </w:r>
                  <w:r>
                    <w:rPr>
                      <w:rFonts w:hint="eastAsia" w:cs="Times New Roman"/>
                      <w:color w:val="auto"/>
                      <w:kern w:val="0"/>
                      <w:sz w:val="21"/>
                      <w:szCs w:val="21"/>
                      <w:highlight w:val="none"/>
                      <w:vertAlign w:val="superscript"/>
                      <w:lang w:val="en-US" w:eastAsia="zh-CN" w:bidi="ar"/>
                    </w:rPr>
                    <w:t>3</w:t>
                  </w:r>
                  <w:r>
                    <w:rPr>
                      <w:rFonts w:hint="eastAsia" w:cs="Times New Roman"/>
                      <w:color w:val="auto"/>
                      <w:kern w:val="0"/>
                      <w:sz w:val="21"/>
                      <w:szCs w:val="21"/>
                      <w:highlight w:val="none"/>
                      <w:lang w:eastAsia="zh-CN" w:bidi="ar"/>
                    </w:rPr>
                    <w:t>，</w:t>
                  </w:r>
                  <w:r>
                    <w:rPr>
                      <w:rFonts w:hint="default" w:ascii="Times New Roman" w:hAnsi="Times New Roman" w:eastAsia="宋体" w:cs="Times New Roman"/>
                      <w:color w:val="auto"/>
                      <w:kern w:val="0"/>
                      <w:sz w:val="21"/>
                      <w:szCs w:val="21"/>
                      <w:highlight w:val="none"/>
                      <w:lang w:bidi="ar"/>
                    </w:rPr>
                    <w:t>熔点1069℃</w:t>
                  </w:r>
                  <w:r>
                    <w:rPr>
                      <w:rFonts w:hint="eastAsia" w:cs="Times New Roman"/>
                      <w:color w:val="auto"/>
                      <w:kern w:val="0"/>
                      <w:sz w:val="21"/>
                      <w:szCs w:val="21"/>
                      <w:highlight w:val="none"/>
                      <w:lang w:eastAsia="zh-CN" w:bidi="ar"/>
                    </w:rPr>
                    <w:t>，</w:t>
                  </w:r>
                  <w:r>
                    <w:rPr>
                      <w:rFonts w:hint="eastAsia" w:cs="Times New Roman"/>
                      <w:color w:val="auto"/>
                      <w:kern w:val="0"/>
                      <w:sz w:val="21"/>
                      <w:szCs w:val="21"/>
                      <w:highlight w:val="none"/>
                      <w:lang w:val="en-US" w:eastAsia="zh-CN" w:bidi="ar"/>
                    </w:rPr>
                    <w:t>沸点为1689℃，</w:t>
                  </w:r>
                  <w:r>
                    <w:rPr>
                      <w:rFonts w:hint="default" w:ascii="Times New Roman" w:hAnsi="Times New Roman" w:eastAsia="宋体" w:cs="Times New Roman"/>
                      <w:color w:val="auto"/>
                      <w:kern w:val="0"/>
                      <w:sz w:val="21"/>
                      <w:szCs w:val="21"/>
                      <w:highlight w:val="none"/>
                      <w:lang w:bidi="ar"/>
                    </w:rPr>
                    <w:t>易溶于水，不溶于乙醇。</w:t>
                  </w:r>
                </w:p>
              </w:tc>
              <w:tc>
                <w:tcPr>
                  <w:tcW w:w="425" w:type="pct"/>
                  <w:noWrap w:val="0"/>
                  <w:vAlign w:val="center"/>
                </w:tcPr>
                <w:p w14:paraId="74687650">
                  <w:pPr>
                    <w:widowControl/>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否</w:t>
                  </w:r>
                </w:p>
              </w:tc>
              <w:tc>
                <w:tcPr>
                  <w:tcW w:w="378" w:type="pct"/>
                  <w:noWrap w:val="0"/>
                  <w:vAlign w:val="center"/>
                </w:tcPr>
                <w:p w14:paraId="7D67FF1E">
                  <w:pPr>
                    <w:jc w:val="center"/>
                    <w:rPr>
                      <w:rFonts w:hint="default" w:ascii="Times New Roman" w:hAnsi="Times New Roman"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sz w:val="21"/>
                      <w:szCs w:val="21"/>
                      <w:highlight w:val="none"/>
                      <w:lang w:val="en-US" w:eastAsia="zh-CN"/>
                    </w:rPr>
                    <w:t>/</w:t>
                  </w:r>
                </w:p>
              </w:tc>
            </w:tr>
            <w:tr w14:paraId="5B6523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53" w:type="pct"/>
                  <w:noWrap w:val="0"/>
                  <w:vAlign w:val="center"/>
                </w:tcPr>
                <w:p w14:paraId="58B3442F">
                  <w:pPr>
                    <w:widowControl/>
                    <w:jc w:val="center"/>
                    <w:textAlignment w:val="center"/>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22</w:t>
                  </w:r>
                </w:p>
              </w:tc>
              <w:tc>
                <w:tcPr>
                  <w:tcW w:w="621" w:type="pct"/>
                  <w:noWrap w:val="0"/>
                  <w:vAlign w:val="center"/>
                </w:tcPr>
                <w:p w14:paraId="53414C32">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重铬酸钾</w:t>
                  </w:r>
                </w:p>
              </w:tc>
              <w:tc>
                <w:tcPr>
                  <w:tcW w:w="576" w:type="pct"/>
                  <w:noWrap w:val="0"/>
                  <w:vAlign w:val="center"/>
                </w:tcPr>
                <w:p w14:paraId="31E42666">
                  <w:pPr>
                    <w:tabs>
                      <w:tab w:val="left" w:pos="1088"/>
                    </w:tabs>
                    <w:jc w:val="center"/>
                    <w:rPr>
                      <w:rFonts w:hint="default" w:ascii="Times New Roman" w:hAnsi="Times New Roman" w:cs="Times New Roman"/>
                      <w:color w:val="auto"/>
                      <w:sz w:val="21"/>
                      <w:szCs w:val="21"/>
                      <w:highlight w:val="none"/>
                    </w:rPr>
                  </w:pPr>
                  <w:r>
                    <w:rPr>
                      <w:rFonts w:hint="default" w:ascii="Times New Roman" w:hAnsi="Times New Roman" w:cs="Times New Roman"/>
                      <w:bCs/>
                      <w:color w:val="auto"/>
                      <w:sz w:val="21"/>
                      <w:szCs w:val="21"/>
                      <w:highlight w:val="none"/>
                    </w:rPr>
                    <w:t>500g</w:t>
                  </w:r>
                  <w:r>
                    <w:rPr>
                      <w:rFonts w:hint="eastAsia" w:cs="Times New Roman"/>
                      <w:bCs/>
                      <w:color w:val="auto"/>
                      <w:sz w:val="21"/>
                      <w:szCs w:val="21"/>
                      <w:highlight w:val="none"/>
                      <w:lang w:val="en-US" w:eastAsia="zh-CN"/>
                    </w:rPr>
                    <w:t>/瓶</w:t>
                  </w:r>
                </w:p>
              </w:tc>
              <w:tc>
                <w:tcPr>
                  <w:tcW w:w="534" w:type="pct"/>
                  <w:noWrap w:val="0"/>
                  <w:vAlign w:val="center"/>
                </w:tcPr>
                <w:p w14:paraId="3B30A771">
                  <w:pPr>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4kg</w:t>
                  </w:r>
                </w:p>
              </w:tc>
              <w:tc>
                <w:tcPr>
                  <w:tcW w:w="596" w:type="pct"/>
                  <w:noWrap w:val="0"/>
                  <w:vAlign w:val="center"/>
                </w:tcPr>
                <w:p w14:paraId="7CF07739">
                  <w:pPr>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4kg</w:t>
                  </w:r>
                </w:p>
              </w:tc>
              <w:tc>
                <w:tcPr>
                  <w:tcW w:w="1614" w:type="pct"/>
                  <w:noWrap w:val="0"/>
                  <w:vAlign w:val="center"/>
                </w:tcPr>
                <w:p w14:paraId="5320857C">
                  <w:pPr>
                    <w:widowControl/>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重铬酸钾为橙红色三斜晶</w:t>
                  </w:r>
                  <w:r>
                    <w:rPr>
                      <w:rFonts w:hint="eastAsia" w:cs="Times New Roman"/>
                      <w:color w:val="auto"/>
                      <w:kern w:val="0"/>
                      <w:sz w:val="21"/>
                      <w:szCs w:val="21"/>
                      <w:highlight w:val="none"/>
                      <w:lang w:val="en-US" w:eastAsia="zh-CN" w:bidi="ar"/>
                    </w:rPr>
                    <w:t>状粉末</w:t>
                  </w:r>
                  <w:r>
                    <w:rPr>
                      <w:rFonts w:hint="eastAsia" w:cs="Times New Roman"/>
                      <w:color w:val="auto"/>
                      <w:kern w:val="0"/>
                      <w:sz w:val="21"/>
                      <w:szCs w:val="21"/>
                      <w:highlight w:val="none"/>
                      <w:lang w:eastAsia="zh-CN" w:bidi="ar"/>
                    </w:rPr>
                    <w:t>，</w:t>
                  </w:r>
                  <w:r>
                    <w:rPr>
                      <w:rFonts w:hint="default" w:ascii="Times New Roman" w:hAnsi="Times New Roman" w:eastAsia="宋体" w:cs="Times New Roman"/>
                      <w:color w:val="auto"/>
                      <w:kern w:val="0"/>
                      <w:sz w:val="21"/>
                      <w:szCs w:val="21"/>
                      <w:highlight w:val="none"/>
                      <w:lang w:bidi="ar"/>
                    </w:rPr>
                    <w:t>沸点</w:t>
                  </w:r>
                  <w:r>
                    <w:rPr>
                      <w:rFonts w:hint="eastAsia" w:cs="Times New Roman"/>
                      <w:color w:val="auto"/>
                      <w:kern w:val="0"/>
                      <w:sz w:val="21"/>
                      <w:szCs w:val="21"/>
                      <w:highlight w:val="none"/>
                      <w:lang w:val="en-US" w:eastAsia="zh-CN" w:bidi="ar"/>
                    </w:rPr>
                    <w:t>为</w:t>
                  </w:r>
                  <w:r>
                    <w:rPr>
                      <w:rFonts w:hint="default" w:ascii="Times New Roman" w:hAnsi="Times New Roman" w:eastAsia="宋体" w:cs="Times New Roman"/>
                      <w:color w:val="auto"/>
                      <w:kern w:val="0"/>
                      <w:sz w:val="21"/>
                      <w:szCs w:val="21"/>
                      <w:highlight w:val="none"/>
                      <w:lang w:bidi="ar"/>
                    </w:rPr>
                    <w:t>500℃，熔点</w:t>
                  </w:r>
                  <w:r>
                    <w:rPr>
                      <w:rFonts w:hint="eastAsia" w:cs="Times New Roman"/>
                      <w:color w:val="auto"/>
                      <w:kern w:val="0"/>
                      <w:sz w:val="21"/>
                      <w:szCs w:val="21"/>
                      <w:highlight w:val="none"/>
                      <w:lang w:val="en-US" w:eastAsia="zh-CN" w:bidi="ar"/>
                    </w:rPr>
                    <w:t>为</w:t>
                  </w:r>
                  <w:r>
                    <w:rPr>
                      <w:rFonts w:hint="default" w:ascii="Times New Roman" w:hAnsi="Times New Roman" w:eastAsia="宋体" w:cs="Times New Roman"/>
                      <w:color w:val="auto"/>
                      <w:kern w:val="0"/>
                      <w:sz w:val="21"/>
                      <w:szCs w:val="21"/>
                      <w:highlight w:val="none"/>
                      <w:lang w:bidi="ar"/>
                    </w:rPr>
                    <w:t>398℃。有苦味及金属</w:t>
                  </w:r>
                  <w:r>
                    <w:rPr>
                      <w:rFonts w:hint="eastAsia" w:ascii="Times New Roman" w:hAnsi="Times New Roman" w:eastAsia="宋体" w:cs="Times New Roman"/>
                      <w:color w:val="auto"/>
                      <w:kern w:val="0"/>
                      <w:sz w:val="21"/>
                      <w:szCs w:val="21"/>
                      <w:highlight w:val="none"/>
                      <w:lang w:eastAsia="zh-CN" w:bidi="ar"/>
                    </w:rPr>
                    <w:t>香味</w:t>
                  </w:r>
                  <w:r>
                    <w:rPr>
                      <w:rFonts w:hint="default" w:ascii="Times New Roman" w:hAnsi="Times New Roman" w:eastAsia="宋体" w:cs="Times New Roman"/>
                      <w:color w:val="auto"/>
                      <w:kern w:val="0"/>
                      <w:sz w:val="21"/>
                      <w:szCs w:val="21"/>
                      <w:highlight w:val="none"/>
                      <w:lang w:bidi="ar"/>
                    </w:rPr>
                    <w:t>。密度2.676g/cm</w:t>
                  </w:r>
                  <w:r>
                    <w:rPr>
                      <w:rFonts w:hint="default" w:ascii="Times New Roman" w:hAnsi="Times New Roman" w:eastAsia="宋体" w:cs="Times New Roman"/>
                      <w:color w:val="auto"/>
                      <w:kern w:val="0"/>
                      <w:sz w:val="21"/>
                      <w:szCs w:val="21"/>
                      <w:highlight w:val="none"/>
                      <w:vertAlign w:val="superscript"/>
                      <w:lang w:bidi="ar"/>
                    </w:rPr>
                    <w:t>3</w:t>
                  </w:r>
                  <w:r>
                    <w:rPr>
                      <w:rFonts w:hint="eastAsia" w:cs="Times New Roman"/>
                      <w:color w:val="auto"/>
                      <w:kern w:val="0"/>
                      <w:sz w:val="21"/>
                      <w:szCs w:val="21"/>
                      <w:highlight w:val="none"/>
                      <w:vertAlign w:val="baseline"/>
                      <w:lang w:eastAsia="zh-CN" w:bidi="ar"/>
                    </w:rPr>
                    <w:t>，</w:t>
                  </w:r>
                  <w:r>
                    <w:rPr>
                      <w:rFonts w:hint="eastAsia" w:cs="Times New Roman"/>
                      <w:color w:val="auto"/>
                      <w:kern w:val="0"/>
                      <w:sz w:val="21"/>
                      <w:szCs w:val="21"/>
                      <w:highlight w:val="none"/>
                      <w:vertAlign w:val="baseline"/>
                      <w:lang w:val="en-US" w:eastAsia="zh-CN" w:bidi="ar"/>
                    </w:rPr>
                    <w:t>沸点为500℃，</w:t>
                  </w:r>
                  <w:r>
                    <w:rPr>
                      <w:rFonts w:hint="default" w:ascii="Times New Roman" w:hAnsi="Times New Roman" w:eastAsia="宋体" w:cs="Times New Roman"/>
                      <w:color w:val="auto"/>
                      <w:kern w:val="0"/>
                      <w:sz w:val="21"/>
                      <w:szCs w:val="21"/>
                      <w:highlight w:val="none"/>
                      <w:lang w:bidi="ar"/>
                    </w:rPr>
                    <w:t>熔点398℃。溶于水，不溶于乙醇</w:t>
                  </w:r>
                  <w:r>
                    <w:rPr>
                      <w:rFonts w:hint="eastAsia" w:cs="Times New Roman"/>
                      <w:color w:val="auto"/>
                      <w:kern w:val="0"/>
                      <w:sz w:val="21"/>
                      <w:szCs w:val="21"/>
                      <w:highlight w:val="none"/>
                      <w:lang w:eastAsia="zh-CN" w:bidi="ar"/>
                    </w:rPr>
                    <w:t>，</w:t>
                  </w:r>
                  <w:r>
                    <w:rPr>
                      <w:rFonts w:hint="default" w:ascii="Times New Roman" w:hAnsi="Times New Roman" w:eastAsia="宋体" w:cs="Times New Roman"/>
                      <w:color w:val="auto"/>
                      <w:kern w:val="0"/>
                      <w:sz w:val="21"/>
                      <w:szCs w:val="21"/>
                      <w:highlight w:val="none"/>
                      <w:lang w:bidi="ar"/>
                    </w:rPr>
                    <w:t>有剧毒。</w:t>
                  </w:r>
                  <w:r>
                    <w:rPr>
                      <w:rFonts w:hint="default" w:ascii="Times New Roman" w:hAnsi="Times New Roman" w:eastAsia="宋体" w:cs="Times New Roman"/>
                      <w:i w:val="0"/>
                      <w:iCs w:val="0"/>
                      <w:caps w:val="0"/>
                      <w:color w:val="auto"/>
                      <w:spacing w:val="0"/>
                      <w:sz w:val="21"/>
                      <w:szCs w:val="21"/>
                      <w:highlight w:val="none"/>
                      <w:lang w:eastAsia="zh-CN"/>
                    </w:rPr>
                    <w:t>属于风险导则附录</w:t>
                  </w:r>
                  <w:r>
                    <w:rPr>
                      <w:rFonts w:hint="default" w:ascii="Times New Roman" w:hAnsi="Times New Roman" w:eastAsia="宋体" w:cs="Times New Roman"/>
                      <w:i w:val="0"/>
                      <w:iCs w:val="0"/>
                      <w:caps w:val="0"/>
                      <w:color w:val="auto"/>
                      <w:spacing w:val="0"/>
                      <w:sz w:val="21"/>
                      <w:szCs w:val="21"/>
                      <w:highlight w:val="none"/>
                      <w:lang w:eastAsia="zh-CN"/>
                    </w:rPr>
                    <w:t>B</w:t>
                  </w:r>
                  <w:r>
                    <w:rPr>
                      <w:rFonts w:hint="eastAsia" w:cs="Times New Roman"/>
                      <w:i w:val="0"/>
                      <w:iCs w:val="0"/>
                      <w:caps w:val="0"/>
                      <w:color w:val="auto"/>
                      <w:spacing w:val="0"/>
                      <w:sz w:val="21"/>
                      <w:szCs w:val="21"/>
                      <w:highlight w:val="none"/>
                      <w:lang w:val="en-US" w:eastAsia="zh-CN"/>
                    </w:rPr>
                    <w:t>.2</w:t>
                  </w:r>
                  <w:r>
                    <w:rPr>
                      <w:rFonts w:ascii="宋体" w:hAnsi="宋体" w:eastAsia="宋体" w:cs="宋体"/>
                      <w:color w:val="auto"/>
                      <w:sz w:val="21"/>
                      <w:szCs w:val="21"/>
                      <w:highlight w:val="none"/>
                    </w:rPr>
                    <w:t>健康危险急性毒性物质（类别</w:t>
                  </w:r>
                  <w:r>
                    <w:rPr>
                      <w:rFonts w:ascii="Times New Roman" w:hAnsi="Times New Roman" w:eastAsia="Times New Roman" w:cs="Times New Roman"/>
                      <w:color w:val="auto"/>
                      <w:sz w:val="21"/>
                      <w:szCs w:val="21"/>
                      <w:highlight w:val="none"/>
                    </w:rPr>
                    <w:t>3</w:t>
                  </w:r>
                  <w:r>
                    <w:rPr>
                      <w:rFonts w:ascii="宋体" w:hAnsi="宋体" w:eastAsia="宋体" w:cs="宋体"/>
                      <w:color w:val="auto"/>
                      <w:sz w:val="21"/>
                      <w:szCs w:val="21"/>
                      <w:highlight w:val="none"/>
                    </w:rPr>
                    <w:t>）</w:t>
                  </w:r>
                  <w:r>
                    <w:rPr>
                      <w:rFonts w:hint="default" w:ascii="Times New Roman" w:hAnsi="Times New Roman" w:eastAsia="宋体" w:cs="Times New Roman"/>
                      <w:i w:val="0"/>
                      <w:iCs w:val="0"/>
                      <w:caps w:val="0"/>
                      <w:color w:val="auto"/>
                      <w:spacing w:val="0"/>
                      <w:sz w:val="21"/>
                      <w:szCs w:val="21"/>
                      <w:highlight w:val="none"/>
                      <w:lang w:eastAsia="zh-CN"/>
                    </w:rPr>
                    <w:t>的风险物质。</w:t>
                  </w:r>
                </w:p>
              </w:tc>
              <w:tc>
                <w:tcPr>
                  <w:tcW w:w="425" w:type="pct"/>
                  <w:noWrap w:val="0"/>
                  <w:vAlign w:val="center"/>
                </w:tcPr>
                <w:p w14:paraId="278AE340">
                  <w:pPr>
                    <w:widowControl/>
                    <w:jc w:val="center"/>
                    <w:textAlignment w:val="center"/>
                    <w:rPr>
                      <w:rFonts w:hint="default"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是</w:t>
                  </w:r>
                </w:p>
              </w:tc>
              <w:tc>
                <w:tcPr>
                  <w:tcW w:w="378" w:type="pct"/>
                  <w:noWrap w:val="0"/>
                  <w:vAlign w:val="center"/>
                </w:tcPr>
                <w:p w14:paraId="3700B7CB">
                  <w:pPr>
                    <w:jc w:val="center"/>
                    <w:rPr>
                      <w:rFonts w:hint="default" w:ascii="Times New Roman" w:hAnsi="Times New Roman" w:cs="Times New Roman"/>
                      <w:b w:val="0"/>
                      <w:bCs w:val="0"/>
                      <w:color w:val="auto"/>
                      <w:kern w:val="2"/>
                      <w:sz w:val="21"/>
                      <w:szCs w:val="21"/>
                      <w:highlight w:val="none"/>
                      <w:lang w:val="en-US" w:eastAsia="zh-CN" w:bidi="ar-SA"/>
                    </w:rPr>
                  </w:pPr>
                  <w:r>
                    <w:rPr>
                      <w:rFonts w:hint="eastAsia" w:cs="Times New Roman"/>
                      <w:b w:val="0"/>
                      <w:bCs w:val="0"/>
                      <w:color w:val="auto"/>
                      <w:sz w:val="21"/>
                      <w:szCs w:val="21"/>
                      <w:highlight w:val="none"/>
                      <w:lang w:val="en-US" w:eastAsia="zh-CN"/>
                    </w:rPr>
                    <w:t>50</w:t>
                  </w:r>
                </w:p>
              </w:tc>
            </w:tr>
            <w:tr w14:paraId="5D2875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53" w:type="pct"/>
                  <w:noWrap w:val="0"/>
                  <w:vAlign w:val="center"/>
                </w:tcPr>
                <w:p w14:paraId="1DAE5AF9">
                  <w:pPr>
                    <w:widowControl/>
                    <w:jc w:val="center"/>
                    <w:textAlignment w:val="center"/>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23</w:t>
                  </w:r>
                </w:p>
              </w:tc>
              <w:tc>
                <w:tcPr>
                  <w:tcW w:w="621" w:type="pct"/>
                  <w:noWrap w:val="0"/>
                  <w:vAlign w:val="center"/>
                </w:tcPr>
                <w:p w14:paraId="5ADDB273">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硼酸</w:t>
                  </w:r>
                </w:p>
              </w:tc>
              <w:tc>
                <w:tcPr>
                  <w:tcW w:w="576" w:type="pct"/>
                  <w:noWrap w:val="0"/>
                  <w:vAlign w:val="center"/>
                </w:tcPr>
                <w:p w14:paraId="2D533B8C">
                  <w:pPr>
                    <w:tabs>
                      <w:tab w:val="left" w:pos="1088"/>
                    </w:tabs>
                    <w:jc w:val="center"/>
                    <w:rPr>
                      <w:rFonts w:hint="default" w:ascii="Times New Roman" w:hAnsi="Times New Roman" w:cs="Times New Roman"/>
                      <w:color w:val="auto"/>
                      <w:sz w:val="21"/>
                      <w:szCs w:val="21"/>
                      <w:highlight w:val="none"/>
                    </w:rPr>
                  </w:pPr>
                  <w:r>
                    <w:rPr>
                      <w:rFonts w:hint="default" w:ascii="Times New Roman" w:hAnsi="Times New Roman" w:cs="Times New Roman"/>
                      <w:bCs/>
                      <w:color w:val="auto"/>
                      <w:sz w:val="21"/>
                      <w:szCs w:val="21"/>
                      <w:highlight w:val="none"/>
                    </w:rPr>
                    <w:t>500g</w:t>
                  </w:r>
                  <w:r>
                    <w:rPr>
                      <w:rFonts w:hint="eastAsia" w:cs="Times New Roman"/>
                      <w:bCs/>
                      <w:color w:val="auto"/>
                      <w:sz w:val="21"/>
                      <w:szCs w:val="21"/>
                      <w:highlight w:val="none"/>
                      <w:lang w:val="en-US" w:eastAsia="zh-CN"/>
                    </w:rPr>
                    <w:t>/瓶</w:t>
                  </w:r>
                </w:p>
              </w:tc>
              <w:tc>
                <w:tcPr>
                  <w:tcW w:w="534" w:type="pct"/>
                  <w:noWrap w:val="0"/>
                  <w:vAlign w:val="center"/>
                </w:tcPr>
                <w:p w14:paraId="290FCB5B">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9kg</w:t>
                  </w:r>
                </w:p>
              </w:tc>
              <w:tc>
                <w:tcPr>
                  <w:tcW w:w="596" w:type="pct"/>
                  <w:noWrap w:val="0"/>
                  <w:vAlign w:val="center"/>
                </w:tcPr>
                <w:p w14:paraId="620A85A3">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9kg</w:t>
                  </w:r>
                </w:p>
              </w:tc>
              <w:tc>
                <w:tcPr>
                  <w:tcW w:w="1614" w:type="pct"/>
                  <w:noWrap w:val="0"/>
                  <w:vAlign w:val="center"/>
                </w:tcPr>
                <w:p w14:paraId="05F27B39">
                  <w:pPr>
                    <w:widowControl/>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为白色粉末状结晶，有滑腻手感，无臭味。</w:t>
                  </w:r>
                  <w:r>
                    <w:rPr>
                      <w:rFonts w:hint="eastAsia" w:cs="Times New Roman"/>
                      <w:color w:val="auto"/>
                      <w:kern w:val="0"/>
                      <w:sz w:val="21"/>
                      <w:szCs w:val="21"/>
                      <w:highlight w:val="none"/>
                      <w:lang w:val="en-US" w:eastAsia="zh-CN" w:bidi="ar"/>
                    </w:rPr>
                    <w:t>沸点为220℃，熔点为＞1000℃，相对密度为1.489g/cm</w:t>
                  </w:r>
                  <w:r>
                    <w:rPr>
                      <w:rFonts w:hint="eastAsia" w:cs="Times New Roman"/>
                      <w:color w:val="auto"/>
                      <w:kern w:val="0"/>
                      <w:sz w:val="21"/>
                      <w:szCs w:val="21"/>
                      <w:highlight w:val="none"/>
                      <w:vertAlign w:val="superscript"/>
                      <w:lang w:val="en-US" w:eastAsia="zh-CN" w:bidi="ar"/>
                    </w:rPr>
                    <w:t>3</w:t>
                  </w:r>
                  <w:r>
                    <w:rPr>
                      <w:rFonts w:hint="eastAsia" w:cs="Times New Roman"/>
                      <w:color w:val="auto"/>
                      <w:kern w:val="0"/>
                      <w:sz w:val="21"/>
                      <w:szCs w:val="21"/>
                      <w:highlight w:val="none"/>
                      <w:vertAlign w:val="baseline"/>
                      <w:lang w:val="en-US" w:eastAsia="zh-CN" w:bidi="ar"/>
                    </w:rPr>
                    <w:t>。</w:t>
                  </w:r>
                  <w:r>
                    <w:rPr>
                      <w:rFonts w:hint="default" w:ascii="Times New Roman" w:hAnsi="Times New Roman" w:eastAsia="宋体" w:cs="Times New Roman"/>
                      <w:color w:val="auto"/>
                      <w:kern w:val="0"/>
                      <w:sz w:val="21"/>
                      <w:szCs w:val="21"/>
                      <w:highlight w:val="none"/>
                      <w:lang w:bidi="ar"/>
                    </w:rPr>
                    <w:t>溶于水、酒精、甘油、醚类及香精油中。</w:t>
                  </w:r>
                </w:p>
              </w:tc>
              <w:tc>
                <w:tcPr>
                  <w:tcW w:w="425" w:type="pct"/>
                  <w:noWrap w:val="0"/>
                  <w:vAlign w:val="center"/>
                </w:tcPr>
                <w:p w14:paraId="2D6A718E">
                  <w:pPr>
                    <w:widowControl/>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否</w:t>
                  </w:r>
                </w:p>
              </w:tc>
              <w:tc>
                <w:tcPr>
                  <w:tcW w:w="378" w:type="pct"/>
                  <w:noWrap w:val="0"/>
                  <w:vAlign w:val="center"/>
                </w:tcPr>
                <w:p w14:paraId="33E13E24">
                  <w:pPr>
                    <w:jc w:val="center"/>
                    <w:rPr>
                      <w:rFonts w:hint="default" w:ascii="Times New Roman" w:hAnsi="Times New Roman"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sz w:val="21"/>
                      <w:szCs w:val="21"/>
                      <w:highlight w:val="none"/>
                      <w:lang w:val="en-US" w:eastAsia="zh-CN"/>
                    </w:rPr>
                    <w:t>/</w:t>
                  </w:r>
                </w:p>
              </w:tc>
            </w:tr>
            <w:tr w14:paraId="5FB087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53" w:type="pct"/>
                  <w:noWrap w:val="0"/>
                  <w:vAlign w:val="center"/>
                </w:tcPr>
                <w:p w14:paraId="37460CC1">
                  <w:pPr>
                    <w:widowControl/>
                    <w:jc w:val="center"/>
                    <w:textAlignment w:val="center"/>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24</w:t>
                  </w:r>
                </w:p>
              </w:tc>
              <w:tc>
                <w:tcPr>
                  <w:tcW w:w="621" w:type="pct"/>
                  <w:noWrap w:val="0"/>
                  <w:vAlign w:val="center"/>
                </w:tcPr>
                <w:p w14:paraId="2D0035C3">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无水硫酸钠</w:t>
                  </w:r>
                </w:p>
              </w:tc>
              <w:tc>
                <w:tcPr>
                  <w:tcW w:w="576" w:type="pct"/>
                  <w:noWrap w:val="0"/>
                  <w:vAlign w:val="center"/>
                </w:tcPr>
                <w:p w14:paraId="361C4282">
                  <w:pPr>
                    <w:tabs>
                      <w:tab w:val="left" w:pos="1088"/>
                    </w:tabs>
                    <w:jc w:val="center"/>
                    <w:rPr>
                      <w:rFonts w:hint="default" w:ascii="Times New Roman" w:hAnsi="Times New Roman" w:cs="Times New Roman"/>
                      <w:color w:val="auto"/>
                      <w:sz w:val="21"/>
                      <w:szCs w:val="21"/>
                      <w:highlight w:val="none"/>
                    </w:rPr>
                  </w:pPr>
                  <w:r>
                    <w:rPr>
                      <w:rFonts w:hint="default" w:ascii="Times New Roman" w:hAnsi="Times New Roman" w:cs="Times New Roman"/>
                      <w:bCs/>
                      <w:color w:val="auto"/>
                      <w:sz w:val="21"/>
                      <w:szCs w:val="21"/>
                      <w:highlight w:val="none"/>
                    </w:rPr>
                    <w:t>500g</w:t>
                  </w:r>
                  <w:r>
                    <w:rPr>
                      <w:rFonts w:hint="eastAsia" w:cs="Times New Roman"/>
                      <w:bCs/>
                      <w:color w:val="auto"/>
                      <w:sz w:val="21"/>
                      <w:szCs w:val="21"/>
                      <w:highlight w:val="none"/>
                      <w:lang w:val="en-US" w:eastAsia="zh-CN"/>
                    </w:rPr>
                    <w:t>/瓶</w:t>
                  </w:r>
                </w:p>
              </w:tc>
              <w:tc>
                <w:tcPr>
                  <w:tcW w:w="534" w:type="pct"/>
                  <w:noWrap w:val="0"/>
                  <w:vAlign w:val="center"/>
                </w:tcPr>
                <w:p w14:paraId="7E74BBDF">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1.5kg</w:t>
                  </w:r>
                </w:p>
              </w:tc>
              <w:tc>
                <w:tcPr>
                  <w:tcW w:w="596" w:type="pct"/>
                  <w:noWrap w:val="0"/>
                  <w:vAlign w:val="center"/>
                </w:tcPr>
                <w:p w14:paraId="7C799AE3">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1.5kg</w:t>
                  </w:r>
                </w:p>
              </w:tc>
              <w:tc>
                <w:tcPr>
                  <w:tcW w:w="1614" w:type="pct"/>
                  <w:noWrap w:val="0"/>
                  <w:vAlign w:val="center"/>
                </w:tcPr>
                <w:p w14:paraId="7AD303C7">
                  <w:pPr>
                    <w:widowControl/>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为白色粉末</w:t>
                  </w:r>
                  <w:r>
                    <w:rPr>
                      <w:rFonts w:hint="eastAsia" w:cs="Times New Roman"/>
                      <w:color w:val="auto"/>
                      <w:kern w:val="0"/>
                      <w:sz w:val="21"/>
                      <w:szCs w:val="21"/>
                      <w:highlight w:val="none"/>
                      <w:lang w:eastAsia="zh-CN" w:bidi="ar"/>
                    </w:rPr>
                    <w:t>，</w:t>
                  </w:r>
                  <w:r>
                    <w:rPr>
                      <w:rFonts w:hint="eastAsia" w:cs="Times New Roman"/>
                      <w:color w:val="auto"/>
                      <w:kern w:val="0"/>
                      <w:sz w:val="21"/>
                      <w:szCs w:val="21"/>
                      <w:highlight w:val="none"/>
                      <w:lang w:val="en-US" w:eastAsia="zh-CN" w:bidi="ar"/>
                    </w:rPr>
                    <w:t>无臭无毒</w:t>
                  </w:r>
                  <w:r>
                    <w:rPr>
                      <w:rFonts w:hint="eastAsia" w:cs="Times New Roman"/>
                      <w:color w:val="auto"/>
                      <w:kern w:val="0"/>
                      <w:sz w:val="21"/>
                      <w:szCs w:val="21"/>
                      <w:highlight w:val="none"/>
                      <w:lang w:eastAsia="zh-CN" w:bidi="ar"/>
                    </w:rPr>
                    <w:t>，</w:t>
                  </w:r>
                  <w:r>
                    <w:rPr>
                      <w:rFonts w:hint="default" w:ascii="Times New Roman" w:hAnsi="Times New Roman" w:eastAsia="宋体" w:cs="Times New Roman"/>
                      <w:color w:val="auto"/>
                      <w:kern w:val="0"/>
                      <w:sz w:val="21"/>
                      <w:szCs w:val="21"/>
                      <w:highlight w:val="none"/>
                      <w:lang w:bidi="ar"/>
                    </w:rPr>
                    <w:t>贮存日久色渐变黄</w:t>
                  </w:r>
                  <w:r>
                    <w:rPr>
                      <w:rFonts w:hint="eastAsia" w:cs="Times New Roman"/>
                      <w:color w:val="auto"/>
                      <w:kern w:val="0"/>
                      <w:sz w:val="21"/>
                      <w:szCs w:val="21"/>
                      <w:highlight w:val="none"/>
                      <w:lang w:eastAsia="zh-CN" w:bidi="ar"/>
                    </w:rPr>
                    <w:t>。</w:t>
                  </w:r>
                  <w:r>
                    <w:rPr>
                      <w:rFonts w:hint="default" w:ascii="Times New Roman" w:hAnsi="Times New Roman" w:eastAsia="宋体" w:cs="Times New Roman"/>
                      <w:color w:val="auto"/>
                      <w:kern w:val="0"/>
                      <w:sz w:val="21"/>
                      <w:szCs w:val="21"/>
                      <w:highlight w:val="none"/>
                      <w:lang w:bidi="ar"/>
                    </w:rPr>
                    <w:t>相对密度</w:t>
                  </w:r>
                  <w:r>
                    <w:rPr>
                      <w:rFonts w:hint="eastAsia" w:cs="Times New Roman"/>
                      <w:color w:val="auto"/>
                      <w:kern w:val="0"/>
                      <w:sz w:val="21"/>
                      <w:szCs w:val="21"/>
                      <w:highlight w:val="none"/>
                      <w:lang w:val="en-US" w:eastAsia="zh-CN" w:bidi="ar"/>
                    </w:rPr>
                    <w:t>为2.68g/cm</w:t>
                  </w:r>
                  <w:r>
                    <w:rPr>
                      <w:rFonts w:hint="eastAsia" w:cs="Times New Roman"/>
                      <w:color w:val="auto"/>
                      <w:kern w:val="0"/>
                      <w:sz w:val="21"/>
                      <w:szCs w:val="21"/>
                      <w:highlight w:val="none"/>
                      <w:vertAlign w:val="superscript"/>
                      <w:lang w:val="en-US" w:eastAsia="zh-CN" w:bidi="ar"/>
                    </w:rPr>
                    <w:t>3</w:t>
                  </w:r>
                  <w:r>
                    <w:rPr>
                      <w:rFonts w:hint="eastAsia" w:cs="Times New Roman"/>
                      <w:color w:val="auto"/>
                      <w:kern w:val="0"/>
                      <w:sz w:val="21"/>
                      <w:szCs w:val="21"/>
                      <w:highlight w:val="none"/>
                      <w:vertAlign w:val="baseline"/>
                      <w:lang w:val="en-US" w:eastAsia="zh-CN" w:bidi="ar"/>
                    </w:rPr>
                    <w:t>，熔点为884℃，沸点为1700℃</w:t>
                  </w:r>
                  <w:r>
                    <w:rPr>
                      <w:rFonts w:hint="default" w:ascii="Times New Roman" w:hAnsi="Times New Roman" w:eastAsia="宋体" w:cs="Times New Roman"/>
                      <w:color w:val="auto"/>
                      <w:kern w:val="0"/>
                      <w:sz w:val="21"/>
                      <w:szCs w:val="21"/>
                      <w:highlight w:val="none"/>
                      <w:lang w:bidi="ar"/>
                    </w:rPr>
                    <w:t>。溶于水溶于甘油，微溶于乙醇。</w:t>
                  </w:r>
                </w:p>
              </w:tc>
              <w:tc>
                <w:tcPr>
                  <w:tcW w:w="425" w:type="pct"/>
                  <w:noWrap w:val="0"/>
                  <w:vAlign w:val="center"/>
                </w:tcPr>
                <w:p w14:paraId="33A9542F">
                  <w:pPr>
                    <w:widowControl/>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bidi="ar"/>
                    </w:rPr>
                    <w:t>否</w:t>
                  </w:r>
                </w:p>
              </w:tc>
              <w:tc>
                <w:tcPr>
                  <w:tcW w:w="378" w:type="pct"/>
                  <w:noWrap w:val="0"/>
                  <w:vAlign w:val="center"/>
                </w:tcPr>
                <w:p w14:paraId="77991F0B">
                  <w:pPr>
                    <w:jc w:val="center"/>
                    <w:rPr>
                      <w:rFonts w:hint="default" w:ascii="Times New Roman" w:hAnsi="Times New Roman"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sz w:val="21"/>
                      <w:szCs w:val="21"/>
                      <w:highlight w:val="none"/>
                      <w:lang w:val="en-US" w:eastAsia="zh-CN"/>
                    </w:rPr>
                    <w:t>/</w:t>
                  </w:r>
                </w:p>
              </w:tc>
            </w:tr>
            <w:tr w14:paraId="7D3A91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53" w:type="pct"/>
                  <w:noWrap w:val="0"/>
                  <w:vAlign w:val="center"/>
                </w:tcPr>
                <w:p w14:paraId="433EE8EA">
                  <w:pPr>
                    <w:widowControl/>
                    <w:jc w:val="center"/>
                    <w:textAlignment w:val="center"/>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25</w:t>
                  </w:r>
                </w:p>
              </w:tc>
              <w:tc>
                <w:tcPr>
                  <w:tcW w:w="621" w:type="pct"/>
                  <w:noWrap w:val="0"/>
                  <w:vAlign w:val="center"/>
                </w:tcPr>
                <w:p w14:paraId="7C5854D3">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亚硝酸钠</w:t>
                  </w:r>
                </w:p>
              </w:tc>
              <w:tc>
                <w:tcPr>
                  <w:tcW w:w="576" w:type="pct"/>
                  <w:noWrap w:val="0"/>
                  <w:vAlign w:val="center"/>
                </w:tcPr>
                <w:p w14:paraId="19B64EAA">
                  <w:pPr>
                    <w:tabs>
                      <w:tab w:val="left" w:pos="1088"/>
                    </w:tabs>
                    <w:jc w:val="center"/>
                    <w:rPr>
                      <w:rFonts w:hint="default" w:ascii="Times New Roman" w:hAnsi="Times New Roman" w:cs="Times New Roman"/>
                      <w:color w:val="auto"/>
                      <w:sz w:val="21"/>
                      <w:szCs w:val="21"/>
                      <w:highlight w:val="none"/>
                    </w:rPr>
                  </w:pPr>
                  <w:r>
                    <w:rPr>
                      <w:rFonts w:hint="default" w:ascii="Times New Roman" w:hAnsi="Times New Roman" w:cs="Times New Roman"/>
                      <w:bCs/>
                      <w:color w:val="auto"/>
                      <w:sz w:val="21"/>
                      <w:szCs w:val="21"/>
                      <w:highlight w:val="none"/>
                    </w:rPr>
                    <w:t>500g</w:t>
                  </w:r>
                  <w:r>
                    <w:rPr>
                      <w:rFonts w:hint="eastAsia" w:cs="Times New Roman"/>
                      <w:bCs/>
                      <w:color w:val="auto"/>
                      <w:sz w:val="21"/>
                      <w:szCs w:val="21"/>
                      <w:highlight w:val="none"/>
                      <w:lang w:val="en-US" w:eastAsia="zh-CN"/>
                    </w:rPr>
                    <w:t>/瓶</w:t>
                  </w:r>
                </w:p>
              </w:tc>
              <w:tc>
                <w:tcPr>
                  <w:tcW w:w="534" w:type="pct"/>
                  <w:noWrap w:val="0"/>
                  <w:vAlign w:val="center"/>
                </w:tcPr>
                <w:p w14:paraId="7B4183E9">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1kg</w:t>
                  </w:r>
                </w:p>
              </w:tc>
              <w:tc>
                <w:tcPr>
                  <w:tcW w:w="596" w:type="pct"/>
                  <w:noWrap w:val="0"/>
                  <w:vAlign w:val="center"/>
                </w:tcPr>
                <w:p w14:paraId="340FF5BC">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1kg</w:t>
                  </w:r>
                </w:p>
              </w:tc>
              <w:tc>
                <w:tcPr>
                  <w:tcW w:w="1614" w:type="pct"/>
                  <w:noWrap w:val="0"/>
                  <w:vAlign w:val="center"/>
                </w:tcPr>
                <w:p w14:paraId="7CF354C5">
                  <w:pPr>
                    <w:widowControl/>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白色或淡黄色细结晶</w:t>
                  </w:r>
                  <w:r>
                    <w:rPr>
                      <w:rFonts w:hint="eastAsia" w:cs="Times New Roman"/>
                      <w:color w:val="auto"/>
                      <w:kern w:val="0"/>
                      <w:sz w:val="21"/>
                      <w:szCs w:val="21"/>
                      <w:highlight w:val="none"/>
                      <w:lang w:val="en-US" w:eastAsia="zh-CN" w:bidi="ar"/>
                    </w:rPr>
                    <w:t>粉末</w:t>
                  </w:r>
                  <w:r>
                    <w:rPr>
                      <w:rFonts w:hint="default" w:ascii="Times New Roman" w:hAnsi="Times New Roman" w:eastAsia="宋体" w:cs="Times New Roman"/>
                      <w:color w:val="auto"/>
                      <w:kern w:val="0"/>
                      <w:sz w:val="21"/>
                      <w:szCs w:val="21"/>
                      <w:highlight w:val="none"/>
                      <w:lang w:bidi="ar"/>
                    </w:rPr>
                    <w:t>，无臭，略有咸味，易潮解，熔点271</w:t>
                  </w:r>
                  <w:r>
                    <w:rPr>
                      <w:rFonts w:hint="eastAsia" w:cs="Times New Roman"/>
                      <w:color w:val="auto"/>
                      <w:kern w:val="0"/>
                      <w:sz w:val="21"/>
                      <w:szCs w:val="21"/>
                      <w:highlight w:val="none"/>
                      <w:lang w:val="en-US" w:eastAsia="zh-CN" w:bidi="ar"/>
                    </w:rPr>
                    <w:t>℃</w:t>
                  </w:r>
                  <w:r>
                    <w:rPr>
                      <w:rFonts w:hint="default" w:ascii="Times New Roman" w:hAnsi="Times New Roman" w:eastAsia="宋体" w:cs="Times New Roman"/>
                      <w:color w:val="auto"/>
                      <w:kern w:val="0"/>
                      <w:sz w:val="21"/>
                      <w:szCs w:val="21"/>
                      <w:highlight w:val="none"/>
                      <w:lang w:bidi="ar"/>
                    </w:rPr>
                    <w:t>，沸点320</w:t>
                  </w:r>
                  <w:r>
                    <w:rPr>
                      <w:rFonts w:hint="eastAsia" w:cs="Times New Roman"/>
                      <w:color w:val="auto"/>
                      <w:kern w:val="0"/>
                      <w:sz w:val="21"/>
                      <w:szCs w:val="21"/>
                      <w:highlight w:val="none"/>
                      <w:lang w:val="en-US" w:eastAsia="zh-CN" w:bidi="ar"/>
                    </w:rPr>
                    <w:t>℃</w:t>
                  </w:r>
                  <w:r>
                    <w:rPr>
                      <w:rFonts w:hint="default" w:ascii="Times New Roman" w:hAnsi="Times New Roman" w:eastAsia="宋体" w:cs="Times New Roman"/>
                      <w:color w:val="auto"/>
                      <w:kern w:val="0"/>
                      <w:sz w:val="21"/>
                      <w:szCs w:val="21"/>
                      <w:highlight w:val="none"/>
                      <w:lang w:bidi="ar"/>
                    </w:rPr>
                    <w:t>，相对密度（水=1）2.17</w:t>
                  </w:r>
                  <w:r>
                    <w:rPr>
                      <w:rFonts w:hint="eastAsia" w:cs="Times New Roman"/>
                      <w:color w:val="auto"/>
                      <w:kern w:val="0"/>
                      <w:sz w:val="21"/>
                      <w:szCs w:val="21"/>
                      <w:highlight w:val="none"/>
                      <w:lang w:val="en-US" w:eastAsia="zh-CN" w:bidi="ar"/>
                    </w:rPr>
                    <w:t>g/cm</w:t>
                  </w:r>
                  <w:r>
                    <w:rPr>
                      <w:rFonts w:hint="eastAsia" w:cs="Times New Roman"/>
                      <w:color w:val="auto"/>
                      <w:kern w:val="0"/>
                      <w:sz w:val="21"/>
                      <w:szCs w:val="21"/>
                      <w:highlight w:val="none"/>
                      <w:vertAlign w:val="superscript"/>
                      <w:lang w:val="en-US" w:eastAsia="zh-CN" w:bidi="ar"/>
                    </w:rPr>
                    <w:t>3</w:t>
                  </w:r>
                  <w:r>
                    <w:rPr>
                      <w:rFonts w:hint="default" w:ascii="Times New Roman" w:hAnsi="Times New Roman" w:eastAsia="宋体" w:cs="Times New Roman"/>
                      <w:color w:val="auto"/>
                      <w:kern w:val="0"/>
                      <w:sz w:val="21"/>
                      <w:szCs w:val="21"/>
                      <w:highlight w:val="none"/>
                      <w:lang w:bidi="ar"/>
                    </w:rPr>
                    <w:t>，易溶于水</w:t>
                  </w:r>
                  <w:r>
                    <w:rPr>
                      <w:rFonts w:hint="eastAsia" w:cs="Times New Roman"/>
                      <w:color w:val="auto"/>
                      <w:kern w:val="0"/>
                      <w:sz w:val="21"/>
                      <w:szCs w:val="21"/>
                      <w:highlight w:val="none"/>
                      <w:lang w:eastAsia="zh-CN" w:bidi="ar"/>
                    </w:rPr>
                    <w:t>，</w:t>
                  </w:r>
                  <w:r>
                    <w:rPr>
                      <w:rFonts w:hint="default" w:ascii="Times New Roman" w:hAnsi="Times New Roman" w:eastAsia="宋体" w:cs="Times New Roman"/>
                      <w:color w:val="auto"/>
                      <w:kern w:val="0"/>
                      <w:sz w:val="21"/>
                      <w:szCs w:val="21"/>
                      <w:highlight w:val="none"/>
                      <w:lang w:bidi="ar"/>
                    </w:rPr>
                    <w:t>微溶于乙醇、甲醇、乙醚等有机溶剂。</w:t>
                  </w:r>
                  <w:r>
                    <w:rPr>
                      <w:rFonts w:hint="default" w:ascii="Times New Roman" w:hAnsi="Times New Roman" w:eastAsia="宋体" w:cs="Times New Roman"/>
                      <w:i w:val="0"/>
                      <w:iCs w:val="0"/>
                      <w:caps w:val="0"/>
                      <w:color w:val="auto"/>
                      <w:spacing w:val="0"/>
                      <w:sz w:val="21"/>
                      <w:szCs w:val="21"/>
                      <w:highlight w:val="none"/>
                      <w:lang w:eastAsia="zh-CN"/>
                    </w:rPr>
                    <w:t>属于风险导则</w:t>
                  </w:r>
                  <w:r>
                    <w:rPr>
                      <w:rFonts w:hint="default" w:ascii="Times New Roman" w:hAnsi="Times New Roman" w:eastAsia="宋体" w:cs="Times New Roman"/>
                      <w:i w:val="0"/>
                      <w:iCs w:val="0"/>
                      <w:caps w:val="0"/>
                      <w:color w:val="auto"/>
                      <w:spacing w:val="0"/>
                      <w:sz w:val="21"/>
                      <w:szCs w:val="21"/>
                      <w:highlight w:val="none"/>
                      <w:lang w:eastAsia="zh-CN"/>
                    </w:rPr>
                    <w:t>附录B</w:t>
                  </w:r>
                  <w:r>
                    <w:rPr>
                      <w:rFonts w:hint="eastAsia" w:cs="Times New Roman"/>
                      <w:i w:val="0"/>
                      <w:iCs w:val="0"/>
                      <w:caps w:val="0"/>
                      <w:color w:val="auto"/>
                      <w:spacing w:val="0"/>
                      <w:sz w:val="21"/>
                      <w:szCs w:val="21"/>
                      <w:highlight w:val="none"/>
                      <w:lang w:val="en-US" w:eastAsia="zh-CN"/>
                    </w:rPr>
                    <w:t>.2</w:t>
                  </w:r>
                  <w:r>
                    <w:rPr>
                      <w:rFonts w:ascii="宋体" w:hAnsi="宋体" w:eastAsia="宋体" w:cs="宋体"/>
                      <w:color w:val="auto"/>
                      <w:sz w:val="21"/>
                      <w:szCs w:val="21"/>
                      <w:highlight w:val="none"/>
                    </w:rPr>
                    <w:t>健康危险急性毒性物质（类别</w:t>
                  </w:r>
                  <w:r>
                    <w:rPr>
                      <w:rFonts w:ascii="Times New Roman" w:hAnsi="Times New Roman" w:eastAsia="Times New Roman" w:cs="Times New Roman"/>
                      <w:color w:val="auto"/>
                      <w:sz w:val="21"/>
                      <w:szCs w:val="21"/>
                      <w:highlight w:val="none"/>
                    </w:rPr>
                    <w:t>3</w:t>
                  </w:r>
                  <w:r>
                    <w:rPr>
                      <w:rFonts w:ascii="宋体" w:hAnsi="宋体" w:eastAsia="宋体" w:cs="宋体"/>
                      <w:color w:val="auto"/>
                      <w:sz w:val="21"/>
                      <w:szCs w:val="21"/>
                      <w:highlight w:val="none"/>
                    </w:rPr>
                    <w:t>）</w:t>
                  </w:r>
                  <w:r>
                    <w:rPr>
                      <w:rFonts w:hint="default" w:ascii="Times New Roman" w:hAnsi="Times New Roman" w:eastAsia="宋体" w:cs="Times New Roman"/>
                      <w:i w:val="0"/>
                      <w:iCs w:val="0"/>
                      <w:caps w:val="0"/>
                      <w:color w:val="auto"/>
                      <w:spacing w:val="0"/>
                      <w:sz w:val="21"/>
                      <w:szCs w:val="21"/>
                      <w:highlight w:val="none"/>
                      <w:lang w:eastAsia="zh-CN"/>
                    </w:rPr>
                    <w:t>的风险物质。</w:t>
                  </w:r>
                </w:p>
              </w:tc>
              <w:tc>
                <w:tcPr>
                  <w:tcW w:w="425" w:type="pct"/>
                  <w:noWrap w:val="0"/>
                  <w:vAlign w:val="center"/>
                </w:tcPr>
                <w:p w14:paraId="750A4AF0">
                  <w:pPr>
                    <w:widowControl/>
                    <w:jc w:val="center"/>
                    <w:textAlignment w:val="center"/>
                    <w:rPr>
                      <w:rFonts w:hint="eastAsia" w:ascii="Times New Roman" w:hAnsi="Times New Roman" w:eastAsia="宋体" w:cs="Times New Roman"/>
                      <w:color w:val="auto"/>
                      <w:sz w:val="21"/>
                      <w:szCs w:val="21"/>
                      <w:highlight w:val="none"/>
                      <w:lang w:eastAsia="zh-CN"/>
                    </w:rPr>
                  </w:pPr>
                  <w:r>
                    <w:rPr>
                      <w:rFonts w:hint="eastAsia" w:cs="Times New Roman"/>
                      <w:color w:val="auto"/>
                      <w:kern w:val="0"/>
                      <w:sz w:val="21"/>
                      <w:szCs w:val="21"/>
                      <w:highlight w:val="none"/>
                      <w:lang w:eastAsia="zh-CN" w:bidi="ar"/>
                    </w:rPr>
                    <w:t>是</w:t>
                  </w:r>
                </w:p>
              </w:tc>
              <w:tc>
                <w:tcPr>
                  <w:tcW w:w="378" w:type="pct"/>
                  <w:noWrap w:val="0"/>
                  <w:vAlign w:val="center"/>
                </w:tcPr>
                <w:p w14:paraId="17E153AF">
                  <w:pPr>
                    <w:jc w:val="center"/>
                    <w:rPr>
                      <w:rFonts w:hint="default" w:ascii="Times New Roman" w:hAnsi="Times New Roman" w:cs="Times New Roman"/>
                      <w:b w:val="0"/>
                      <w:bCs w:val="0"/>
                      <w:color w:val="auto"/>
                      <w:sz w:val="21"/>
                      <w:szCs w:val="21"/>
                      <w:highlight w:val="none"/>
                      <w:lang w:val="en-US"/>
                    </w:rPr>
                  </w:pPr>
                  <w:r>
                    <w:rPr>
                      <w:rFonts w:hint="eastAsia" w:cs="Times New Roman"/>
                      <w:b w:val="0"/>
                      <w:bCs w:val="0"/>
                      <w:color w:val="auto"/>
                      <w:sz w:val="21"/>
                      <w:szCs w:val="21"/>
                      <w:highlight w:val="none"/>
                      <w:lang w:val="en-US" w:eastAsia="zh-CN"/>
                    </w:rPr>
                    <w:t>50</w:t>
                  </w:r>
                </w:p>
              </w:tc>
            </w:tr>
            <w:tr w14:paraId="5A7319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53" w:type="pct"/>
                  <w:noWrap w:val="0"/>
                  <w:vAlign w:val="center"/>
                </w:tcPr>
                <w:p w14:paraId="4EDBC22B">
                  <w:pPr>
                    <w:widowControl/>
                    <w:jc w:val="center"/>
                    <w:textAlignment w:val="center"/>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26</w:t>
                  </w:r>
                </w:p>
              </w:tc>
              <w:tc>
                <w:tcPr>
                  <w:tcW w:w="621" w:type="pct"/>
                  <w:noWrap w:val="0"/>
                  <w:vAlign w:val="center"/>
                </w:tcPr>
                <w:p w14:paraId="513CF8D5">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亚硫酸氢钠</w:t>
                  </w:r>
                </w:p>
              </w:tc>
              <w:tc>
                <w:tcPr>
                  <w:tcW w:w="576" w:type="pct"/>
                  <w:noWrap w:val="0"/>
                  <w:vAlign w:val="center"/>
                </w:tcPr>
                <w:p w14:paraId="54F1DC0E">
                  <w:pPr>
                    <w:tabs>
                      <w:tab w:val="left" w:pos="1088"/>
                    </w:tabs>
                    <w:jc w:val="center"/>
                    <w:rPr>
                      <w:rFonts w:hint="default" w:ascii="Times New Roman" w:hAnsi="Times New Roman" w:cs="Times New Roman"/>
                      <w:color w:val="auto"/>
                      <w:sz w:val="21"/>
                      <w:szCs w:val="21"/>
                      <w:highlight w:val="none"/>
                    </w:rPr>
                  </w:pPr>
                  <w:r>
                    <w:rPr>
                      <w:rFonts w:hint="default" w:ascii="Times New Roman" w:hAnsi="Times New Roman" w:cs="Times New Roman"/>
                      <w:bCs/>
                      <w:color w:val="auto"/>
                      <w:sz w:val="21"/>
                      <w:szCs w:val="21"/>
                      <w:highlight w:val="none"/>
                    </w:rPr>
                    <w:t>500g</w:t>
                  </w:r>
                  <w:r>
                    <w:rPr>
                      <w:rFonts w:hint="eastAsia" w:cs="Times New Roman"/>
                      <w:bCs/>
                      <w:color w:val="auto"/>
                      <w:sz w:val="21"/>
                      <w:szCs w:val="21"/>
                      <w:highlight w:val="none"/>
                      <w:lang w:val="en-US" w:eastAsia="zh-CN"/>
                    </w:rPr>
                    <w:t>/瓶</w:t>
                  </w:r>
                </w:p>
              </w:tc>
              <w:tc>
                <w:tcPr>
                  <w:tcW w:w="534" w:type="pct"/>
                  <w:noWrap w:val="0"/>
                  <w:vAlign w:val="center"/>
                </w:tcPr>
                <w:p w14:paraId="0FD2BAF0">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1kg</w:t>
                  </w:r>
                </w:p>
              </w:tc>
              <w:tc>
                <w:tcPr>
                  <w:tcW w:w="596" w:type="pct"/>
                  <w:noWrap w:val="0"/>
                  <w:vAlign w:val="center"/>
                </w:tcPr>
                <w:p w14:paraId="331AD2D2">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1kg</w:t>
                  </w:r>
                </w:p>
              </w:tc>
              <w:tc>
                <w:tcPr>
                  <w:tcW w:w="1614" w:type="pct"/>
                  <w:noWrap w:val="0"/>
                  <w:vAlign w:val="center"/>
                </w:tcPr>
                <w:p w14:paraId="10187409">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bidi="ar"/>
                    </w:rPr>
                    <w:t>白色或淡黄色细结晶</w:t>
                  </w:r>
                  <w:r>
                    <w:rPr>
                      <w:rFonts w:hint="eastAsia" w:cs="Times New Roman"/>
                      <w:color w:val="auto"/>
                      <w:kern w:val="0"/>
                      <w:sz w:val="21"/>
                      <w:szCs w:val="21"/>
                      <w:highlight w:val="none"/>
                      <w:lang w:val="en-US" w:eastAsia="zh-CN" w:bidi="ar"/>
                    </w:rPr>
                    <w:t>粉末</w:t>
                  </w:r>
                  <w:r>
                    <w:rPr>
                      <w:rFonts w:hint="default" w:ascii="Times New Roman" w:hAnsi="Times New Roman" w:eastAsia="宋体" w:cs="Times New Roman"/>
                      <w:color w:val="auto"/>
                      <w:kern w:val="0"/>
                      <w:sz w:val="21"/>
                      <w:szCs w:val="21"/>
                      <w:highlight w:val="none"/>
                      <w:lang w:bidi="ar"/>
                    </w:rPr>
                    <w:t>，</w:t>
                  </w:r>
                  <w:r>
                    <w:rPr>
                      <w:rFonts w:hint="eastAsia" w:cs="Times New Roman"/>
                      <w:color w:val="auto"/>
                      <w:kern w:val="0"/>
                      <w:sz w:val="21"/>
                      <w:szCs w:val="21"/>
                      <w:highlight w:val="none"/>
                      <w:lang w:eastAsia="zh-CN" w:bidi="ar"/>
                    </w:rPr>
                    <w:t>有</w:t>
                  </w:r>
                  <w:r>
                    <w:rPr>
                      <w:rFonts w:hint="eastAsia" w:cs="Times New Roman"/>
                      <w:color w:val="auto"/>
                      <w:kern w:val="0"/>
                      <w:sz w:val="21"/>
                      <w:szCs w:val="21"/>
                      <w:highlight w:val="none"/>
                      <w:lang w:val="en-US" w:eastAsia="zh-CN" w:bidi="ar"/>
                    </w:rPr>
                    <w:t>二氧化硫气味</w:t>
                  </w:r>
                  <w:r>
                    <w:rPr>
                      <w:rFonts w:hint="default" w:ascii="Times New Roman" w:hAnsi="Times New Roman" w:eastAsia="宋体" w:cs="Times New Roman"/>
                      <w:color w:val="auto"/>
                      <w:kern w:val="0"/>
                      <w:sz w:val="21"/>
                      <w:szCs w:val="21"/>
                      <w:highlight w:val="none"/>
                      <w:lang w:bidi="ar"/>
                    </w:rPr>
                    <w:t>，熔点</w:t>
                  </w:r>
                  <w:r>
                    <w:rPr>
                      <w:rFonts w:hint="eastAsia" w:cs="Times New Roman"/>
                      <w:color w:val="auto"/>
                      <w:kern w:val="0"/>
                      <w:sz w:val="21"/>
                      <w:szCs w:val="21"/>
                      <w:highlight w:val="none"/>
                      <w:lang w:val="en-US" w:eastAsia="zh-CN" w:bidi="ar"/>
                    </w:rPr>
                    <w:t>150℃</w:t>
                  </w:r>
                  <w:r>
                    <w:rPr>
                      <w:rFonts w:hint="default" w:ascii="Times New Roman" w:hAnsi="Times New Roman" w:eastAsia="宋体" w:cs="Times New Roman"/>
                      <w:color w:val="auto"/>
                      <w:kern w:val="0"/>
                      <w:sz w:val="21"/>
                      <w:szCs w:val="21"/>
                      <w:highlight w:val="none"/>
                      <w:lang w:bidi="ar"/>
                    </w:rPr>
                    <w:t>，沸点</w:t>
                  </w:r>
                  <w:r>
                    <w:rPr>
                      <w:rFonts w:hint="eastAsia" w:cs="Times New Roman"/>
                      <w:color w:val="auto"/>
                      <w:kern w:val="0"/>
                      <w:sz w:val="21"/>
                      <w:szCs w:val="21"/>
                      <w:highlight w:val="none"/>
                      <w:lang w:val="en-US" w:eastAsia="zh-CN" w:bidi="ar"/>
                    </w:rPr>
                    <w:t>104℃</w:t>
                  </w:r>
                  <w:r>
                    <w:rPr>
                      <w:rFonts w:hint="default" w:ascii="Times New Roman" w:hAnsi="Times New Roman" w:eastAsia="宋体" w:cs="Times New Roman"/>
                      <w:color w:val="auto"/>
                      <w:kern w:val="0"/>
                      <w:sz w:val="21"/>
                      <w:szCs w:val="21"/>
                      <w:highlight w:val="none"/>
                      <w:lang w:bidi="ar"/>
                    </w:rPr>
                    <w:t>，相对密度（水=1）</w:t>
                  </w:r>
                  <w:r>
                    <w:rPr>
                      <w:rFonts w:hint="eastAsia" w:cs="Times New Roman"/>
                      <w:color w:val="auto"/>
                      <w:kern w:val="0"/>
                      <w:sz w:val="21"/>
                      <w:szCs w:val="21"/>
                      <w:highlight w:val="none"/>
                      <w:lang w:val="en-US" w:eastAsia="zh-CN" w:bidi="ar"/>
                    </w:rPr>
                    <w:t>1.348g/cm</w:t>
                  </w:r>
                  <w:r>
                    <w:rPr>
                      <w:rFonts w:hint="eastAsia" w:cs="Times New Roman"/>
                      <w:color w:val="auto"/>
                      <w:kern w:val="0"/>
                      <w:sz w:val="21"/>
                      <w:szCs w:val="21"/>
                      <w:highlight w:val="none"/>
                      <w:vertAlign w:val="superscript"/>
                      <w:lang w:val="en-US" w:eastAsia="zh-CN" w:bidi="ar"/>
                    </w:rPr>
                    <w:t>3，</w:t>
                  </w:r>
                  <w:r>
                    <w:rPr>
                      <w:rFonts w:hint="default" w:ascii="Times New Roman" w:hAnsi="Times New Roman" w:eastAsia="宋体" w:cs="Times New Roman"/>
                      <w:color w:val="auto"/>
                      <w:kern w:val="0"/>
                      <w:sz w:val="21"/>
                      <w:szCs w:val="21"/>
                      <w:highlight w:val="none"/>
                      <w:lang w:bidi="ar"/>
                    </w:rPr>
                    <w:t>易溶于水。</w:t>
                  </w:r>
                </w:p>
              </w:tc>
              <w:tc>
                <w:tcPr>
                  <w:tcW w:w="425" w:type="pct"/>
                  <w:noWrap w:val="0"/>
                  <w:vAlign w:val="center"/>
                </w:tcPr>
                <w:p w14:paraId="141780B3">
                  <w:pPr>
                    <w:widowControl/>
                    <w:jc w:val="center"/>
                    <w:textAlignment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kern w:val="0"/>
                      <w:sz w:val="21"/>
                      <w:szCs w:val="21"/>
                      <w:highlight w:val="none"/>
                      <w:lang w:bidi="ar"/>
                    </w:rPr>
                    <w:t>否</w:t>
                  </w:r>
                </w:p>
              </w:tc>
              <w:tc>
                <w:tcPr>
                  <w:tcW w:w="378" w:type="pct"/>
                  <w:noWrap w:val="0"/>
                  <w:vAlign w:val="center"/>
                </w:tcPr>
                <w:p w14:paraId="6B55B67C">
                  <w:pPr>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lang w:val="en-US" w:eastAsia="zh-CN"/>
                    </w:rPr>
                    <w:t>/</w:t>
                  </w:r>
                </w:p>
              </w:tc>
            </w:tr>
            <w:tr w14:paraId="7CBE79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53" w:type="pct"/>
                  <w:noWrap w:val="0"/>
                  <w:vAlign w:val="center"/>
                </w:tcPr>
                <w:p w14:paraId="4FD6434E">
                  <w:pPr>
                    <w:widowControl/>
                    <w:jc w:val="center"/>
                    <w:textAlignment w:val="center"/>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27</w:t>
                  </w:r>
                </w:p>
              </w:tc>
              <w:tc>
                <w:tcPr>
                  <w:tcW w:w="621" w:type="pct"/>
                  <w:noWrap w:val="0"/>
                  <w:vAlign w:val="center"/>
                </w:tcPr>
                <w:p w14:paraId="70AC0F08">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硫代硫酸钠</w:t>
                  </w:r>
                </w:p>
              </w:tc>
              <w:tc>
                <w:tcPr>
                  <w:tcW w:w="576" w:type="pct"/>
                  <w:noWrap w:val="0"/>
                  <w:vAlign w:val="center"/>
                </w:tcPr>
                <w:p w14:paraId="33039DDA">
                  <w:pPr>
                    <w:tabs>
                      <w:tab w:val="left" w:pos="1088"/>
                    </w:tabs>
                    <w:jc w:val="center"/>
                    <w:rPr>
                      <w:rFonts w:hint="default" w:ascii="Times New Roman" w:hAnsi="Times New Roman" w:cs="Times New Roman"/>
                      <w:color w:val="auto"/>
                      <w:sz w:val="21"/>
                      <w:szCs w:val="21"/>
                      <w:highlight w:val="none"/>
                    </w:rPr>
                  </w:pPr>
                  <w:r>
                    <w:rPr>
                      <w:rFonts w:hint="default" w:ascii="Times New Roman" w:hAnsi="Times New Roman" w:cs="Times New Roman"/>
                      <w:bCs/>
                      <w:color w:val="auto"/>
                      <w:sz w:val="21"/>
                      <w:szCs w:val="21"/>
                      <w:highlight w:val="none"/>
                    </w:rPr>
                    <w:t>500g</w:t>
                  </w:r>
                  <w:r>
                    <w:rPr>
                      <w:rFonts w:hint="eastAsia" w:cs="Times New Roman"/>
                      <w:bCs/>
                      <w:color w:val="auto"/>
                      <w:sz w:val="21"/>
                      <w:szCs w:val="21"/>
                      <w:highlight w:val="none"/>
                      <w:lang w:val="en-US" w:eastAsia="zh-CN"/>
                    </w:rPr>
                    <w:t>/瓶</w:t>
                  </w:r>
                </w:p>
              </w:tc>
              <w:tc>
                <w:tcPr>
                  <w:tcW w:w="534" w:type="pct"/>
                  <w:noWrap w:val="0"/>
                  <w:vAlign w:val="center"/>
                </w:tcPr>
                <w:p w14:paraId="6AB5EB99">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1kg</w:t>
                  </w:r>
                </w:p>
              </w:tc>
              <w:tc>
                <w:tcPr>
                  <w:tcW w:w="596" w:type="pct"/>
                  <w:noWrap w:val="0"/>
                  <w:vAlign w:val="center"/>
                </w:tcPr>
                <w:p w14:paraId="642722F1">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1kg</w:t>
                  </w:r>
                </w:p>
              </w:tc>
              <w:tc>
                <w:tcPr>
                  <w:tcW w:w="1614" w:type="pct"/>
                  <w:noWrap w:val="0"/>
                  <w:vAlign w:val="center"/>
                </w:tcPr>
                <w:p w14:paraId="0C3E6EB9">
                  <w:pPr>
                    <w:widowControl/>
                    <w:jc w:val="center"/>
                    <w:textAlignment w:val="center"/>
                    <w:rPr>
                      <w:rFonts w:hint="eastAsia" w:ascii="Times New Roman" w:hAnsi="Times New Roman" w:eastAsia="宋体" w:cs="Times New Roman"/>
                      <w:color w:val="auto"/>
                      <w:kern w:val="0"/>
                      <w:sz w:val="21"/>
                      <w:szCs w:val="21"/>
                      <w:highlight w:val="none"/>
                      <w:lang w:eastAsia="zh-CN" w:bidi="ar"/>
                    </w:rPr>
                  </w:pPr>
                  <w:r>
                    <w:rPr>
                      <w:rFonts w:hint="default" w:ascii="Times New Roman" w:hAnsi="Times New Roman" w:eastAsia="宋体" w:cs="Times New Roman"/>
                      <w:color w:val="auto"/>
                      <w:kern w:val="0"/>
                      <w:sz w:val="21"/>
                      <w:szCs w:val="21"/>
                      <w:highlight w:val="none"/>
                      <w:lang w:bidi="ar"/>
                    </w:rPr>
                    <w:t>又名次亚硫酸钠、大苏打、海波。它是无色透明的单斜晶体</w:t>
                  </w:r>
                  <w:r>
                    <w:rPr>
                      <w:rFonts w:hint="eastAsia" w:cs="Times New Roman"/>
                      <w:color w:val="auto"/>
                      <w:kern w:val="0"/>
                      <w:sz w:val="21"/>
                      <w:szCs w:val="21"/>
                      <w:highlight w:val="none"/>
                      <w:lang w:val="en-US" w:eastAsia="zh-CN" w:bidi="ar"/>
                    </w:rPr>
                    <w:t>粉末</w:t>
                  </w:r>
                  <w:r>
                    <w:rPr>
                      <w:rFonts w:hint="default" w:ascii="Times New Roman" w:hAnsi="Times New Roman" w:eastAsia="宋体" w:cs="Times New Roman"/>
                      <w:color w:val="auto"/>
                      <w:kern w:val="0"/>
                      <w:sz w:val="21"/>
                      <w:szCs w:val="21"/>
                      <w:highlight w:val="none"/>
                      <w:lang w:bidi="ar"/>
                    </w:rPr>
                    <w:t>，</w:t>
                  </w:r>
                  <w:r>
                    <w:rPr>
                      <w:rFonts w:hint="eastAsia" w:cs="Times New Roman"/>
                      <w:color w:val="auto"/>
                      <w:kern w:val="0"/>
                      <w:sz w:val="21"/>
                      <w:szCs w:val="21"/>
                      <w:highlight w:val="none"/>
                      <w:lang w:val="en-US" w:eastAsia="zh-CN" w:bidi="ar"/>
                    </w:rPr>
                    <w:t>无气味，</w:t>
                  </w:r>
                  <w:r>
                    <w:rPr>
                      <w:rFonts w:hint="default" w:ascii="Times New Roman" w:hAnsi="Times New Roman" w:eastAsia="宋体" w:cs="Times New Roman"/>
                      <w:color w:val="auto"/>
                      <w:kern w:val="0"/>
                      <w:sz w:val="21"/>
                      <w:szCs w:val="21"/>
                      <w:highlight w:val="none"/>
                      <w:lang w:bidi="ar"/>
                    </w:rPr>
                    <w:t>密度1.667克/</w:t>
                  </w:r>
                  <w:r>
                    <w:rPr>
                      <w:rFonts w:hint="default" w:ascii="Times New Roman" w:hAnsi="Times New Roman" w:eastAsia="宋体" w:cs="Times New Roman"/>
                      <w:color w:val="auto"/>
                      <w:kern w:val="0"/>
                      <w:sz w:val="21"/>
                      <w:szCs w:val="21"/>
                      <w:highlight w:val="none"/>
                      <w:lang w:val="en-US" w:eastAsia="zh-CN" w:bidi="ar"/>
                    </w:rPr>
                    <w:t>立方</w:t>
                  </w:r>
                  <w:r>
                    <w:rPr>
                      <w:rFonts w:hint="default" w:ascii="Times New Roman" w:hAnsi="Times New Roman" w:eastAsia="宋体" w:cs="Times New Roman"/>
                      <w:color w:val="auto"/>
                      <w:kern w:val="0"/>
                      <w:sz w:val="21"/>
                      <w:szCs w:val="21"/>
                      <w:highlight w:val="none"/>
                      <w:lang w:bidi="ar"/>
                    </w:rPr>
                    <w:t>厘米。熔点48℃</w:t>
                  </w:r>
                  <w:r>
                    <w:rPr>
                      <w:rFonts w:hint="eastAsia" w:cs="Times New Roman"/>
                      <w:color w:val="auto"/>
                      <w:kern w:val="0"/>
                      <w:sz w:val="21"/>
                      <w:szCs w:val="21"/>
                      <w:highlight w:val="none"/>
                      <w:lang w:eastAsia="zh-CN" w:bidi="ar"/>
                    </w:rPr>
                    <w:t>，</w:t>
                  </w:r>
                  <w:r>
                    <w:rPr>
                      <w:rFonts w:hint="eastAsia" w:cs="Times New Roman"/>
                      <w:color w:val="auto"/>
                      <w:kern w:val="0"/>
                      <w:sz w:val="21"/>
                      <w:szCs w:val="21"/>
                      <w:highlight w:val="none"/>
                      <w:lang w:val="en-US" w:eastAsia="zh-CN" w:bidi="ar"/>
                    </w:rPr>
                    <w:t>沸点为100℃，</w:t>
                  </w:r>
                  <w:r>
                    <w:rPr>
                      <w:rFonts w:hint="default" w:ascii="Times New Roman" w:hAnsi="Times New Roman" w:eastAsia="宋体" w:cs="Times New Roman"/>
                      <w:color w:val="auto"/>
                      <w:kern w:val="0"/>
                      <w:sz w:val="21"/>
                      <w:szCs w:val="21"/>
                      <w:highlight w:val="none"/>
                      <w:lang w:bidi="ar"/>
                    </w:rPr>
                    <w:t>易溶于水，不溶于乙醇</w:t>
                  </w:r>
                  <w:r>
                    <w:rPr>
                      <w:rFonts w:hint="eastAsia" w:cs="Times New Roman"/>
                      <w:color w:val="auto"/>
                      <w:kern w:val="0"/>
                      <w:sz w:val="21"/>
                      <w:szCs w:val="21"/>
                      <w:highlight w:val="none"/>
                      <w:lang w:eastAsia="zh-CN" w:bidi="ar"/>
                    </w:rPr>
                    <w:t>。</w:t>
                  </w:r>
                </w:p>
              </w:tc>
              <w:tc>
                <w:tcPr>
                  <w:tcW w:w="425" w:type="pct"/>
                  <w:noWrap w:val="0"/>
                  <w:vAlign w:val="center"/>
                </w:tcPr>
                <w:p w14:paraId="355C6D06">
                  <w:pPr>
                    <w:widowControl/>
                    <w:jc w:val="center"/>
                    <w:textAlignment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kern w:val="0"/>
                      <w:sz w:val="21"/>
                      <w:szCs w:val="21"/>
                      <w:highlight w:val="none"/>
                      <w:lang w:bidi="ar"/>
                    </w:rPr>
                    <w:t>否</w:t>
                  </w:r>
                </w:p>
              </w:tc>
              <w:tc>
                <w:tcPr>
                  <w:tcW w:w="378" w:type="pct"/>
                  <w:noWrap w:val="0"/>
                  <w:vAlign w:val="center"/>
                </w:tcPr>
                <w:p w14:paraId="1081D9D7">
                  <w:pPr>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sz w:val="21"/>
                      <w:szCs w:val="21"/>
                      <w:highlight w:val="none"/>
                      <w:lang w:val="en-US" w:eastAsia="zh-CN"/>
                    </w:rPr>
                    <w:t>/</w:t>
                  </w:r>
                </w:p>
              </w:tc>
            </w:tr>
            <w:tr w14:paraId="60F3F8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53" w:type="pct"/>
                  <w:noWrap w:val="0"/>
                  <w:vAlign w:val="center"/>
                </w:tcPr>
                <w:p w14:paraId="29CE6D16">
                  <w:pPr>
                    <w:widowControl/>
                    <w:jc w:val="center"/>
                    <w:textAlignment w:val="center"/>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28</w:t>
                  </w:r>
                </w:p>
              </w:tc>
              <w:tc>
                <w:tcPr>
                  <w:tcW w:w="621" w:type="pct"/>
                  <w:noWrap w:val="0"/>
                  <w:vAlign w:val="center"/>
                </w:tcPr>
                <w:p w14:paraId="40749BBE">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磷酸氢二钠</w:t>
                  </w:r>
                </w:p>
              </w:tc>
              <w:tc>
                <w:tcPr>
                  <w:tcW w:w="576" w:type="pct"/>
                  <w:noWrap w:val="0"/>
                  <w:vAlign w:val="center"/>
                </w:tcPr>
                <w:p w14:paraId="0AF19500">
                  <w:pPr>
                    <w:jc w:val="center"/>
                    <w:rPr>
                      <w:rFonts w:hint="default" w:ascii="Times New Roman" w:hAnsi="Times New Roman" w:cs="Times New Roman"/>
                      <w:color w:val="auto"/>
                      <w:sz w:val="21"/>
                      <w:szCs w:val="21"/>
                      <w:highlight w:val="none"/>
                    </w:rPr>
                  </w:pPr>
                  <w:r>
                    <w:rPr>
                      <w:rFonts w:hint="default" w:ascii="Times New Roman" w:hAnsi="Times New Roman" w:cs="Times New Roman"/>
                      <w:bCs/>
                      <w:color w:val="auto"/>
                      <w:sz w:val="21"/>
                      <w:szCs w:val="21"/>
                      <w:highlight w:val="none"/>
                    </w:rPr>
                    <w:t>500g</w:t>
                  </w:r>
                  <w:r>
                    <w:rPr>
                      <w:rFonts w:hint="eastAsia" w:cs="Times New Roman"/>
                      <w:bCs/>
                      <w:color w:val="auto"/>
                      <w:sz w:val="21"/>
                      <w:szCs w:val="21"/>
                      <w:highlight w:val="none"/>
                      <w:lang w:val="en-US" w:eastAsia="zh-CN"/>
                    </w:rPr>
                    <w:t>/瓶</w:t>
                  </w:r>
                </w:p>
              </w:tc>
              <w:tc>
                <w:tcPr>
                  <w:tcW w:w="534" w:type="pct"/>
                  <w:noWrap w:val="0"/>
                  <w:vAlign w:val="center"/>
                </w:tcPr>
                <w:p w14:paraId="2507AD73">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0.5kg</w:t>
                  </w:r>
                </w:p>
              </w:tc>
              <w:tc>
                <w:tcPr>
                  <w:tcW w:w="596" w:type="pct"/>
                  <w:noWrap w:val="0"/>
                  <w:vAlign w:val="center"/>
                </w:tcPr>
                <w:p w14:paraId="709BB55A">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0.5kg</w:t>
                  </w:r>
                </w:p>
              </w:tc>
              <w:tc>
                <w:tcPr>
                  <w:tcW w:w="1614" w:type="pct"/>
                  <w:noWrap w:val="0"/>
                  <w:vAlign w:val="center"/>
                </w:tcPr>
                <w:p w14:paraId="1C48F437">
                  <w:pPr>
                    <w:widowControl/>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白色</w:t>
                  </w:r>
                  <w:r>
                    <w:rPr>
                      <w:rFonts w:hint="eastAsia" w:cs="Times New Roman"/>
                      <w:color w:val="auto"/>
                      <w:kern w:val="0"/>
                      <w:sz w:val="21"/>
                      <w:szCs w:val="21"/>
                      <w:highlight w:val="none"/>
                      <w:lang w:val="en-US" w:eastAsia="zh-CN" w:bidi="ar"/>
                    </w:rPr>
                    <w:t>晶状</w:t>
                  </w:r>
                  <w:r>
                    <w:rPr>
                      <w:rFonts w:hint="default" w:ascii="Times New Roman" w:hAnsi="Times New Roman" w:eastAsia="宋体" w:cs="Times New Roman"/>
                      <w:color w:val="auto"/>
                      <w:kern w:val="0"/>
                      <w:sz w:val="21"/>
                      <w:szCs w:val="21"/>
                      <w:highlight w:val="none"/>
                      <w:lang w:bidi="ar"/>
                    </w:rPr>
                    <w:t>的粉末</w:t>
                  </w:r>
                  <w:r>
                    <w:rPr>
                      <w:rFonts w:hint="eastAsia" w:cs="Times New Roman"/>
                      <w:color w:val="auto"/>
                      <w:kern w:val="0"/>
                      <w:sz w:val="21"/>
                      <w:szCs w:val="21"/>
                      <w:highlight w:val="none"/>
                      <w:lang w:eastAsia="zh-CN" w:bidi="ar"/>
                    </w:rPr>
                    <w:t>，</w:t>
                  </w:r>
                  <w:r>
                    <w:rPr>
                      <w:rFonts w:hint="eastAsia" w:cs="Times New Roman"/>
                      <w:color w:val="auto"/>
                      <w:kern w:val="0"/>
                      <w:sz w:val="21"/>
                      <w:szCs w:val="21"/>
                      <w:highlight w:val="none"/>
                      <w:lang w:val="en-US" w:eastAsia="zh-CN" w:bidi="ar"/>
                    </w:rPr>
                    <w:t>无气味，沸点为158℃，熔点为＞449.85℃，相对密度为1.52g/cm</w:t>
                  </w:r>
                  <w:r>
                    <w:rPr>
                      <w:rFonts w:hint="eastAsia" w:cs="Times New Roman"/>
                      <w:color w:val="auto"/>
                      <w:kern w:val="0"/>
                      <w:sz w:val="21"/>
                      <w:szCs w:val="21"/>
                      <w:highlight w:val="none"/>
                      <w:vertAlign w:val="superscript"/>
                      <w:lang w:val="en-US" w:eastAsia="zh-CN" w:bidi="ar"/>
                    </w:rPr>
                    <w:t>3</w:t>
                  </w:r>
                  <w:r>
                    <w:rPr>
                      <w:rFonts w:hint="eastAsia" w:cs="Times New Roman"/>
                      <w:color w:val="auto"/>
                      <w:kern w:val="0"/>
                      <w:sz w:val="21"/>
                      <w:szCs w:val="21"/>
                      <w:highlight w:val="none"/>
                      <w:vertAlign w:val="baseline"/>
                      <w:lang w:val="en-US" w:eastAsia="zh-CN" w:bidi="ar"/>
                    </w:rPr>
                    <w:t>，无水碳酸钾具有较强的吸湿性，</w:t>
                  </w:r>
                  <w:r>
                    <w:rPr>
                      <w:rFonts w:hint="default" w:ascii="Times New Roman" w:hAnsi="Times New Roman" w:eastAsia="宋体" w:cs="Times New Roman"/>
                      <w:color w:val="auto"/>
                      <w:kern w:val="0"/>
                      <w:sz w:val="21"/>
                      <w:szCs w:val="21"/>
                      <w:highlight w:val="none"/>
                      <w:lang w:bidi="ar"/>
                    </w:rPr>
                    <w:t>可溶于水、</w:t>
                  </w:r>
                  <w:r>
                    <w:rPr>
                      <w:rFonts w:hint="eastAsia" w:cs="Times New Roman"/>
                      <w:color w:val="auto"/>
                      <w:kern w:val="0"/>
                      <w:sz w:val="21"/>
                      <w:szCs w:val="21"/>
                      <w:highlight w:val="none"/>
                      <w:vertAlign w:val="baseline"/>
                      <w:lang w:val="en-US" w:eastAsia="zh-CN" w:bidi="ar"/>
                    </w:rPr>
                    <w:t>不溶于乙醇和醚类溶剂</w:t>
                  </w:r>
                  <w:r>
                    <w:rPr>
                      <w:rFonts w:hint="default" w:ascii="Times New Roman" w:hAnsi="Times New Roman" w:eastAsia="宋体" w:cs="Times New Roman"/>
                      <w:color w:val="auto"/>
                      <w:kern w:val="0"/>
                      <w:sz w:val="21"/>
                      <w:szCs w:val="21"/>
                      <w:highlight w:val="none"/>
                      <w:lang w:bidi="ar"/>
                    </w:rPr>
                    <w:t>。</w:t>
                  </w:r>
                </w:p>
              </w:tc>
              <w:tc>
                <w:tcPr>
                  <w:tcW w:w="425" w:type="pct"/>
                  <w:noWrap w:val="0"/>
                  <w:vAlign w:val="center"/>
                </w:tcPr>
                <w:p w14:paraId="38677CA3">
                  <w:pPr>
                    <w:widowControl/>
                    <w:jc w:val="center"/>
                    <w:textAlignment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kern w:val="0"/>
                      <w:sz w:val="21"/>
                      <w:szCs w:val="21"/>
                      <w:highlight w:val="none"/>
                      <w:lang w:bidi="ar"/>
                    </w:rPr>
                    <w:t>否</w:t>
                  </w:r>
                </w:p>
              </w:tc>
              <w:tc>
                <w:tcPr>
                  <w:tcW w:w="378" w:type="pct"/>
                  <w:noWrap w:val="0"/>
                  <w:vAlign w:val="center"/>
                </w:tcPr>
                <w:p w14:paraId="5F04F32B">
                  <w:pPr>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sz w:val="21"/>
                      <w:szCs w:val="21"/>
                      <w:highlight w:val="none"/>
                      <w:lang w:val="en-US" w:eastAsia="zh-CN"/>
                    </w:rPr>
                    <w:t>/</w:t>
                  </w:r>
                </w:p>
              </w:tc>
            </w:tr>
            <w:tr w14:paraId="681682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53" w:type="pct"/>
                  <w:noWrap w:val="0"/>
                  <w:vAlign w:val="center"/>
                </w:tcPr>
                <w:p w14:paraId="7FD48EA6">
                  <w:pPr>
                    <w:widowControl/>
                    <w:jc w:val="center"/>
                    <w:textAlignment w:val="center"/>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29</w:t>
                  </w:r>
                </w:p>
              </w:tc>
              <w:tc>
                <w:tcPr>
                  <w:tcW w:w="621" w:type="pct"/>
                  <w:noWrap w:val="0"/>
                  <w:vAlign w:val="center"/>
                </w:tcPr>
                <w:p w14:paraId="769B20F5">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无水碳酸钾</w:t>
                  </w:r>
                </w:p>
              </w:tc>
              <w:tc>
                <w:tcPr>
                  <w:tcW w:w="576" w:type="pct"/>
                  <w:noWrap w:val="0"/>
                  <w:vAlign w:val="center"/>
                </w:tcPr>
                <w:p w14:paraId="2C2D9F05">
                  <w:pPr>
                    <w:jc w:val="center"/>
                    <w:rPr>
                      <w:rFonts w:hint="default" w:ascii="Times New Roman" w:hAnsi="Times New Roman" w:cs="Times New Roman"/>
                      <w:color w:val="auto"/>
                      <w:sz w:val="21"/>
                      <w:szCs w:val="21"/>
                      <w:highlight w:val="none"/>
                    </w:rPr>
                  </w:pPr>
                  <w:r>
                    <w:rPr>
                      <w:rFonts w:hint="default" w:ascii="Times New Roman" w:hAnsi="Times New Roman" w:cs="Times New Roman"/>
                      <w:bCs/>
                      <w:color w:val="auto"/>
                      <w:sz w:val="21"/>
                      <w:szCs w:val="21"/>
                      <w:highlight w:val="none"/>
                    </w:rPr>
                    <w:t>500g</w:t>
                  </w:r>
                  <w:r>
                    <w:rPr>
                      <w:rFonts w:hint="eastAsia" w:cs="Times New Roman"/>
                      <w:bCs/>
                      <w:color w:val="auto"/>
                      <w:sz w:val="21"/>
                      <w:szCs w:val="21"/>
                      <w:highlight w:val="none"/>
                      <w:lang w:val="en-US" w:eastAsia="zh-CN"/>
                    </w:rPr>
                    <w:t>/瓶</w:t>
                  </w:r>
                </w:p>
              </w:tc>
              <w:tc>
                <w:tcPr>
                  <w:tcW w:w="534" w:type="pct"/>
                  <w:noWrap w:val="0"/>
                  <w:vAlign w:val="center"/>
                </w:tcPr>
                <w:p w14:paraId="1E55C91C">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1kg</w:t>
                  </w:r>
                </w:p>
              </w:tc>
              <w:tc>
                <w:tcPr>
                  <w:tcW w:w="596" w:type="pct"/>
                  <w:noWrap w:val="0"/>
                  <w:vAlign w:val="center"/>
                </w:tcPr>
                <w:p w14:paraId="20FE6317">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1kg</w:t>
                  </w:r>
                </w:p>
              </w:tc>
              <w:tc>
                <w:tcPr>
                  <w:tcW w:w="1614" w:type="pct"/>
                  <w:noWrap w:val="0"/>
                  <w:vAlign w:val="center"/>
                </w:tcPr>
                <w:p w14:paraId="27AD84EB">
                  <w:pPr>
                    <w:widowControl/>
                    <w:jc w:val="center"/>
                    <w:textAlignment w:val="center"/>
                    <w:rPr>
                      <w:rFonts w:hint="eastAsia" w:ascii="Times New Roman" w:hAnsi="Times New Roman" w:eastAsia="宋体" w:cs="Times New Roman"/>
                      <w:color w:val="auto"/>
                      <w:kern w:val="0"/>
                      <w:sz w:val="21"/>
                      <w:szCs w:val="21"/>
                      <w:highlight w:val="none"/>
                      <w:lang w:eastAsia="zh-CN" w:bidi="ar"/>
                    </w:rPr>
                  </w:pPr>
                  <w:r>
                    <w:rPr>
                      <w:rFonts w:hint="default" w:ascii="Times New Roman" w:hAnsi="Times New Roman" w:eastAsia="宋体" w:cs="Times New Roman"/>
                      <w:color w:val="auto"/>
                      <w:kern w:val="0"/>
                      <w:sz w:val="21"/>
                      <w:szCs w:val="21"/>
                      <w:highlight w:val="none"/>
                      <w:lang w:bidi="ar"/>
                    </w:rPr>
                    <w:t>白色结晶粉末。密度2.428g/cm</w:t>
                  </w:r>
                  <w:r>
                    <w:rPr>
                      <w:rFonts w:hint="default" w:ascii="Times New Roman" w:hAnsi="Times New Roman" w:eastAsia="宋体" w:cs="Times New Roman"/>
                      <w:color w:val="auto"/>
                      <w:kern w:val="0"/>
                      <w:sz w:val="21"/>
                      <w:szCs w:val="21"/>
                      <w:highlight w:val="none"/>
                      <w:vertAlign w:val="superscript"/>
                      <w:lang w:bidi="ar"/>
                    </w:rPr>
                    <w:t>3</w:t>
                  </w:r>
                  <w:r>
                    <w:rPr>
                      <w:rFonts w:hint="default" w:ascii="Times New Roman" w:hAnsi="Times New Roman" w:eastAsia="宋体" w:cs="Times New Roman"/>
                      <w:color w:val="auto"/>
                      <w:kern w:val="0"/>
                      <w:sz w:val="21"/>
                      <w:szCs w:val="21"/>
                      <w:highlight w:val="none"/>
                      <w:lang w:bidi="ar"/>
                    </w:rPr>
                    <w:t>。熔点891℃，</w:t>
                  </w:r>
                  <w:r>
                    <w:rPr>
                      <w:rFonts w:hint="eastAsia" w:cs="Times New Roman"/>
                      <w:color w:val="auto"/>
                      <w:kern w:val="0"/>
                      <w:sz w:val="21"/>
                      <w:szCs w:val="21"/>
                      <w:highlight w:val="none"/>
                      <w:lang w:val="en-US" w:eastAsia="zh-CN" w:bidi="ar"/>
                    </w:rPr>
                    <w:t>闪点为48℃，</w:t>
                  </w:r>
                  <w:r>
                    <w:rPr>
                      <w:rFonts w:hint="default" w:ascii="Times New Roman" w:hAnsi="Times New Roman" w:eastAsia="宋体" w:cs="Times New Roman"/>
                      <w:color w:val="auto"/>
                      <w:kern w:val="0"/>
                      <w:sz w:val="21"/>
                      <w:szCs w:val="21"/>
                      <w:highlight w:val="none"/>
                      <w:lang w:bidi="ar"/>
                    </w:rPr>
                    <w:t>沸点</w:t>
                  </w:r>
                  <w:r>
                    <w:rPr>
                      <w:rFonts w:hint="eastAsia" w:cs="Times New Roman"/>
                      <w:color w:val="auto"/>
                      <w:kern w:val="0"/>
                      <w:sz w:val="21"/>
                      <w:szCs w:val="21"/>
                      <w:highlight w:val="none"/>
                      <w:lang w:val="en-US" w:eastAsia="zh-CN" w:bidi="ar"/>
                    </w:rPr>
                    <w:t>333.6℃</w:t>
                  </w:r>
                  <w:r>
                    <w:rPr>
                      <w:rFonts w:hint="default" w:ascii="Times New Roman" w:hAnsi="Times New Roman" w:eastAsia="宋体" w:cs="Times New Roman"/>
                      <w:color w:val="auto"/>
                      <w:kern w:val="0"/>
                      <w:sz w:val="21"/>
                      <w:szCs w:val="21"/>
                      <w:highlight w:val="none"/>
                      <w:lang w:bidi="ar"/>
                    </w:rPr>
                    <w:t>，</w:t>
                  </w:r>
                  <w:r>
                    <w:rPr>
                      <w:rFonts w:hint="eastAsia" w:cs="Times New Roman"/>
                      <w:color w:val="auto"/>
                      <w:kern w:val="0"/>
                      <w:sz w:val="21"/>
                      <w:szCs w:val="21"/>
                      <w:highlight w:val="none"/>
                      <w:lang w:val="en-US" w:eastAsia="zh-CN" w:bidi="ar"/>
                    </w:rPr>
                    <w:t>无气味，</w:t>
                  </w:r>
                  <w:r>
                    <w:rPr>
                      <w:rFonts w:hint="default" w:ascii="Times New Roman" w:hAnsi="Times New Roman" w:eastAsia="宋体" w:cs="Times New Roman"/>
                      <w:color w:val="auto"/>
                      <w:kern w:val="0"/>
                      <w:sz w:val="21"/>
                      <w:szCs w:val="21"/>
                      <w:highlight w:val="none"/>
                      <w:lang w:bidi="ar"/>
                    </w:rPr>
                    <w:t>相对分子量138.21。溶于水，水溶液呈碱性，不溶于乙醇、丙酮和乙醚。</w:t>
                  </w:r>
                </w:p>
              </w:tc>
              <w:tc>
                <w:tcPr>
                  <w:tcW w:w="425" w:type="pct"/>
                  <w:noWrap w:val="0"/>
                  <w:vAlign w:val="center"/>
                </w:tcPr>
                <w:p w14:paraId="6D88D0C5">
                  <w:pPr>
                    <w:widowControl/>
                    <w:jc w:val="center"/>
                    <w:textAlignment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kern w:val="0"/>
                      <w:sz w:val="21"/>
                      <w:szCs w:val="21"/>
                      <w:highlight w:val="none"/>
                      <w:lang w:bidi="ar"/>
                    </w:rPr>
                    <w:t>否</w:t>
                  </w:r>
                </w:p>
              </w:tc>
              <w:tc>
                <w:tcPr>
                  <w:tcW w:w="378" w:type="pct"/>
                  <w:noWrap w:val="0"/>
                  <w:vAlign w:val="center"/>
                </w:tcPr>
                <w:p w14:paraId="2C17B606">
                  <w:pPr>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sz w:val="21"/>
                      <w:szCs w:val="21"/>
                      <w:highlight w:val="none"/>
                      <w:lang w:val="en-US" w:eastAsia="zh-CN"/>
                    </w:rPr>
                    <w:t>/</w:t>
                  </w:r>
                </w:p>
              </w:tc>
            </w:tr>
            <w:tr w14:paraId="60042A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53" w:type="pct"/>
                  <w:noWrap w:val="0"/>
                  <w:vAlign w:val="center"/>
                </w:tcPr>
                <w:p w14:paraId="7CB79CA1">
                  <w:pPr>
                    <w:widowControl/>
                    <w:jc w:val="center"/>
                    <w:textAlignment w:val="center"/>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30</w:t>
                  </w:r>
                </w:p>
              </w:tc>
              <w:tc>
                <w:tcPr>
                  <w:tcW w:w="621" w:type="pct"/>
                  <w:noWrap w:val="0"/>
                  <w:vAlign w:val="center"/>
                </w:tcPr>
                <w:p w14:paraId="3A60F2A9">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硝酸钾</w:t>
                  </w:r>
                </w:p>
              </w:tc>
              <w:tc>
                <w:tcPr>
                  <w:tcW w:w="576" w:type="pct"/>
                  <w:noWrap w:val="0"/>
                  <w:vAlign w:val="center"/>
                </w:tcPr>
                <w:p w14:paraId="4696135A">
                  <w:pPr>
                    <w:jc w:val="center"/>
                    <w:rPr>
                      <w:rFonts w:hint="default" w:ascii="Times New Roman" w:hAnsi="Times New Roman" w:cs="Times New Roman"/>
                      <w:color w:val="auto"/>
                      <w:sz w:val="21"/>
                      <w:szCs w:val="21"/>
                      <w:highlight w:val="none"/>
                    </w:rPr>
                  </w:pPr>
                  <w:r>
                    <w:rPr>
                      <w:rFonts w:hint="default" w:ascii="Times New Roman" w:hAnsi="Times New Roman" w:cs="Times New Roman"/>
                      <w:bCs/>
                      <w:color w:val="auto"/>
                      <w:sz w:val="21"/>
                      <w:szCs w:val="21"/>
                      <w:highlight w:val="none"/>
                    </w:rPr>
                    <w:t>500g</w:t>
                  </w:r>
                  <w:r>
                    <w:rPr>
                      <w:rFonts w:hint="eastAsia" w:cs="Times New Roman"/>
                      <w:bCs/>
                      <w:color w:val="auto"/>
                      <w:sz w:val="21"/>
                      <w:szCs w:val="21"/>
                      <w:highlight w:val="none"/>
                      <w:lang w:val="en-US" w:eastAsia="zh-CN"/>
                    </w:rPr>
                    <w:t>/瓶</w:t>
                  </w:r>
                </w:p>
              </w:tc>
              <w:tc>
                <w:tcPr>
                  <w:tcW w:w="534" w:type="pct"/>
                  <w:noWrap w:val="0"/>
                  <w:vAlign w:val="center"/>
                </w:tcPr>
                <w:p w14:paraId="4C4AAC63">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1kg</w:t>
                  </w:r>
                </w:p>
              </w:tc>
              <w:tc>
                <w:tcPr>
                  <w:tcW w:w="596" w:type="pct"/>
                  <w:noWrap w:val="0"/>
                  <w:vAlign w:val="center"/>
                </w:tcPr>
                <w:p w14:paraId="17884F0D">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1kg</w:t>
                  </w:r>
                </w:p>
              </w:tc>
              <w:tc>
                <w:tcPr>
                  <w:tcW w:w="1614" w:type="pct"/>
                  <w:noWrap w:val="0"/>
                  <w:vAlign w:val="center"/>
                </w:tcPr>
                <w:p w14:paraId="5FA18077">
                  <w:pPr>
                    <w:widowControl/>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硝酸钾是钾的硝酸盐，实验式KNO₃。外观为透明无色或白色</w:t>
                  </w:r>
                  <w:r>
                    <w:rPr>
                      <w:rFonts w:hint="eastAsia" w:cs="Times New Roman"/>
                      <w:color w:val="auto"/>
                      <w:kern w:val="0"/>
                      <w:sz w:val="21"/>
                      <w:szCs w:val="21"/>
                      <w:highlight w:val="none"/>
                      <w:lang w:val="en-US" w:eastAsia="zh-CN" w:bidi="ar"/>
                    </w:rPr>
                    <w:t>晶体</w:t>
                  </w:r>
                  <w:r>
                    <w:rPr>
                      <w:rFonts w:hint="default" w:ascii="Times New Roman" w:hAnsi="Times New Roman" w:eastAsia="宋体" w:cs="Times New Roman"/>
                      <w:color w:val="auto"/>
                      <w:kern w:val="0"/>
                      <w:sz w:val="21"/>
                      <w:szCs w:val="21"/>
                      <w:highlight w:val="none"/>
                      <w:lang w:bidi="ar"/>
                    </w:rPr>
                    <w:t>粉末，无味，</w:t>
                  </w:r>
                  <w:r>
                    <w:rPr>
                      <w:rFonts w:hint="eastAsia" w:cs="Times New Roman"/>
                      <w:color w:val="auto"/>
                      <w:kern w:val="0"/>
                      <w:sz w:val="21"/>
                      <w:szCs w:val="21"/>
                      <w:highlight w:val="none"/>
                      <w:lang w:val="en-US" w:eastAsia="zh-CN" w:bidi="ar"/>
                    </w:rPr>
                    <w:t>沸点为100℃，闪点为400℃，熔点为334℃，相对密度为1g/cm</w:t>
                  </w:r>
                  <w:r>
                    <w:rPr>
                      <w:rFonts w:hint="eastAsia" w:cs="Times New Roman"/>
                      <w:color w:val="auto"/>
                      <w:kern w:val="0"/>
                      <w:sz w:val="21"/>
                      <w:szCs w:val="21"/>
                      <w:highlight w:val="none"/>
                      <w:vertAlign w:val="superscript"/>
                      <w:lang w:val="en-US" w:eastAsia="zh-CN" w:bidi="ar"/>
                    </w:rPr>
                    <w:t>3</w:t>
                  </w:r>
                  <w:r>
                    <w:rPr>
                      <w:rFonts w:hint="eastAsia" w:cs="Times New Roman"/>
                      <w:color w:val="auto"/>
                      <w:kern w:val="0"/>
                      <w:sz w:val="21"/>
                      <w:szCs w:val="21"/>
                      <w:highlight w:val="none"/>
                      <w:lang w:val="en-US" w:eastAsia="zh-CN" w:bidi="ar"/>
                    </w:rPr>
                    <w:t>。</w:t>
                  </w:r>
                  <w:r>
                    <w:rPr>
                      <w:rFonts w:hint="default" w:ascii="Times New Roman" w:hAnsi="Times New Roman" w:eastAsia="宋体" w:cs="Times New Roman"/>
                      <w:color w:val="auto"/>
                      <w:kern w:val="0"/>
                      <w:sz w:val="21"/>
                      <w:szCs w:val="21"/>
                      <w:highlight w:val="none"/>
                      <w:lang w:bidi="ar"/>
                    </w:rPr>
                    <w:t>溶于水，稍溶于乙醇。</w:t>
                  </w:r>
                  <w:r>
                    <w:rPr>
                      <w:rFonts w:hint="eastAsia" w:cs="Times New Roman"/>
                      <w:color w:val="auto"/>
                      <w:kern w:val="0"/>
                      <w:sz w:val="21"/>
                      <w:szCs w:val="21"/>
                      <w:highlight w:val="none"/>
                      <w:lang w:val="en-US" w:eastAsia="zh-CN" w:bidi="ar"/>
                    </w:rPr>
                    <w:t>属于</w:t>
                  </w:r>
                  <w:r>
                    <w:rPr>
                      <w:rFonts w:hint="default" w:ascii="Times New Roman" w:hAnsi="Times New Roman" w:eastAsia="宋体" w:cs="Times New Roman"/>
                      <w:b w:val="0"/>
                      <w:bCs w:val="0"/>
                      <w:color w:val="auto"/>
                      <w:kern w:val="2"/>
                      <w:sz w:val="21"/>
                      <w:szCs w:val="21"/>
                      <w:highlight w:val="none"/>
                      <w:lang w:val="en-US" w:eastAsia="zh-CN" w:bidi="ar-SA"/>
                    </w:rPr>
                    <w:t>《危险化学品重大危险源辨识》（GB18218-2018）</w:t>
                  </w:r>
                  <w:r>
                    <w:rPr>
                      <w:rFonts w:hint="eastAsia" w:ascii="Times New Roman" w:hAnsi="Times New Roman" w:cs="Times New Roman"/>
                      <w:b w:val="0"/>
                      <w:bCs w:val="0"/>
                      <w:color w:val="auto"/>
                      <w:kern w:val="2"/>
                      <w:sz w:val="21"/>
                      <w:szCs w:val="21"/>
                      <w:highlight w:val="none"/>
                      <w:lang w:val="en-US" w:eastAsia="zh-CN" w:bidi="ar-SA"/>
                    </w:rPr>
                    <w:t>表2氧化性固体类别3的风险物质</w:t>
                  </w:r>
                </w:p>
              </w:tc>
              <w:tc>
                <w:tcPr>
                  <w:tcW w:w="425" w:type="pct"/>
                  <w:noWrap w:val="0"/>
                  <w:vAlign w:val="center"/>
                </w:tcPr>
                <w:p w14:paraId="22331906">
                  <w:pPr>
                    <w:widowControl/>
                    <w:jc w:val="center"/>
                    <w:textAlignment w:val="center"/>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kern w:val="0"/>
                      <w:sz w:val="21"/>
                      <w:szCs w:val="21"/>
                      <w:highlight w:val="none"/>
                      <w:lang w:eastAsia="zh-CN" w:bidi="ar"/>
                    </w:rPr>
                    <w:t>是</w:t>
                  </w:r>
                </w:p>
              </w:tc>
              <w:tc>
                <w:tcPr>
                  <w:tcW w:w="378" w:type="pct"/>
                  <w:noWrap w:val="0"/>
                  <w:vAlign w:val="center"/>
                </w:tcPr>
                <w:p w14:paraId="7A00B276">
                  <w:pPr>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sz w:val="21"/>
                      <w:szCs w:val="21"/>
                      <w:highlight w:val="none"/>
                      <w:lang w:val="en-US" w:eastAsia="zh-CN"/>
                    </w:rPr>
                    <w:t>200</w:t>
                  </w:r>
                </w:p>
              </w:tc>
            </w:tr>
            <w:tr w14:paraId="538F06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53" w:type="pct"/>
                  <w:noWrap w:val="0"/>
                  <w:vAlign w:val="center"/>
                </w:tcPr>
                <w:p w14:paraId="4BFDFDE8">
                  <w:pPr>
                    <w:widowControl/>
                    <w:jc w:val="center"/>
                    <w:textAlignment w:val="center"/>
                    <w:rPr>
                      <w:rFonts w:hint="default" w:ascii="Times New Roman" w:hAnsi="Times New Roman" w:eastAsia="宋体" w:cs="Times New Roman"/>
                      <w:b w:val="0"/>
                      <w:bCs w:val="0"/>
                      <w:color w:val="auto"/>
                      <w:kern w:val="0"/>
                      <w:sz w:val="21"/>
                      <w:szCs w:val="21"/>
                      <w:highlight w:val="none"/>
                      <w:lang w:val="en-US" w:eastAsia="zh-CN" w:bidi="ar"/>
                    </w:rPr>
                  </w:pPr>
                  <w:r>
                    <w:rPr>
                      <w:rFonts w:hint="eastAsia" w:cs="Times New Roman"/>
                      <w:b w:val="0"/>
                      <w:bCs w:val="0"/>
                      <w:color w:val="auto"/>
                      <w:kern w:val="0"/>
                      <w:sz w:val="21"/>
                      <w:szCs w:val="21"/>
                      <w:highlight w:val="none"/>
                      <w:lang w:val="en-US" w:eastAsia="zh-CN" w:bidi="ar"/>
                    </w:rPr>
                    <w:t>31</w:t>
                  </w:r>
                </w:p>
              </w:tc>
              <w:tc>
                <w:tcPr>
                  <w:tcW w:w="621" w:type="pct"/>
                  <w:noWrap w:val="0"/>
                  <w:vAlign w:val="center"/>
                </w:tcPr>
                <w:p w14:paraId="00526C2E">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氯化钡</w:t>
                  </w:r>
                </w:p>
              </w:tc>
              <w:tc>
                <w:tcPr>
                  <w:tcW w:w="576" w:type="pct"/>
                  <w:noWrap w:val="0"/>
                  <w:vAlign w:val="center"/>
                </w:tcPr>
                <w:p w14:paraId="45DA2F58">
                  <w:pPr>
                    <w:jc w:val="center"/>
                    <w:rPr>
                      <w:rFonts w:hint="default" w:ascii="Times New Roman" w:hAnsi="Times New Roman" w:cs="Times New Roman"/>
                      <w:color w:val="auto"/>
                      <w:sz w:val="21"/>
                      <w:szCs w:val="21"/>
                      <w:highlight w:val="none"/>
                    </w:rPr>
                  </w:pPr>
                  <w:r>
                    <w:rPr>
                      <w:rFonts w:hint="default" w:ascii="Times New Roman" w:hAnsi="Times New Roman" w:cs="Times New Roman"/>
                      <w:bCs/>
                      <w:color w:val="auto"/>
                      <w:sz w:val="21"/>
                      <w:szCs w:val="21"/>
                      <w:highlight w:val="none"/>
                    </w:rPr>
                    <w:t>500g</w:t>
                  </w:r>
                  <w:r>
                    <w:rPr>
                      <w:rFonts w:hint="eastAsia" w:cs="Times New Roman"/>
                      <w:bCs/>
                      <w:color w:val="auto"/>
                      <w:sz w:val="21"/>
                      <w:szCs w:val="21"/>
                      <w:highlight w:val="none"/>
                      <w:lang w:val="en-US" w:eastAsia="zh-CN"/>
                    </w:rPr>
                    <w:t>/瓶</w:t>
                  </w:r>
                </w:p>
              </w:tc>
              <w:tc>
                <w:tcPr>
                  <w:tcW w:w="534" w:type="pct"/>
                  <w:noWrap w:val="0"/>
                  <w:vAlign w:val="center"/>
                </w:tcPr>
                <w:p w14:paraId="47A5FF12">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2.5kg</w:t>
                  </w:r>
                </w:p>
              </w:tc>
              <w:tc>
                <w:tcPr>
                  <w:tcW w:w="596" w:type="pct"/>
                  <w:noWrap w:val="0"/>
                  <w:vAlign w:val="center"/>
                </w:tcPr>
                <w:p w14:paraId="482819C4">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2.5kg</w:t>
                  </w:r>
                </w:p>
              </w:tc>
              <w:tc>
                <w:tcPr>
                  <w:tcW w:w="1614" w:type="pct"/>
                  <w:noWrap w:val="0"/>
                  <w:vAlign w:val="center"/>
                </w:tcPr>
                <w:p w14:paraId="4CC3E148">
                  <w:pPr>
                    <w:widowControl/>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bidi="ar"/>
                    </w:rPr>
                    <w:t>氯化钡，是一种无机化合物，化学式BaCl</w:t>
                  </w:r>
                  <w:r>
                    <w:rPr>
                      <w:rFonts w:hint="default" w:ascii="Times New Roman" w:hAnsi="Times New Roman" w:eastAsia="宋体" w:cs="Times New Roman"/>
                      <w:color w:val="auto"/>
                      <w:kern w:val="0"/>
                      <w:sz w:val="21"/>
                      <w:szCs w:val="21"/>
                      <w:highlight w:val="none"/>
                      <w:vertAlign w:val="subscript"/>
                      <w:lang w:bidi="ar"/>
                    </w:rPr>
                    <w:t>2</w:t>
                  </w:r>
                  <w:r>
                    <w:rPr>
                      <w:rFonts w:hint="default" w:ascii="Times New Roman" w:hAnsi="Times New Roman" w:eastAsia="宋体" w:cs="Times New Roman"/>
                      <w:color w:val="auto"/>
                      <w:kern w:val="0"/>
                      <w:sz w:val="21"/>
                      <w:szCs w:val="21"/>
                      <w:highlight w:val="none"/>
                      <w:lang w:bidi="ar"/>
                    </w:rPr>
                    <w:t>，是白色的晶体</w:t>
                  </w:r>
                  <w:r>
                    <w:rPr>
                      <w:rFonts w:hint="eastAsia" w:cs="Times New Roman"/>
                      <w:color w:val="auto"/>
                      <w:kern w:val="0"/>
                      <w:sz w:val="21"/>
                      <w:szCs w:val="21"/>
                      <w:highlight w:val="none"/>
                      <w:lang w:val="en-US" w:eastAsia="zh-CN" w:bidi="ar"/>
                    </w:rPr>
                    <w:t>粉末</w:t>
                  </w:r>
                  <w:r>
                    <w:rPr>
                      <w:rFonts w:hint="default" w:ascii="Times New Roman" w:hAnsi="Times New Roman" w:eastAsia="宋体" w:cs="Times New Roman"/>
                      <w:color w:val="auto"/>
                      <w:kern w:val="0"/>
                      <w:sz w:val="21"/>
                      <w:szCs w:val="21"/>
                      <w:highlight w:val="none"/>
                      <w:lang w:bidi="ar"/>
                    </w:rPr>
                    <w:t>，密度</w:t>
                  </w:r>
                  <w:r>
                    <w:rPr>
                      <w:rFonts w:hint="default" w:ascii="Times New Roman" w:hAnsi="Times New Roman" w:eastAsia="宋体" w:cs="Times New Roman"/>
                      <w:color w:val="auto"/>
                      <w:kern w:val="0"/>
                      <w:sz w:val="21"/>
                      <w:szCs w:val="21"/>
                      <w:highlight w:val="none"/>
                      <w:lang w:val="en-US" w:eastAsia="zh-CN" w:bidi="ar"/>
                    </w:rPr>
                    <w:t>3.856</w:t>
                  </w:r>
                  <w:r>
                    <w:rPr>
                      <w:rFonts w:hint="default" w:ascii="Times New Roman" w:hAnsi="Times New Roman" w:eastAsia="宋体" w:cs="Times New Roman"/>
                      <w:color w:val="auto"/>
                      <w:kern w:val="0"/>
                      <w:sz w:val="21"/>
                      <w:szCs w:val="21"/>
                      <w:highlight w:val="none"/>
                      <w:lang w:bidi="ar"/>
                    </w:rPr>
                    <w:t>g/</w:t>
                  </w:r>
                  <w:r>
                    <w:rPr>
                      <w:rFonts w:hint="eastAsia" w:cs="Times New Roman"/>
                      <w:color w:val="auto"/>
                      <w:kern w:val="0"/>
                      <w:sz w:val="21"/>
                      <w:szCs w:val="21"/>
                      <w:highlight w:val="none"/>
                      <w:lang w:val="en-US" w:eastAsia="zh-CN" w:bidi="ar"/>
                    </w:rPr>
                    <w:t>cm</w:t>
                  </w:r>
                  <w:r>
                    <w:rPr>
                      <w:rFonts w:hint="eastAsia" w:cs="Times New Roman"/>
                      <w:color w:val="auto"/>
                      <w:kern w:val="0"/>
                      <w:sz w:val="21"/>
                      <w:szCs w:val="21"/>
                      <w:highlight w:val="none"/>
                      <w:vertAlign w:val="superscript"/>
                      <w:lang w:val="en-US" w:eastAsia="zh-CN" w:bidi="ar"/>
                    </w:rPr>
                    <w:t>3</w:t>
                  </w:r>
                  <w:r>
                    <w:rPr>
                      <w:rFonts w:hint="default" w:ascii="Times New Roman" w:hAnsi="Times New Roman" w:eastAsia="宋体" w:cs="Times New Roman"/>
                      <w:color w:val="auto"/>
                      <w:kern w:val="0"/>
                      <w:sz w:val="21"/>
                      <w:szCs w:val="21"/>
                      <w:highlight w:val="none"/>
                      <w:lang w:bidi="ar"/>
                    </w:rPr>
                    <w:t>，</w:t>
                  </w:r>
                  <w:r>
                    <w:rPr>
                      <w:rFonts w:hint="eastAsia" w:cs="Times New Roman"/>
                      <w:color w:val="auto"/>
                      <w:kern w:val="0"/>
                      <w:sz w:val="21"/>
                      <w:szCs w:val="21"/>
                      <w:highlight w:val="none"/>
                      <w:lang w:val="en-US" w:eastAsia="zh-CN" w:bidi="ar"/>
                    </w:rPr>
                    <w:t>无气味，</w:t>
                  </w:r>
                  <w:r>
                    <w:rPr>
                      <w:rFonts w:hint="default" w:ascii="Times New Roman" w:hAnsi="Times New Roman" w:eastAsia="宋体" w:cs="Times New Roman"/>
                      <w:color w:val="auto"/>
                      <w:kern w:val="0"/>
                      <w:sz w:val="21"/>
                      <w:szCs w:val="21"/>
                      <w:highlight w:val="none"/>
                      <w:lang w:bidi="ar"/>
                    </w:rPr>
                    <w:t>熔点</w:t>
                  </w:r>
                  <w:r>
                    <w:rPr>
                      <w:rFonts w:hint="default" w:ascii="Times New Roman" w:hAnsi="Times New Roman" w:eastAsia="宋体" w:cs="Times New Roman"/>
                      <w:color w:val="auto"/>
                      <w:kern w:val="0"/>
                      <w:sz w:val="21"/>
                      <w:szCs w:val="21"/>
                      <w:highlight w:val="none"/>
                      <w:lang w:val="en-US" w:eastAsia="zh-CN" w:bidi="ar"/>
                    </w:rPr>
                    <w:t>960</w:t>
                  </w:r>
                  <w:r>
                    <w:rPr>
                      <w:rFonts w:hint="default" w:ascii="Times New Roman" w:hAnsi="Times New Roman" w:eastAsia="宋体" w:cs="Times New Roman"/>
                      <w:color w:val="auto"/>
                      <w:kern w:val="0"/>
                      <w:sz w:val="21"/>
                      <w:szCs w:val="21"/>
                      <w:highlight w:val="none"/>
                      <w:lang w:bidi="ar"/>
                    </w:rPr>
                    <w:t>℃，沸点</w:t>
                  </w:r>
                  <w:r>
                    <w:rPr>
                      <w:rFonts w:hint="default" w:ascii="Times New Roman" w:hAnsi="Times New Roman" w:eastAsia="宋体" w:cs="Times New Roman"/>
                      <w:color w:val="auto"/>
                      <w:kern w:val="0"/>
                      <w:sz w:val="21"/>
                      <w:szCs w:val="21"/>
                      <w:highlight w:val="none"/>
                      <w:lang w:val="en-US" w:eastAsia="zh-CN" w:bidi="ar"/>
                    </w:rPr>
                    <w:t>1560</w:t>
                  </w:r>
                  <w:r>
                    <w:rPr>
                      <w:rFonts w:hint="default" w:ascii="Times New Roman" w:hAnsi="Times New Roman" w:eastAsia="宋体" w:cs="Times New Roman"/>
                      <w:color w:val="auto"/>
                      <w:kern w:val="0"/>
                      <w:sz w:val="21"/>
                      <w:szCs w:val="21"/>
                      <w:highlight w:val="none"/>
                      <w:lang w:bidi="ar"/>
                    </w:rPr>
                    <w:t>℃</w:t>
                  </w:r>
                  <w:r>
                    <w:rPr>
                      <w:rFonts w:hint="eastAsia" w:cs="Times New Roman"/>
                      <w:color w:val="auto"/>
                      <w:kern w:val="0"/>
                      <w:sz w:val="21"/>
                      <w:szCs w:val="21"/>
                      <w:highlight w:val="none"/>
                      <w:lang w:eastAsia="zh-CN" w:bidi="ar"/>
                    </w:rPr>
                    <w:t>。</w:t>
                  </w:r>
                  <w:r>
                    <w:rPr>
                      <w:rFonts w:hint="default" w:ascii="Times New Roman" w:hAnsi="Times New Roman" w:eastAsia="宋体" w:cs="Times New Roman"/>
                      <w:color w:val="auto"/>
                      <w:kern w:val="0"/>
                      <w:sz w:val="21"/>
                      <w:szCs w:val="21"/>
                      <w:highlight w:val="none"/>
                      <w:lang w:bidi="ar"/>
                    </w:rPr>
                    <w:t>易溶于水，微溶于盐酸和硝酸，难溶于乙醇和乙醚，易吸湿</w:t>
                  </w:r>
                  <w:r>
                    <w:rPr>
                      <w:rFonts w:hint="eastAsia" w:cs="Times New Roman"/>
                      <w:color w:val="auto"/>
                      <w:kern w:val="0"/>
                      <w:sz w:val="21"/>
                      <w:szCs w:val="21"/>
                      <w:highlight w:val="none"/>
                      <w:lang w:eastAsia="zh-CN" w:bidi="ar"/>
                    </w:rPr>
                    <w:t>。</w:t>
                  </w:r>
                  <w:r>
                    <w:rPr>
                      <w:rFonts w:hint="default" w:ascii="Times New Roman" w:hAnsi="Times New Roman" w:eastAsia="宋体" w:cs="Times New Roman"/>
                      <w:i w:val="0"/>
                      <w:iCs w:val="0"/>
                      <w:caps w:val="0"/>
                      <w:color w:val="auto"/>
                      <w:spacing w:val="0"/>
                      <w:sz w:val="21"/>
                      <w:szCs w:val="21"/>
                      <w:highlight w:val="none"/>
                      <w:lang w:eastAsia="zh-CN"/>
                    </w:rPr>
                    <w:t>属于风险导则附录</w:t>
                  </w:r>
                  <w:r>
                    <w:rPr>
                      <w:rFonts w:hint="default" w:ascii="Times New Roman" w:hAnsi="Times New Roman" w:eastAsia="宋体" w:cs="Times New Roman"/>
                      <w:i w:val="0"/>
                      <w:iCs w:val="0"/>
                      <w:caps w:val="0"/>
                      <w:color w:val="auto"/>
                      <w:spacing w:val="0"/>
                      <w:sz w:val="21"/>
                      <w:szCs w:val="21"/>
                      <w:highlight w:val="none"/>
                      <w:lang w:eastAsia="zh-CN"/>
                    </w:rPr>
                    <w:t>B</w:t>
                  </w:r>
                  <w:r>
                    <w:rPr>
                      <w:rFonts w:hint="eastAsia" w:cs="Times New Roman"/>
                      <w:i w:val="0"/>
                      <w:iCs w:val="0"/>
                      <w:caps w:val="0"/>
                      <w:color w:val="auto"/>
                      <w:spacing w:val="0"/>
                      <w:sz w:val="21"/>
                      <w:szCs w:val="21"/>
                      <w:highlight w:val="none"/>
                      <w:lang w:val="en-US" w:eastAsia="zh-CN"/>
                    </w:rPr>
                    <w:t>.2</w:t>
                  </w:r>
                  <w:r>
                    <w:rPr>
                      <w:rFonts w:ascii="宋体" w:hAnsi="宋体" w:eastAsia="宋体" w:cs="宋体"/>
                      <w:color w:val="auto"/>
                      <w:sz w:val="21"/>
                      <w:szCs w:val="21"/>
                      <w:highlight w:val="none"/>
                    </w:rPr>
                    <w:t>健康危险急性毒性物质（类别</w:t>
                  </w:r>
                  <w:r>
                    <w:rPr>
                      <w:rFonts w:ascii="宋体" w:hAnsi="宋体" w:eastAsia="宋体" w:cs="宋体"/>
                      <w:color w:val="auto"/>
                      <w:spacing w:val="-46"/>
                      <w:sz w:val="21"/>
                      <w:szCs w:val="21"/>
                      <w:highlight w:val="none"/>
                    </w:rPr>
                    <w:t xml:space="preserve"> </w:t>
                  </w:r>
                  <w:r>
                    <w:rPr>
                      <w:rFonts w:ascii="Times New Roman" w:hAnsi="Times New Roman" w:eastAsia="Times New Roman" w:cs="Times New Roman"/>
                      <w:color w:val="auto"/>
                      <w:sz w:val="21"/>
                      <w:szCs w:val="21"/>
                      <w:highlight w:val="none"/>
                    </w:rPr>
                    <w:t>3</w:t>
                  </w:r>
                  <w:r>
                    <w:rPr>
                      <w:rFonts w:ascii="宋体" w:hAnsi="宋体" w:eastAsia="宋体" w:cs="宋体"/>
                      <w:color w:val="auto"/>
                      <w:sz w:val="21"/>
                      <w:szCs w:val="21"/>
                      <w:highlight w:val="none"/>
                    </w:rPr>
                    <w:t>）</w:t>
                  </w:r>
                  <w:r>
                    <w:rPr>
                      <w:rFonts w:hint="default" w:ascii="Times New Roman" w:hAnsi="Times New Roman" w:eastAsia="宋体" w:cs="Times New Roman"/>
                      <w:i w:val="0"/>
                      <w:iCs w:val="0"/>
                      <w:caps w:val="0"/>
                      <w:color w:val="auto"/>
                      <w:spacing w:val="0"/>
                      <w:sz w:val="21"/>
                      <w:szCs w:val="21"/>
                      <w:highlight w:val="none"/>
                      <w:lang w:eastAsia="zh-CN"/>
                    </w:rPr>
                    <w:t>的风险物质</w:t>
                  </w:r>
                </w:p>
              </w:tc>
              <w:tc>
                <w:tcPr>
                  <w:tcW w:w="425" w:type="pct"/>
                  <w:noWrap w:val="0"/>
                  <w:vAlign w:val="center"/>
                </w:tcPr>
                <w:p w14:paraId="160B78DC">
                  <w:pPr>
                    <w:widowControl/>
                    <w:jc w:val="center"/>
                    <w:textAlignment w:val="center"/>
                    <w:rPr>
                      <w:rFonts w:hint="eastAsia" w:ascii="Times New Roman" w:hAnsi="Times New Roman" w:eastAsia="宋体" w:cs="Times New Roman"/>
                      <w:color w:val="auto"/>
                      <w:sz w:val="21"/>
                      <w:szCs w:val="21"/>
                      <w:highlight w:val="none"/>
                      <w:lang w:eastAsia="zh-CN"/>
                    </w:rPr>
                  </w:pPr>
                  <w:r>
                    <w:rPr>
                      <w:rFonts w:hint="eastAsia" w:cs="Times New Roman"/>
                      <w:color w:val="auto"/>
                      <w:kern w:val="0"/>
                      <w:sz w:val="21"/>
                      <w:szCs w:val="21"/>
                      <w:highlight w:val="none"/>
                      <w:lang w:eastAsia="zh-CN" w:bidi="ar"/>
                    </w:rPr>
                    <w:t>是</w:t>
                  </w:r>
                </w:p>
              </w:tc>
              <w:tc>
                <w:tcPr>
                  <w:tcW w:w="378" w:type="pct"/>
                  <w:noWrap w:val="0"/>
                  <w:vAlign w:val="center"/>
                </w:tcPr>
                <w:p w14:paraId="59DF167A">
                  <w:pPr>
                    <w:jc w:val="center"/>
                    <w:rPr>
                      <w:rFonts w:hint="default" w:ascii="Times New Roman" w:hAnsi="Times New Roman" w:cs="Times New Roman"/>
                      <w:b w:val="0"/>
                      <w:bCs w:val="0"/>
                      <w:color w:val="auto"/>
                      <w:sz w:val="21"/>
                      <w:szCs w:val="21"/>
                      <w:highlight w:val="none"/>
                      <w:lang w:val="en-US"/>
                    </w:rPr>
                  </w:pPr>
                  <w:r>
                    <w:rPr>
                      <w:rFonts w:hint="eastAsia" w:cs="Times New Roman"/>
                      <w:b w:val="0"/>
                      <w:bCs w:val="0"/>
                      <w:color w:val="auto"/>
                      <w:sz w:val="21"/>
                      <w:szCs w:val="21"/>
                      <w:highlight w:val="none"/>
                      <w:lang w:val="en-US" w:eastAsia="zh-CN"/>
                    </w:rPr>
                    <w:t>50</w:t>
                  </w:r>
                </w:p>
              </w:tc>
            </w:tr>
            <w:tr w14:paraId="7442C2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53" w:type="pct"/>
                  <w:noWrap w:val="0"/>
                  <w:vAlign w:val="center"/>
                </w:tcPr>
                <w:p w14:paraId="43EA616F">
                  <w:pPr>
                    <w:widowControl/>
                    <w:jc w:val="center"/>
                    <w:textAlignment w:val="center"/>
                    <w:rPr>
                      <w:rFonts w:hint="default" w:ascii="Times New Roman" w:hAnsi="Times New Roman" w:eastAsia="宋体" w:cs="Times New Roman"/>
                      <w:b w:val="0"/>
                      <w:bCs w:val="0"/>
                      <w:color w:val="auto"/>
                      <w:kern w:val="0"/>
                      <w:sz w:val="21"/>
                      <w:szCs w:val="21"/>
                      <w:highlight w:val="none"/>
                      <w:lang w:val="en-US" w:eastAsia="zh-CN" w:bidi="ar"/>
                    </w:rPr>
                  </w:pPr>
                  <w:r>
                    <w:rPr>
                      <w:rFonts w:hint="eastAsia" w:cs="Times New Roman"/>
                      <w:b w:val="0"/>
                      <w:bCs w:val="0"/>
                      <w:color w:val="auto"/>
                      <w:kern w:val="0"/>
                      <w:sz w:val="21"/>
                      <w:szCs w:val="21"/>
                      <w:highlight w:val="none"/>
                      <w:lang w:val="en-US" w:eastAsia="zh-CN" w:bidi="ar"/>
                    </w:rPr>
                    <w:t>32</w:t>
                  </w:r>
                </w:p>
              </w:tc>
              <w:tc>
                <w:tcPr>
                  <w:tcW w:w="621" w:type="pct"/>
                  <w:noWrap w:val="0"/>
                  <w:vAlign w:val="center"/>
                </w:tcPr>
                <w:p w14:paraId="300129E0">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高锰酸钾</w:t>
                  </w:r>
                </w:p>
              </w:tc>
              <w:tc>
                <w:tcPr>
                  <w:tcW w:w="576" w:type="pct"/>
                  <w:noWrap w:val="0"/>
                  <w:vAlign w:val="center"/>
                </w:tcPr>
                <w:p w14:paraId="1580C990">
                  <w:pPr>
                    <w:jc w:val="center"/>
                    <w:rPr>
                      <w:rFonts w:hint="default" w:ascii="Times New Roman" w:hAnsi="Times New Roman" w:cs="Times New Roman"/>
                      <w:color w:val="auto"/>
                      <w:sz w:val="21"/>
                      <w:szCs w:val="21"/>
                      <w:highlight w:val="none"/>
                    </w:rPr>
                  </w:pPr>
                  <w:r>
                    <w:rPr>
                      <w:rFonts w:hint="default" w:ascii="Times New Roman" w:hAnsi="Times New Roman" w:cs="Times New Roman"/>
                      <w:bCs/>
                      <w:color w:val="auto"/>
                      <w:sz w:val="21"/>
                      <w:szCs w:val="21"/>
                      <w:highlight w:val="none"/>
                    </w:rPr>
                    <w:t>500g</w:t>
                  </w:r>
                  <w:r>
                    <w:rPr>
                      <w:rFonts w:hint="eastAsia" w:cs="Times New Roman"/>
                      <w:bCs/>
                      <w:color w:val="auto"/>
                      <w:sz w:val="21"/>
                      <w:szCs w:val="21"/>
                      <w:highlight w:val="none"/>
                      <w:lang w:val="en-US" w:eastAsia="zh-CN"/>
                    </w:rPr>
                    <w:t>/瓶</w:t>
                  </w:r>
                </w:p>
              </w:tc>
              <w:tc>
                <w:tcPr>
                  <w:tcW w:w="534" w:type="pct"/>
                  <w:noWrap w:val="0"/>
                  <w:vAlign w:val="center"/>
                </w:tcPr>
                <w:p w14:paraId="183BAB89">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0.5kg</w:t>
                  </w:r>
                </w:p>
              </w:tc>
              <w:tc>
                <w:tcPr>
                  <w:tcW w:w="596" w:type="pct"/>
                  <w:noWrap w:val="0"/>
                  <w:vAlign w:val="center"/>
                </w:tcPr>
                <w:p w14:paraId="652D2F7D">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0.5kg</w:t>
                  </w:r>
                </w:p>
              </w:tc>
              <w:tc>
                <w:tcPr>
                  <w:tcW w:w="1614" w:type="pct"/>
                  <w:noWrap w:val="0"/>
                  <w:vAlign w:val="center"/>
                </w:tcPr>
                <w:p w14:paraId="14A1ABE6">
                  <w:pPr>
                    <w:widowControl/>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深紫色细长斜方柱状结晶</w:t>
                  </w:r>
                  <w:r>
                    <w:rPr>
                      <w:rFonts w:hint="eastAsia" w:cs="Times New Roman"/>
                      <w:color w:val="auto"/>
                      <w:kern w:val="0"/>
                      <w:sz w:val="21"/>
                      <w:szCs w:val="21"/>
                      <w:highlight w:val="none"/>
                      <w:lang w:val="en-US" w:eastAsia="zh-CN" w:bidi="ar"/>
                    </w:rPr>
                    <w:t>块末</w:t>
                  </w:r>
                  <w:r>
                    <w:rPr>
                      <w:rFonts w:hint="default" w:ascii="Times New Roman" w:hAnsi="Times New Roman" w:eastAsia="宋体" w:cs="Times New Roman"/>
                      <w:color w:val="auto"/>
                      <w:kern w:val="0"/>
                      <w:sz w:val="21"/>
                      <w:szCs w:val="21"/>
                      <w:highlight w:val="none"/>
                      <w:lang w:bidi="ar"/>
                    </w:rPr>
                    <w:t>，</w:t>
                  </w:r>
                  <w:r>
                    <w:rPr>
                      <w:rFonts w:hint="eastAsia" w:cs="Times New Roman"/>
                      <w:color w:val="auto"/>
                      <w:kern w:val="0"/>
                      <w:sz w:val="21"/>
                      <w:szCs w:val="21"/>
                      <w:highlight w:val="none"/>
                      <w:lang w:val="en-US" w:eastAsia="zh-CN" w:bidi="ar"/>
                    </w:rPr>
                    <w:t>无气味，</w:t>
                  </w:r>
                  <w:r>
                    <w:rPr>
                      <w:rFonts w:hint="default" w:ascii="Times New Roman" w:hAnsi="Times New Roman" w:eastAsia="宋体" w:cs="Times New Roman"/>
                      <w:color w:val="auto"/>
                      <w:kern w:val="0"/>
                      <w:sz w:val="21"/>
                      <w:szCs w:val="21"/>
                      <w:highlight w:val="none"/>
                      <w:lang w:bidi="ar"/>
                    </w:rPr>
                    <w:t>有金属光泽。相对密度</w:t>
                  </w:r>
                  <w:r>
                    <w:rPr>
                      <w:rFonts w:hint="eastAsia" w:cs="Times New Roman"/>
                      <w:color w:val="auto"/>
                      <w:kern w:val="0"/>
                      <w:sz w:val="21"/>
                      <w:szCs w:val="21"/>
                      <w:highlight w:val="none"/>
                      <w:lang w:val="en-US" w:eastAsia="zh-CN" w:bidi="ar"/>
                    </w:rPr>
                    <w:t>为1.01g/cm</w:t>
                  </w:r>
                  <w:r>
                    <w:rPr>
                      <w:rFonts w:hint="eastAsia" w:cs="Times New Roman"/>
                      <w:color w:val="auto"/>
                      <w:kern w:val="0"/>
                      <w:sz w:val="21"/>
                      <w:szCs w:val="21"/>
                      <w:highlight w:val="none"/>
                      <w:vertAlign w:val="superscript"/>
                      <w:lang w:val="en-US" w:eastAsia="zh-CN" w:bidi="ar"/>
                    </w:rPr>
                    <w:t>3</w:t>
                  </w:r>
                  <w:r>
                    <w:rPr>
                      <w:rFonts w:hint="default" w:ascii="Times New Roman" w:hAnsi="Times New Roman" w:eastAsia="宋体" w:cs="Times New Roman"/>
                      <w:color w:val="auto"/>
                      <w:kern w:val="0"/>
                      <w:sz w:val="21"/>
                      <w:szCs w:val="21"/>
                      <w:highlight w:val="none"/>
                      <w:lang w:bidi="ar"/>
                    </w:rPr>
                    <w:t>，相对分子质量为158.03395，</w:t>
                  </w:r>
                  <w:r>
                    <w:rPr>
                      <w:rFonts w:hint="eastAsia" w:ascii="宋体" w:hAnsi="宋体" w:eastAsia="宋体" w:cs="宋体"/>
                      <w:i w:val="0"/>
                      <w:iCs w:val="0"/>
                      <w:caps w:val="0"/>
                      <w:color w:val="auto"/>
                      <w:spacing w:val="0"/>
                      <w:sz w:val="21"/>
                      <w:szCs w:val="21"/>
                      <w:highlight w:val="none"/>
                      <w:shd w:val="clear" w:fill="FFFFFF"/>
                    </w:rPr>
                    <w:t>熔点为240</w:t>
                  </w:r>
                  <w:r>
                    <w:rPr>
                      <w:rFonts w:hint="eastAsia" w:ascii="宋体" w:hAnsi="宋体" w:cs="宋体"/>
                      <w:i w:val="0"/>
                      <w:iCs w:val="0"/>
                      <w:caps w:val="0"/>
                      <w:color w:val="auto"/>
                      <w:spacing w:val="0"/>
                      <w:sz w:val="21"/>
                      <w:szCs w:val="21"/>
                      <w:highlight w:val="none"/>
                      <w:shd w:val="clear" w:fill="FFFFFF"/>
                      <w:lang w:val="en-US" w:eastAsia="zh-CN"/>
                    </w:rPr>
                    <w:t>℃</w:t>
                  </w:r>
                  <w:r>
                    <w:rPr>
                      <w:rFonts w:hint="eastAsia" w:ascii="宋体" w:hAnsi="宋体" w:eastAsia="宋体" w:cs="宋体"/>
                      <w:i w:val="0"/>
                      <w:iCs w:val="0"/>
                      <w:caps w:val="0"/>
                      <w:color w:val="auto"/>
                      <w:spacing w:val="0"/>
                      <w:sz w:val="21"/>
                      <w:szCs w:val="21"/>
                      <w:highlight w:val="none"/>
                      <w:shd w:val="clear" w:fill="FFFFFF"/>
                    </w:rPr>
                    <w:t>，</w:t>
                  </w:r>
                  <w:r>
                    <w:rPr>
                      <w:rFonts w:hint="eastAsia" w:ascii="宋体" w:hAnsi="宋体" w:eastAsia="宋体" w:cs="宋体"/>
                      <w:i w:val="0"/>
                      <w:iCs w:val="0"/>
                      <w:caps w:val="0"/>
                      <w:color w:val="auto"/>
                      <w:spacing w:val="0"/>
                      <w:sz w:val="21"/>
                      <w:szCs w:val="21"/>
                      <w:highlight w:val="none"/>
                      <w:shd w:val="clear" w:fill="FFFFFF"/>
                      <w:lang w:val="en-US" w:eastAsia="zh-CN"/>
                    </w:rPr>
                    <w:t>可溶于水，</w:t>
                  </w:r>
                  <w:r>
                    <w:rPr>
                      <w:rFonts w:hint="eastAsia" w:ascii="宋体" w:hAnsi="宋体" w:eastAsia="宋体" w:cs="宋体"/>
                      <w:i w:val="0"/>
                      <w:iCs w:val="0"/>
                      <w:caps w:val="0"/>
                      <w:color w:val="auto"/>
                      <w:spacing w:val="0"/>
                      <w:sz w:val="21"/>
                      <w:szCs w:val="21"/>
                      <w:highlight w:val="none"/>
                    </w:rPr>
                    <w:t>对水生生物毒性极大并具有长期持续影响</w:t>
                  </w:r>
                  <w:r>
                    <w:rPr>
                      <w:rFonts w:hint="eastAsia" w:ascii="宋体" w:hAnsi="宋体" w:eastAsia="宋体" w:cs="宋体"/>
                      <w:i w:val="0"/>
                      <w:iCs w:val="0"/>
                      <w:caps w:val="0"/>
                      <w:color w:val="auto"/>
                      <w:spacing w:val="0"/>
                      <w:sz w:val="21"/>
                      <w:szCs w:val="21"/>
                      <w:highlight w:val="none"/>
                      <w:lang w:eastAsia="zh-CN"/>
                    </w:rPr>
                    <w:t>，</w:t>
                  </w:r>
                  <w:r>
                    <w:rPr>
                      <w:rFonts w:hint="eastAsia" w:ascii="宋体" w:hAnsi="宋体" w:eastAsia="宋体" w:cs="宋体"/>
                      <w:color w:val="auto"/>
                      <w:kern w:val="2"/>
                      <w:sz w:val="21"/>
                      <w:szCs w:val="21"/>
                      <w:highlight w:val="none"/>
                    </w:rPr>
                    <w:t>属于风险导则附录</w:t>
                  </w:r>
                  <w:r>
                    <w:rPr>
                      <w:rFonts w:hint="default" w:ascii="Times New Roman" w:hAnsi="Times New Roman" w:eastAsia="宋体" w:cs="Times New Roman"/>
                      <w:color w:val="auto"/>
                      <w:kern w:val="2"/>
                      <w:sz w:val="21"/>
                      <w:szCs w:val="21"/>
                      <w:highlight w:val="none"/>
                    </w:rPr>
                    <w:t>B</w:t>
                  </w:r>
                  <w:r>
                    <w:rPr>
                      <w:rFonts w:hint="default" w:ascii="Times New Roman" w:hAnsi="Times New Roman" w:eastAsia="宋体" w:cs="Times New Roman"/>
                      <w:color w:val="auto"/>
                      <w:kern w:val="2"/>
                      <w:sz w:val="21"/>
                      <w:szCs w:val="21"/>
                      <w:highlight w:val="none"/>
                      <w:lang w:val="en-US" w:eastAsia="zh-CN"/>
                    </w:rPr>
                    <w:t>.2</w:t>
                  </w:r>
                  <w:r>
                    <w:rPr>
                      <w:rFonts w:hint="default" w:ascii="Times New Roman" w:hAnsi="Times New Roman" w:eastAsia="宋体" w:cs="Times New Roman"/>
                      <w:color w:val="auto"/>
                      <w:sz w:val="21"/>
                      <w:szCs w:val="21"/>
                      <w:highlight w:val="none"/>
                    </w:rPr>
                    <w:t>危害水环境物质（急性毒性类别</w:t>
                  </w:r>
                  <w:r>
                    <w:rPr>
                      <w:rFonts w:hint="default" w:ascii="Times New Roman" w:hAnsi="Times New Roman" w:eastAsia="宋体" w:cs="Times New Roman"/>
                      <w:color w:val="auto"/>
                      <w:spacing w:val="-46"/>
                      <w:sz w:val="21"/>
                      <w:szCs w:val="21"/>
                      <w:highlight w:val="none"/>
                    </w:rPr>
                    <w:t xml:space="preserve"> </w:t>
                  </w:r>
                  <w:r>
                    <w:rPr>
                      <w:rFonts w:hint="default" w:ascii="Times New Roman" w:hAnsi="Times New Roman" w:eastAsia="宋体" w:cs="Times New Roman"/>
                      <w:color w:val="auto"/>
                      <w:sz w:val="21"/>
                      <w:szCs w:val="21"/>
                      <w:highlight w:val="none"/>
                    </w:rPr>
                    <w:t>1）</w:t>
                  </w:r>
                  <w:r>
                    <w:rPr>
                      <w:rFonts w:hint="eastAsia" w:ascii="宋体" w:hAnsi="宋体" w:eastAsia="宋体" w:cs="宋体"/>
                      <w:color w:val="auto"/>
                      <w:kern w:val="2"/>
                      <w:sz w:val="21"/>
                      <w:szCs w:val="21"/>
                      <w:highlight w:val="none"/>
                    </w:rPr>
                    <w:t>的风险物质。</w:t>
                  </w:r>
                </w:p>
              </w:tc>
              <w:tc>
                <w:tcPr>
                  <w:tcW w:w="425" w:type="pct"/>
                  <w:noWrap w:val="0"/>
                  <w:vAlign w:val="center"/>
                </w:tcPr>
                <w:p w14:paraId="05188940">
                  <w:pPr>
                    <w:widowControl/>
                    <w:jc w:val="center"/>
                    <w:textAlignment w:val="center"/>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kern w:val="0"/>
                      <w:sz w:val="21"/>
                      <w:szCs w:val="21"/>
                      <w:highlight w:val="none"/>
                      <w:lang w:eastAsia="zh-CN" w:bidi="ar"/>
                    </w:rPr>
                    <w:t>是</w:t>
                  </w:r>
                </w:p>
              </w:tc>
              <w:tc>
                <w:tcPr>
                  <w:tcW w:w="378" w:type="pct"/>
                  <w:noWrap w:val="0"/>
                  <w:vAlign w:val="center"/>
                </w:tcPr>
                <w:p w14:paraId="3D429B75">
                  <w:pPr>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sz w:val="21"/>
                      <w:szCs w:val="21"/>
                      <w:highlight w:val="none"/>
                      <w:lang w:val="en-US" w:eastAsia="zh-CN"/>
                    </w:rPr>
                    <w:t>100</w:t>
                  </w:r>
                </w:p>
              </w:tc>
            </w:tr>
            <w:tr w14:paraId="6EDBEA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53" w:type="pct"/>
                  <w:noWrap w:val="0"/>
                  <w:vAlign w:val="center"/>
                </w:tcPr>
                <w:p w14:paraId="71A9E995">
                  <w:pPr>
                    <w:widowControl/>
                    <w:jc w:val="center"/>
                    <w:textAlignment w:val="center"/>
                    <w:rPr>
                      <w:rFonts w:hint="default" w:ascii="Times New Roman" w:hAnsi="Times New Roman" w:eastAsia="宋体" w:cs="Times New Roman"/>
                      <w:b w:val="0"/>
                      <w:bCs w:val="0"/>
                      <w:color w:val="auto"/>
                      <w:kern w:val="0"/>
                      <w:sz w:val="21"/>
                      <w:szCs w:val="21"/>
                      <w:highlight w:val="none"/>
                      <w:lang w:val="en-US" w:eastAsia="zh-CN" w:bidi="ar"/>
                    </w:rPr>
                  </w:pPr>
                  <w:r>
                    <w:rPr>
                      <w:rFonts w:hint="eastAsia" w:cs="Times New Roman"/>
                      <w:b w:val="0"/>
                      <w:bCs w:val="0"/>
                      <w:color w:val="auto"/>
                      <w:kern w:val="0"/>
                      <w:sz w:val="21"/>
                      <w:szCs w:val="21"/>
                      <w:highlight w:val="none"/>
                      <w:lang w:val="en-US" w:eastAsia="zh-CN" w:bidi="ar"/>
                    </w:rPr>
                    <w:t>33</w:t>
                  </w:r>
                </w:p>
              </w:tc>
              <w:tc>
                <w:tcPr>
                  <w:tcW w:w="621" w:type="pct"/>
                  <w:noWrap w:val="0"/>
                  <w:vAlign w:val="center"/>
                </w:tcPr>
                <w:p w14:paraId="14CB3638">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二氧化硅</w:t>
                  </w:r>
                </w:p>
              </w:tc>
              <w:tc>
                <w:tcPr>
                  <w:tcW w:w="576" w:type="pct"/>
                  <w:noWrap w:val="0"/>
                  <w:vAlign w:val="center"/>
                </w:tcPr>
                <w:p w14:paraId="79C42433">
                  <w:pPr>
                    <w:tabs>
                      <w:tab w:val="left" w:pos="1088"/>
                    </w:tabs>
                    <w:jc w:val="center"/>
                    <w:rPr>
                      <w:rFonts w:hint="default" w:ascii="Times New Roman" w:hAnsi="Times New Roman" w:cs="Times New Roman"/>
                      <w:color w:val="auto"/>
                      <w:sz w:val="21"/>
                      <w:szCs w:val="21"/>
                      <w:highlight w:val="none"/>
                    </w:rPr>
                  </w:pPr>
                  <w:r>
                    <w:rPr>
                      <w:rFonts w:hint="default" w:ascii="Times New Roman" w:hAnsi="Times New Roman" w:cs="Times New Roman"/>
                      <w:bCs/>
                      <w:color w:val="auto"/>
                      <w:sz w:val="21"/>
                      <w:szCs w:val="21"/>
                      <w:highlight w:val="none"/>
                    </w:rPr>
                    <w:t>500g</w:t>
                  </w:r>
                  <w:r>
                    <w:rPr>
                      <w:rFonts w:hint="eastAsia" w:cs="Times New Roman"/>
                      <w:bCs/>
                      <w:color w:val="auto"/>
                      <w:sz w:val="21"/>
                      <w:szCs w:val="21"/>
                      <w:highlight w:val="none"/>
                      <w:lang w:val="en-US" w:eastAsia="zh-CN"/>
                    </w:rPr>
                    <w:t>/瓶</w:t>
                  </w:r>
                </w:p>
              </w:tc>
              <w:tc>
                <w:tcPr>
                  <w:tcW w:w="534" w:type="pct"/>
                  <w:noWrap w:val="0"/>
                  <w:vAlign w:val="center"/>
                </w:tcPr>
                <w:p w14:paraId="49EDCD96">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0.5kg</w:t>
                  </w:r>
                </w:p>
              </w:tc>
              <w:tc>
                <w:tcPr>
                  <w:tcW w:w="596" w:type="pct"/>
                  <w:noWrap w:val="0"/>
                  <w:vAlign w:val="center"/>
                </w:tcPr>
                <w:p w14:paraId="3EEC3B94">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0.5kg</w:t>
                  </w:r>
                </w:p>
              </w:tc>
              <w:tc>
                <w:tcPr>
                  <w:tcW w:w="1614" w:type="pct"/>
                  <w:noWrap w:val="0"/>
                  <w:vAlign w:val="center"/>
                </w:tcPr>
                <w:p w14:paraId="18ACE1F4">
                  <w:pPr>
                    <w:widowControl/>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bidi="ar"/>
                    </w:rPr>
                    <w:t>白色结晶</w:t>
                  </w:r>
                  <w:r>
                    <w:rPr>
                      <w:rFonts w:hint="eastAsia" w:cs="Times New Roman"/>
                      <w:color w:val="auto"/>
                      <w:kern w:val="0"/>
                      <w:sz w:val="21"/>
                      <w:szCs w:val="21"/>
                      <w:highlight w:val="none"/>
                      <w:lang w:val="en-US" w:eastAsia="zh-CN" w:bidi="ar"/>
                    </w:rPr>
                    <w:t>块末</w:t>
                  </w:r>
                  <w:r>
                    <w:rPr>
                      <w:rFonts w:hint="default" w:ascii="Times New Roman" w:hAnsi="Times New Roman" w:eastAsia="宋体" w:cs="Times New Roman"/>
                      <w:color w:val="auto"/>
                      <w:kern w:val="0"/>
                      <w:sz w:val="21"/>
                      <w:szCs w:val="21"/>
                      <w:highlight w:val="none"/>
                      <w:lang w:bidi="ar"/>
                    </w:rPr>
                    <w:t>，</w:t>
                  </w:r>
                  <w:r>
                    <w:rPr>
                      <w:rFonts w:hint="eastAsia" w:cs="Times New Roman"/>
                      <w:color w:val="auto"/>
                      <w:kern w:val="0"/>
                      <w:sz w:val="21"/>
                      <w:szCs w:val="21"/>
                      <w:highlight w:val="none"/>
                      <w:lang w:val="en-US" w:eastAsia="zh-CN" w:bidi="ar"/>
                    </w:rPr>
                    <w:t>无气味，</w:t>
                  </w:r>
                  <w:r>
                    <w:rPr>
                      <w:rFonts w:hint="default" w:ascii="Times New Roman" w:hAnsi="Times New Roman" w:eastAsia="宋体" w:cs="Times New Roman"/>
                      <w:color w:val="auto"/>
                      <w:kern w:val="0"/>
                      <w:sz w:val="21"/>
                      <w:szCs w:val="21"/>
                      <w:highlight w:val="none"/>
                      <w:lang w:bidi="ar"/>
                    </w:rPr>
                    <w:t>化学性质比较稳定。不溶于水也不跟水反应</w:t>
                  </w:r>
                  <w:r>
                    <w:rPr>
                      <w:rFonts w:hint="eastAsia" w:cs="Times New Roman"/>
                      <w:color w:val="auto"/>
                      <w:kern w:val="0"/>
                      <w:sz w:val="21"/>
                      <w:szCs w:val="21"/>
                      <w:highlight w:val="none"/>
                      <w:lang w:eastAsia="zh-CN" w:bidi="ar"/>
                    </w:rPr>
                    <w:t>，</w:t>
                  </w:r>
                  <w:r>
                    <w:rPr>
                      <w:rFonts w:hint="default" w:ascii="Times New Roman" w:hAnsi="Times New Roman" w:eastAsia="宋体" w:cs="Times New Roman"/>
                      <w:color w:val="auto"/>
                      <w:kern w:val="0"/>
                      <w:sz w:val="21"/>
                      <w:szCs w:val="21"/>
                      <w:highlight w:val="none"/>
                      <w:lang w:bidi="ar"/>
                    </w:rPr>
                    <w:t>是酸性氧化物，不跟一般酸反应。相对密度(水=1)</w:t>
                  </w:r>
                  <w:r>
                    <w:rPr>
                      <w:rFonts w:hint="eastAsia" w:cs="Times New Roman"/>
                      <w:color w:val="auto"/>
                      <w:kern w:val="0"/>
                      <w:sz w:val="21"/>
                      <w:szCs w:val="21"/>
                      <w:highlight w:val="none"/>
                      <w:lang w:val="en-US" w:eastAsia="zh-CN" w:bidi="ar"/>
                    </w:rPr>
                    <w:t>为2.38g/cm</w:t>
                  </w:r>
                  <w:r>
                    <w:rPr>
                      <w:rFonts w:hint="eastAsia" w:cs="Times New Roman"/>
                      <w:color w:val="auto"/>
                      <w:kern w:val="0"/>
                      <w:sz w:val="21"/>
                      <w:szCs w:val="21"/>
                      <w:highlight w:val="none"/>
                      <w:vertAlign w:val="superscript"/>
                      <w:lang w:val="en-US" w:eastAsia="zh-CN" w:bidi="ar"/>
                    </w:rPr>
                    <w:t>3</w:t>
                  </w:r>
                  <w:r>
                    <w:rPr>
                      <w:rFonts w:hint="eastAsia" w:cs="Times New Roman"/>
                      <w:color w:val="auto"/>
                      <w:kern w:val="0"/>
                      <w:sz w:val="21"/>
                      <w:szCs w:val="21"/>
                      <w:highlight w:val="none"/>
                      <w:lang w:val="en-US" w:eastAsia="zh-CN" w:bidi="ar"/>
                    </w:rPr>
                    <w:t>，</w:t>
                  </w:r>
                  <w:r>
                    <w:rPr>
                      <w:rFonts w:hint="default" w:ascii="Times New Roman" w:hAnsi="Times New Roman" w:eastAsia="宋体" w:cs="Times New Roman"/>
                      <w:color w:val="auto"/>
                      <w:kern w:val="0"/>
                      <w:sz w:val="21"/>
                      <w:szCs w:val="21"/>
                      <w:highlight w:val="none"/>
                      <w:lang w:bidi="ar"/>
                    </w:rPr>
                    <w:t>熔点1723℃，沸点2230℃</w:t>
                  </w:r>
                  <w:r>
                    <w:rPr>
                      <w:rFonts w:hint="eastAsia" w:cs="Times New Roman"/>
                      <w:color w:val="auto"/>
                      <w:kern w:val="0"/>
                      <w:sz w:val="21"/>
                      <w:szCs w:val="21"/>
                      <w:highlight w:val="none"/>
                      <w:lang w:val="en-US" w:eastAsia="zh-CN" w:bidi="ar"/>
                    </w:rPr>
                    <w:t>。</w:t>
                  </w:r>
                </w:p>
              </w:tc>
              <w:tc>
                <w:tcPr>
                  <w:tcW w:w="425" w:type="pct"/>
                  <w:noWrap w:val="0"/>
                  <w:vAlign w:val="center"/>
                </w:tcPr>
                <w:p w14:paraId="28CB8D1F">
                  <w:pPr>
                    <w:widowControl/>
                    <w:jc w:val="center"/>
                    <w:textAlignment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kern w:val="0"/>
                      <w:sz w:val="21"/>
                      <w:szCs w:val="21"/>
                      <w:highlight w:val="none"/>
                      <w:lang w:bidi="ar"/>
                    </w:rPr>
                    <w:t>否</w:t>
                  </w:r>
                </w:p>
              </w:tc>
              <w:tc>
                <w:tcPr>
                  <w:tcW w:w="378" w:type="pct"/>
                  <w:noWrap w:val="0"/>
                  <w:vAlign w:val="center"/>
                </w:tcPr>
                <w:p w14:paraId="67FACEB9">
                  <w:pPr>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sz w:val="21"/>
                      <w:szCs w:val="21"/>
                      <w:highlight w:val="none"/>
                      <w:lang w:val="en-US" w:eastAsia="zh-CN"/>
                    </w:rPr>
                    <w:t>/</w:t>
                  </w:r>
                </w:p>
              </w:tc>
            </w:tr>
            <w:tr w14:paraId="5A8FB4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53" w:type="pct"/>
                  <w:noWrap w:val="0"/>
                  <w:vAlign w:val="center"/>
                </w:tcPr>
                <w:p w14:paraId="584DD7D7">
                  <w:pPr>
                    <w:widowControl/>
                    <w:jc w:val="center"/>
                    <w:textAlignment w:val="center"/>
                    <w:rPr>
                      <w:rFonts w:hint="default" w:ascii="Times New Roman" w:hAnsi="Times New Roman" w:eastAsia="宋体" w:cs="Times New Roman"/>
                      <w:b w:val="0"/>
                      <w:bCs w:val="0"/>
                      <w:color w:val="auto"/>
                      <w:kern w:val="0"/>
                      <w:sz w:val="21"/>
                      <w:szCs w:val="21"/>
                      <w:highlight w:val="none"/>
                      <w:lang w:val="en-US" w:eastAsia="zh-CN" w:bidi="ar"/>
                    </w:rPr>
                  </w:pPr>
                  <w:r>
                    <w:rPr>
                      <w:rFonts w:hint="eastAsia" w:cs="Times New Roman"/>
                      <w:b w:val="0"/>
                      <w:bCs w:val="0"/>
                      <w:color w:val="auto"/>
                      <w:kern w:val="0"/>
                      <w:sz w:val="21"/>
                      <w:szCs w:val="21"/>
                      <w:highlight w:val="none"/>
                      <w:lang w:val="en-US" w:eastAsia="zh-CN" w:bidi="ar"/>
                    </w:rPr>
                    <w:t>34</w:t>
                  </w:r>
                </w:p>
              </w:tc>
              <w:tc>
                <w:tcPr>
                  <w:tcW w:w="621" w:type="pct"/>
                  <w:noWrap w:val="0"/>
                  <w:vAlign w:val="center"/>
                </w:tcPr>
                <w:p w14:paraId="0700B3BA">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氯化钾</w:t>
                  </w:r>
                </w:p>
              </w:tc>
              <w:tc>
                <w:tcPr>
                  <w:tcW w:w="576" w:type="pct"/>
                  <w:noWrap w:val="0"/>
                  <w:vAlign w:val="center"/>
                </w:tcPr>
                <w:p w14:paraId="01840CBF">
                  <w:pPr>
                    <w:tabs>
                      <w:tab w:val="left" w:pos="1088"/>
                    </w:tabs>
                    <w:jc w:val="center"/>
                    <w:rPr>
                      <w:rFonts w:hint="default" w:ascii="Times New Roman" w:hAnsi="Times New Roman" w:cs="Times New Roman"/>
                      <w:color w:val="auto"/>
                      <w:sz w:val="21"/>
                      <w:szCs w:val="21"/>
                      <w:highlight w:val="none"/>
                    </w:rPr>
                  </w:pPr>
                  <w:r>
                    <w:rPr>
                      <w:rFonts w:hint="default" w:ascii="Times New Roman" w:hAnsi="Times New Roman" w:cs="Times New Roman"/>
                      <w:bCs/>
                      <w:color w:val="auto"/>
                      <w:sz w:val="21"/>
                      <w:szCs w:val="21"/>
                      <w:highlight w:val="none"/>
                    </w:rPr>
                    <w:t>500ml</w:t>
                  </w:r>
                  <w:r>
                    <w:rPr>
                      <w:rFonts w:hint="eastAsia" w:cs="Times New Roman"/>
                      <w:bCs/>
                      <w:color w:val="auto"/>
                      <w:sz w:val="21"/>
                      <w:szCs w:val="21"/>
                      <w:highlight w:val="none"/>
                      <w:lang w:val="en-US" w:eastAsia="zh-CN"/>
                    </w:rPr>
                    <w:t>/瓶</w:t>
                  </w:r>
                </w:p>
              </w:tc>
              <w:tc>
                <w:tcPr>
                  <w:tcW w:w="534" w:type="pct"/>
                  <w:noWrap w:val="0"/>
                  <w:vAlign w:val="center"/>
                </w:tcPr>
                <w:p w14:paraId="5BA497E6">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1</w:t>
                  </w:r>
                  <w:r>
                    <w:rPr>
                      <w:rFonts w:hint="eastAsia" w:cs="Times New Roman"/>
                      <w:color w:val="auto"/>
                      <w:sz w:val="21"/>
                      <w:szCs w:val="21"/>
                      <w:highlight w:val="none"/>
                      <w:lang w:val="en-US" w:eastAsia="zh-CN"/>
                    </w:rPr>
                    <w:t>kg</w:t>
                  </w:r>
                </w:p>
              </w:tc>
              <w:tc>
                <w:tcPr>
                  <w:tcW w:w="596" w:type="pct"/>
                  <w:noWrap w:val="0"/>
                  <w:vAlign w:val="center"/>
                </w:tcPr>
                <w:p w14:paraId="21E9720C">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1</w:t>
                  </w:r>
                  <w:r>
                    <w:rPr>
                      <w:rFonts w:hint="eastAsia" w:cs="Times New Roman"/>
                      <w:color w:val="auto"/>
                      <w:sz w:val="21"/>
                      <w:szCs w:val="21"/>
                      <w:highlight w:val="none"/>
                      <w:lang w:val="en-US" w:eastAsia="zh-CN"/>
                    </w:rPr>
                    <w:t>kg</w:t>
                  </w:r>
                </w:p>
              </w:tc>
              <w:tc>
                <w:tcPr>
                  <w:tcW w:w="1614" w:type="pct"/>
                  <w:noWrap w:val="0"/>
                  <w:vAlign w:val="center"/>
                </w:tcPr>
                <w:p w14:paraId="3DBC2DC0">
                  <w:pPr>
                    <w:widowControl/>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bidi="ar"/>
                    </w:rPr>
                    <w:t>无色或微白色、透明或半透明的液体</w:t>
                  </w:r>
                  <w:r>
                    <w:rPr>
                      <w:rFonts w:hint="eastAsia" w:cs="Times New Roman"/>
                      <w:color w:val="auto"/>
                      <w:kern w:val="0"/>
                      <w:sz w:val="21"/>
                      <w:szCs w:val="21"/>
                      <w:highlight w:val="none"/>
                      <w:lang w:eastAsia="zh-CN" w:bidi="ar"/>
                    </w:rPr>
                    <w:t>，</w:t>
                  </w:r>
                  <w:r>
                    <w:rPr>
                      <w:rFonts w:hint="eastAsia" w:cs="Times New Roman"/>
                      <w:color w:val="auto"/>
                      <w:kern w:val="0"/>
                      <w:sz w:val="21"/>
                      <w:szCs w:val="21"/>
                      <w:highlight w:val="none"/>
                      <w:lang w:val="en-US" w:eastAsia="zh-CN" w:bidi="ar"/>
                    </w:rPr>
                    <w:t>无臭</w:t>
                  </w:r>
                  <w:r>
                    <w:rPr>
                      <w:rFonts w:hint="default" w:ascii="Times New Roman" w:hAnsi="Times New Roman" w:eastAsia="宋体" w:cs="Times New Roman"/>
                      <w:color w:val="auto"/>
                      <w:kern w:val="0"/>
                      <w:sz w:val="21"/>
                      <w:szCs w:val="21"/>
                      <w:highlight w:val="none"/>
                      <w:lang w:bidi="ar"/>
                    </w:rPr>
                    <w:t>。</w:t>
                  </w:r>
                  <w:r>
                    <w:rPr>
                      <w:rFonts w:hint="eastAsia" w:cs="Times New Roman"/>
                      <w:color w:val="auto"/>
                      <w:kern w:val="0"/>
                      <w:sz w:val="21"/>
                      <w:szCs w:val="21"/>
                      <w:highlight w:val="none"/>
                      <w:lang w:val="en-US" w:eastAsia="zh-CN" w:bidi="ar"/>
                    </w:rPr>
                    <w:t>易溶于水，</w:t>
                  </w:r>
                  <w:r>
                    <w:rPr>
                      <w:rFonts w:ascii="Segoe UI" w:hAnsi="Segoe UI" w:eastAsia="Segoe UI" w:cs="Segoe UI"/>
                      <w:i w:val="0"/>
                      <w:iCs w:val="0"/>
                      <w:caps w:val="0"/>
                      <w:color w:val="auto"/>
                      <w:spacing w:val="0"/>
                      <w:sz w:val="21"/>
                      <w:szCs w:val="21"/>
                      <w:highlight w:val="none"/>
                      <w:shd w:val="clear" w:fill="FFFFFF"/>
                    </w:rPr>
                    <w:t>化学性质非常稳定</w:t>
                  </w:r>
                  <w:r>
                    <w:rPr>
                      <w:rFonts w:hint="eastAsia" w:ascii="Segoe UI" w:hAnsi="Segoe UI" w:eastAsia="宋体" w:cs="Segoe UI"/>
                      <w:i w:val="0"/>
                      <w:iCs w:val="0"/>
                      <w:caps w:val="0"/>
                      <w:color w:val="auto"/>
                      <w:spacing w:val="0"/>
                      <w:sz w:val="21"/>
                      <w:szCs w:val="21"/>
                      <w:highlight w:val="none"/>
                      <w:shd w:val="clear" w:fill="FFFFFF"/>
                      <w:lang w:eastAsia="zh-CN"/>
                    </w:rPr>
                    <w:t>，</w:t>
                  </w:r>
                  <w:r>
                    <w:rPr>
                      <w:rFonts w:hint="default" w:ascii="Times New Roman" w:hAnsi="Times New Roman" w:eastAsia="宋体" w:cs="Times New Roman"/>
                      <w:color w:val="auto"/>
                      <w:kern w:val="0"/>
                      <w:sz w:val="21"/>
                      <w:szCs w:val="21"/>
                      <w:highlight w:val="none"/>
                      <w:lang w:bidi="ar"/>
                    </w:rPr>
                    <w:t>相对密度(水=1)</w:t>
                  </w:r>
                  <w:r>
                    <w:rPr>
                      <w:rFonts w:hint="eastAsia" w:cs="Times New Roman"/>
                      <w:color w:val="auto"/>
                      <w:kern w:val="0"/>
                      <w:sz w:val="21"/>
                      <w:szCs w:val="21"/>
                      <w:highlight w:val="none"/>
                      <w:lang w:val="en-US" w:eastAsia="zh-CN" w:bidi="ar"/>
                    </w:rPr>
                    <w:t>为1.18g/cm</w:t>
                  </w:r>
                  <w:r>
                    <w:rPr>
                      <w:rFonts w:hint="eastAsia" w:cs="Times New Roman"/>
                      <w:color w:val="auto"/>
                      <w:kern w:val="0"/>
                      <w:sz w:val="21"/>
                      <w:szCs w:val="21"/>
                      <w:highlight w:val="none"/>
                      <w:vertAlign w:val="superscript"/>
                      <w:lang w:val="en-US" w:eastAsia="zh-CN" w:bidi="ar"/>
                    </w:rPr>
                    <w:t>3</w:t>
                  </w:r>
                  <w:r>
                    <w:rPr>
                      <w:rFonts w:hint="eastAsia" w:cs="Times New Roman"/>
                      <w:color w:val="auto"/>
                      <w:kern w:val="0"/>
                      <w:sz w:val="21"/>
                      <w:szCs w:val="21"/>
                      <w:highlight w:val="none"/>
                      <w:vertAlign w:val="baseline"/>
                      <w:lang w:val="en-US" w:eastAsia="zh-CN" w:bidi="ar"/>
                    </w:rPr>
                    <w:t>，</w:t>
                  </w:r>
                  <w:r>
                    <w:rPr>
                      <w:rFonts w:hint="default" w:ascii="Times New Roman" w:hAnsi="Times New Roman" w:eastAsia="宋体" w:cs="Times New Roman"/>
                      <w:color w:val="auto"/>
                      <w:kern w:val="0"/>
                      <w:sz w:val="21"/>
                      <w:szCs w:val="21"/>
                      <w:highlight w:val="none"/>
                      <w:lang w:bidi="ar"/>
                    </w:rPr>
                    <w:t>沸点1</w:t>
                  </w:r>
                  <w:r>
                    <w:rPr>
                      <w:rFonts w:hint="eastAsia" w:cs="Times New Roman"/>
                      <w:color w:val="auto"/>
                      <w:kern w:val="0"/>
                      <w:sz w:val="21"/>
                      <w:szCs w:val="21"/>
                      <w:highlight w:val="none"/>
                      <w:lang w:val="en-US" w:eastAsia="zh-CN" w:bidi="ar"/>
                    </w:rPr>
                    <w:t>08</w:t>
                  </w:r>
                  <w:r>
                    <w:rPr>
                      <w:rFonts w:hint="default" w:ascii="Times New Roman" w:hAnsi="Times New Roman" w:eastAsia="宋体" w:cs="Times New Roman"/>
                      <w:color w:val="auto"/>
                      <w:kern w:val="0"/>
                      <w:sz w:val="21"/>
                      <w:szCs w:val="21"/>
                      <w:highlight w:val="none"/>
                      <w:lang w:bidi="ar"/>
                    </w:rPr>
                    <w:t>℃</w:t>
                  </w:r>
                  <w:r>
                    <w:rPr>
                      <w:rFonts w:hint="eastAsia" w:cs="Times New Roman"/>
                      <w:color w:val="auto"/>
                      <w:kern w:val="0"/>
                      <w:sz w:val="21"/>
                      <w:szCs w:val="21"/>
                      <w:highlight w:val="none"/>
                      <w:lang w:eastAsia="zh-CN" w:bidi="ar"/>
                    </w:rPr>
                    <w:t>。</w:t>
                  </w:r>
                </w:p>
              </w:tc>
              <w:tc>
                <w:tcPr>
                  <w:tcW w:w="425" w:type="pct"/>
                  <w:noWrap w:val="0"/>
                  <w:vAlign w:val="center"/>
                </w:tcPr>
                <w:p w14:paraId="4BA219DA">
                  <w:pPr>
                    <w:widowControl/>
                    <w:jc w:val="center"/>
                    <w:textAlignment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kern w:val="0"/>
                      <w:sz w:val="21"/>
                      <w:szCs w:val="21"/>
                      <w:highlight w:val="none"/>
                      <w:lang w:bidi="ar"/>
                    </w:rPr>
                    <w:t>否</w:t>
                  </w:r>
                </w:p>
              </w:tc>
              <w:tc>
                <w:tcPr>
                  <w:tcW w:w="378" w:type="pct"/>
                  <w:noWrap w:val="0"/>
                  <w:vAlign w:val="center"/>
                </w:tcPr>
                <w:p w14:paraId="3F80BB97">
                  <w:pPr>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sz w:val="21"/>
                      <w:szCs w:val="21"/>
                      <w:highlight w:val="none"/>
                      <w:lang w:val="en-US" w:eastAsia="zh-CN"/>
                    </w:rPr>
                    <w:t>/</w:t>
                  </w:r>
                </w:p>
              </w:tc>
            </w:tr>
            <w:tr w14:paraId="3CCE1C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53" w:type="pct"/>
                  <w:noWrap w:val="0"/>
                  <w:vAlign w:val="center"/>
                </w:tcPr>
                <w:p w14:paraId="25C5DCBE">
                  <w:pPr>
                    <w:widowControl/>
                    <w:jc w:val="center"/>
                    <w:textAlignment w:val="center"/>
                    <w:rPr>
                      <w:rFonts w:hint="default" w:ascii="Times New Roman" w:hAnsi="Times New Roman" w:eastAsia="宋体" w:cs="Times New Roman"/>
                      <w:b w:val="0"/>
                      <w:bCs w:val="0"/>
                      <w:color w:val="auto"/>
                      <w:kern w:val="0"/>
                      <w:sz w:val="21"/>
                      <w:szCs w:val="21"/>
                      <w:highlight w:val="none"/>
                      <w:lang w:val="en-US" w:eastAsia="zh-CN" w:bidi="ar"/>
                    </w:rPr>
                  </w:pPr>
                  <w:r>
                    <w:rPr>
                      <w:rFonts w:hint="eastAsia" w:cs="Times New Roman"/>
                      <w:b w:val="0"/>
                      <w:bCs w:val="0"/>
                      <w:color w:val="auto"/>
                      <w:kern w:val="0"/>
                      <w:sz w:val="21"/>
                      <w:szCs w:val="21"/>
                      <w:highlight w:val="none"/>
                      <w:lang w:val="en-US" w:eastAsia="zh-CN" w:bidi="ar"/>
                    </w:rPr>
                    <w:t>35</w:t>
                  </w:r>
                </w:p>
              </w:tc>
              <w:tc>
                <w:tcPr>
                  <w:tcW w:w="621" w:type="pct"/>
                  <w:noWrap w:val="0"/>
                  <w:vAlign w:val="center"/>
                </w:tcPr>
                <w:p w14:paraId="36FB87A3">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硫酸铁</w:t>
                  </w:r>
                </w:p>
              </w:tc>
              <w:tc>
                <w:tcPr>
                  <w:tcW w:w="576" w:type="pct"/>
                  <w:noWrap w:val="0"/>
                  <w:vAlign w:val="center"/>
                </w:tcPr>
                <w:p w14:paraId="2070E751">
                  <w:pPr>
                    <w:jc w:val="center"/>
                    <w:rPr>
                      <w:rFonts w:hint="default" w:ascii="Times New Roman" w:hAnsi="Times New Roman" w:cs="Times New Roman"/>
                      <w:color w:val="auto"/>
                      <w:sz w:val="21"/>
                      <w:szCs w:val="21"/>
                      <w:highlight w:val="none"/>
                    </w:rPr>
                  </w:pPr>
                  <w:r>
                    <w:rPr>
                      <w:rFonts w:hint="default" w:ascii="Times New Roman" w:hAnsi="Times New Roman" w:cs="Times New Roman"/>
                      <w:bCs/>
                      <w:color w:val="auto"/>
                      <w:sz w:val="21"/>
                      <w:szCs w:val="21"/>
                      <w:highlight w:val="none"/>
                    </w:rPr>
                    <w:t>500g</w:t>
                  </w:r>
                  <w:r>
                    <w:rPr>
                      <w:rFonts w:hint="eastAsia" w:cs="Times New Roman"/>
                      <w:bCs/>
                      <w:color w:val="auto"/>
                      <w:sz w:val="21"/>
                      <w:szCs w:val="21"/>
                      <w:highlight w:val="none"/>
                      <w:lang w:val="en-US" w:eastAsia="zh-CN"/>
                    </w:rPr>
                    <w:t>/瓶</w:t>
                  </w:r>
                </w:p>
              </w:tc>
              <w:tc>
                <w:tcPr>
                  <w:tcW w:w="534" w:type="pct"/>
                  <w:noWrap w:val="0"/>
                  <w:vAlign w:val="center"/>
                </w:tcPr>
                <w:p w14:paraId="5B9E2366">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0.5kg</w:t>
                  </w:r>
                </w:p>
              </w:tc>
              <w:tc>
                <w:tcPr>
                  <w:tcW w:w="596" w:type="pct"/>
                  <w:noWrap w:val="0"/>
                  <w:vAlign w:val="center"/>
                </w:tcPr>
                <w:p w14:paraId="4CC1A26A">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0.5kg</w:t>
                  </w:r>
                </w:p>
              </w:tc>
              <w:tc>
                <w:tcPr>
                  <w:tcW w:w="1614" w:type="pct"/>
                  <w:noWrap w:val="0"/>
                  <w:vAlign w:val="center"/>
                </w:tcPr>
                <w:p w14:paraId="1EBB2092">
                  <w:pPr>
                    <w:widowControl/>
                    <w:jc w:val="center"/>
                    <w:textAlignment w:val="center"/>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lang w:bidi="ar"/>
                    </w:rPr>
                    <w:t>呈灰白色或浅黄色</w:t>
                  </w:r>
                  <w:r>
                    <w:rPr>
                      <w:rFonts w:hint="eastAsia" w:cs="Times New Roman"/>
                      <w:color w:val="auto"/>
                      <w:kern w:val="0"/>
                      <w:sz w:val="21"/>
                      <w:szCs w:val="21"/>
                      <w:highlight w:val="none"/>
                      <w:lang w:val="en-US" w:eastAsia="zh-CN" w:bidi="ar"/>
                    </w:rPr>
                    <w:t>晶体</w:t>
                  </w:r>
                  <w:r>
                    <w:rPr>
                      <w:rFonts w:hint="default" w:ascii="Times New Roman" w:hAnsi="Times New Roman" w:eastAsia="宋体" w:cs="Times New Roman"/>
                      <w:color w:val="auto"/>
                      <w:kern w:val="0"/>
                      <w:sz w:val="21"/>
                      <w:szCs w:val="21"/>
                      <w:highlight w:val="none"/>
                      <w:lang w:bidi="ar"/>
                    </w:rPr>
                    <w:t>粉末，</w:t>
                  </w:r>
                  <w:r>
                    <w:rPr>
                      <w:rFonts w:hint="eastAsia" w:cs="Times New Roman"/>
                      <w:color w:val="auto"/>
                      <w:kern w:val="0"/>
                      <w:sz w:val="21"/>
                      <w:szCs w:val="21"/>
                      <w:highlight w:val="none"/>
                      <w:lang w:val="en-US" w:eastAsia="zh-CN" w:bidi="ar"/>
                    </w:rPr>
                    <w:t>无气味，</w:t>
                  </w:r>
                  <w:r>
                    <w:rPr>
                      <w:rFonts w:hint="default" w:ascii="Times New Roman" w:hAnsi="Times New Roman" w:eastAsia="宋体" w:cs="Times New Roman"/>
                      <w:color w:val="auto"/>
                      <w:kern w:val="0"/>
                      <w:sz w:val="21"/>
                      <w:szCs w:val="21"/>
                      <w:highlight w:val="none"/>
                      <w:lang w:bidi="ar"/>
                    </w:rPr>
                    <w:t>易吸湿，可溶于水、微溶于乙醇，水溶液呈红褐色。</w:t>
                  </w:r>
                  <w:r>
                    <w:rPr>
                      <w:rFonts w:hint="eastAsia" w:cs="Times New Roman"/>
                      <w:color w:val="auto"/>
                      <w:kern w:val="0"/>
                      <w:sz w:val="21"/>
                      <w:szCs w:val="21"/>
                      <w:highlight w:val="none"/>
                      <w:lang w:val="en-US" w:eastAsia="zh-CN" w:bidi="ar"/>
                    </w:rPr>
                    <w:t>熔点为480℃，沸点为330℃，相对密度为3.097g/cm</w:t>
                  </w:r>
                  <w:r>
                    <w:rPr>
                      <w:rFonts w:hint="eastAsia" w:cs="Times New Roman"/>
                      <w:color w:val="auto"/>
                      <w:kern w:val="0"/>
                      <w:sz w:val="21"/>
                      <w:szCs w:val="21"/>
                      <w:highlight w:val="none"/>
                      <w:vertAlign w:val="superscript"/>
                      <w:lang w:val="en-US" w:eastAsia="zh-CN" w:bidi="ar"/>
                    </w:rPr>
                    <w:t>3</w:t>
                  </w:r>
                  <w:r>
                    <w:rPr>
                      <w:rFonts w:hint="eastAsia" w:cs="Times New Roman"/>
                      <w:color w:val="auto"/>
                      <w:kern w:val="0"/>
                      <w:sz w:val="21"/>
                      <w:szCs w:val="21"/>
                      <w:highlight w:val="none"/>
                      <w:vertAlign w:val="baseline"/>
                      <w:lang w:val="en-US" w:eastAsia="zh-CN" w:bidi="ar"/>
                    </w:rPr>
                    <w:t>。</w:t>
                  </w:r>
                </w:p>
              </w:tc>
              <w:tc>
                <w:tcPr>
                  <w:tcW w:w="425" w:type="pct"/>
                  <w:noWrap w:val="0"/>
                  <w:vAlign w:val="center"/>
                </w:tcPr>
                <w:p w14:paraId="1B400FAF">
                  <w:pPr>
                    <w:widowControl/>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bidi="ar"/>
                    </w:rPr>
                    <w:t>否</w:t>
                  </w:r>
                </w:p>
              </w:tc>
              <w:tc>
                <w:tcPr>
                  <w:tcW w:w="378" w:type="pct"/>
                  <w:noWrap w:val="0"/>
                  <w:vAlign w:val="center"/>
                </w:tcPr>
                <w:p w14:paraId="51A696FB">
                  <w:pPr>
                    <w:jc w:val="center"/>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w:t>
                  </w:r>
                </w:p>
              </w:tc>
            </w:tr>
            <w:tr w14:paraId="78CEB7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53" w:type="pct"/>
                  <w:noWrap w:val="0"/>
                  <w:vAlign w:val="center"/>
                </w:tcPr>
                <w:p w14:paraId="74387497">
                  <w:pPr>
                    <w:widowControl/>
                    <w:jc w:val="center"/>
                    <w:textAlignment w:val="center"/>
                    <w:rPr>
                      <w:rFonts w:hint="default" w:ascii="Times New Roman" w:hAnsi="Times New Roman" w:eastAsia="宋体" w:cs="Times New Roman"/>
                      <w:b w:val="0"/>
                      <w:bCs w:val="0"/>
                      <w:color w:val="auto"/>
                      <w:kern w:val="0"/>
                      <w:sz w:val="21"/>
                      <w:szCs w:val="21"/>
                      <w:highlight w:val="none"/>
                      <w:lang w:val="en-US" w:eastAsia="zh-CN" w:bidi="ar"/>
                    </w:rPr>
                  </w:pPr>
                  <w:r>
                    <w:rPr>
                      <w:rFonts w:hint="eastAsia" w:cs="Times New Roman"/>
                      <w:b w:val="0"/>
                      <w:bCs w:val="0"/>
                      <w:color w:val="auto"/>
                      <w:kern w:val="0"/>
                      <w:sz w:val="21"/>
                      <w:szCs w:val="21"/>
                      <w:highlight w:val="none"/>
                      <w:lang w:val="en-US" w:eastAsia="zh-CN" w:bidi="ar"/>
                    </w:rPr>
                    <w:t>36</w:t>
                  </w:r>
                </w:p>
              </w:tc>
              <w:tc>
                <w:tcPr>
                  <w:tcW w:w="621" w:type="pct"/>
                  <w:noWrap w:val="0"/>
                  <w:vAlign w:val="center"/>
                </w:tcPr>
                <w:p w14:paraId="631EE27A">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盐酸</w:t>
                  </w:r>
                </w:p>
              </w:tc>
              <w:tc>
                <w:tcPr>
                  <w:tcW w:w="576" w:type="pct"/>
                  <w:noWrap w:val="0"/>
                  <w:vAlign w:val="center"/>
                </w:tcPr>
                <w:p w14:paraId="20B3B435">
                  <w:pPr>
                    <w:tabs>
                      <w:tab w:val="left" w:pos="1088"/>
                    </w:tabs>
                    <w:jc w:val="center"/>
                    <w:rPr>
                      <w:rFonts w:hint="default" w:ascii="Times New Roman" w:hAnsi="Times New Roman" w:cs="Times New Roman"/>
                      <w:color w:val="auto"/>
                      <w:sz w:val="21"/>
                      <w:szCs w:val="21"/>
                      <w:highlight w:val="none"/>
                    </w:rPr>
                  </w:pPr>
                  <w:r>
                    <w:rPr>
                      <w:rFonts w:hint="default" w:ascii="Times New Roman" w:hAnsi="Times New Roman" w:cs="Times New Roman"/>
                      <w:bCs/>
                      <w:color w:val="auto"/>
                      <w:sz w:val="21"/>
                      <w:szCs w:val="21"/>
                      <w:highlight w:val="none"/>
                    </w:rPr>
                    <w:t>500ml</w:t>
                  </w:r>
                  <w:r>
                    <w:rPr>
                      <w:rFonts w:hint="eastAsia" w:cs="Times New Roman"/>
                      <w:bCs/>
                      <w:color w:val="auto"/>
                      <w:sz w:val="21"/>
                      <w:szCs w:val="21"/>
                      <w:highlight w:val="none"/>
                      <w:lang w:val="en-US" w:eastAsia="zh-CN"/>
                    </w:rPr>
                    <w:t>/瓶</w:t>
                  </w:r>
                </w:p>
              </w:tc>
              <w:tc>
                <w:tcPr>
                  <w:tcW w:w="534" w:type="pct"/>
                  <w:noWrap w:val="0"/>
                  <w:vAlign w:val="center"/>
                </w:tcPr>
                <w:p w14:paraId="29D06E2B">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11</w:t>
                  </w:r>
                  <w:r>
                    <w:rPr>
                      <w:rFonts w:hint="eastAsia" w:cs="Times New Roman"/>
                      <w:color w:val="auto"/>
                      <w:sz w:val="21"/>
                      <w:szCs w:val="21"/>
                      <w:highlight w:val="none"/>
                      <w:lang w:val="en-US" w:eastAsia="zh-CN"/>
                    </w:rPr>
                    <w:t>kg</w:t>
                  </w:r>
                </w:p>
              </w:tc>
              <w:tc>
                <w:tcPr>
                  <w:tcW w:w="596" w:type="pct"/>
                  <w:noWrap w:val="0"/>
                  <w:vAlign w:val="center"/>
                </w:tcPr>
                <w:p w14:paraId="61D43CBD">
                  <w:pPr>
                    <w:jc w:val="center"/>
                    <w:rPr>
                      <w:rFonts w:hint="default" w:ascii="Times New Roman" w:hAnsi="Times New Roman" w:cs="Times New Roman"/>
                      <w:color w:val="auto"/>
                      <w:kern w:val="0"/>
                      <w:sz w:val="21"/>
                      <w:szCs w:val="21"/>
                      <w:highlight w:val="none"/>
                      <w:lang w:val="en-US" w:eastAsia="zh-CN" w:bidi="ar"/>
                    </w:rPr>
                  </w:pPr>
                  <w:r>
                    <w:rPr>
                      <w:rFonts w:hint="eastAsia" w:cs="Times New Roman"/>
                      <w:color w:val="auto"/>
                      <w:sz w:val="21"/>
                      <w:szCs w:val="21"/>
                      <w:highlight w:val="none"/>
                      <w:lang w:val="en-US" w:eastAsia="zh-CN"/>
                    </w:rPr>
                    <w:t>4.18</w:t>
                  </w:r>
                  <w:r>
                    <w:rPr>
                      <w:rFonts w:hint="eastAsia" w:cs="Times New Roman"/>
                      <w:color w:val="auto"/>
                      <w:sz w:val="21"/>
                      <w:szCs w:val="21"/>
                      <w:highlight w:val="none"/>
                      <w:lang w:val="en-US" w:eastAsia="zh-CN"/>
                    </w:rPr>
                    <w:t>kg</w:t>
                  </w:r>
                </w:p>
              </w:tc>
              <w:tc>
                <w:tcPr>
                  <w:tcW w:w="1614" w:type="pct"/>
                  <w:noWrap w:val="0"/>
                  <w:vAlign w:val="center"/>
                </w:tcPr>
                <w:p w14:paraId="7873FFCA">
                  <w:pPr>
                    <w:widowControl/>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盐酸分子式HCl，相对分子质量36.</w:t>
                  </w:r>
                  <w:r>
                    <w:rPr>
                      <w:rFonts w:hint="default" w:ascii="Times New Roman" w:hAnsi="Times New Roman" w:eastAsia="宋体" w:cs="Times New Roman"/>
                      <w:color w:val="auto"/>
                      <w:kern w:val="0"/>
                      <w:sz w:val="21"/>
                      <w:szCs w:val="21"/>
                      <w:highlight w:val="none"/>
                      <w:lang w:val="en-US" w:eastAsia="zh-CN" w:bidi="ar"/>
                    </w:rPr>
                    <w:t>5</w:t>
                  </w:r>
                  <w:r>
                    <w:rPr>
                      <w:rFonts w:hint="default" w:ascii="Times New Roman" w:hAnsi="Times New Roman" w:eastAsia="宋体" w:cs="Times New Roman"/>
                      <w:color w:val="auto"/>
                      <w:kern w:val="0"/>
                      <w:sz w:val="21"/>
                      <w:szCs w:val="21"/>
                      <w:highlight w:val="none"/>
                      <w:lang w:bidi="ar"/>
                    </w:rPr>
                    <w:t>。无色或黄色</w:t>
                  </w:r>
                  <w:r>
                    <w:rPr>
                      <w:rFonts w:hint="default" w:ascii="Times New Roman" w:hAnsi="Times New Roman" w:eastAsia="宋体" w:cs="Times New Roman"/>
                      <w:color w:val="auto"/>
                      <w:kern w:val="0"/>
                      <w:sz w:val="21"/>
                      <w:szCs w:val="21"/>
                      <w:highlight w:val="none"/>
                      <w:lang w:val="en-US" w:eastAsia="zh-CN" w:bidi="ar"/>
                    </w:rPr>
                    <w:t>透明液体</w:t>
                  </w:r>
                  <w:r>
                    <w:rPr>
                      <w:rFonts w:hint="default" w:ascii="Times New Roman" w:hAnsi="Times New Roman" w:eastAsia="宋体" w:cs="Times New Roman"/>
                      <w:color w:val="auto"/>
                      <w:kern w:val="0"/>
                      <w:sz w:val="21"/>
                      <w:szCs w:val="21"/>
                      <w:highlight w:val="none"/>
                      <w:lang w:bidi="ar"/>
                    </w:rPr>
                    <w:t>，有刺激性气味和强腐蚀性。易溶于水、乙醇、乙醚和油等。浓盐酸为含</w:t>
                  </w:r>
                  <w:r>
                    <w:rPr>
                      <w:rFonts w:hint="default" w:ascii="Times New Roman" w:hAnsi="Times New Roman" w:eastAsia="宋体" w:cs="Times New Roman"/>
                      <w:color w:val="auto"/>
                      <w:kern w:val="0"/>
                      <w:sz w:val="21"/>
                      <w:szCs w:val="21"/>
                      <w:highlight w:val="none"/>
                      <w:lang w:val="en-US" w:eastAsia="zh-CN" w:bidi="ar"/>
                    </w:rPr>
                    <w:t>3</w:t>
                  </w:r>
                  <w:r>
                    <w:rPr>
                      <w:rFonts w:hint="eastAsia" w:ascii="Times New Roman" w:hAnsi="Times New Roman" w:eastAsia="宋体" w:cs="Times New Roman"/>
                      <w:color w:val="auto"/>
                      <w:kern w:val="0"/>
                      <w:sz w:val="21"/>
                      <w:szCs w:val="21"/>
                      <w:highlight w:val="none"/>
                      <w:lang w:val="en-US" w:eastAsia="zh-CN" w:bidi="ar"/>
                    </w:rPr>
                    <w:t>8</w:t>
                  </w:r>
                  <w:r>
                    <w:rPr>
                      <w:rFonts w:hint="default" w:ascii="Times New Roman" w:hAnsi="Times New Roman" w:eastAsia="宋体" w:cs="Times New Roman"/>
                      <w:color w:val="auto"/>
                      <w:kern w:val="0"/>
                      <w:sz w:val="21"/>
                      <w:szCs w:val="21"/>
                      <w:highlight w:val="none"/>
                      <w:lang w:bidi="ar"/>
                    </w:rPr>
                    <w:t>%</w:t>
                  </w:r>
                  <w:r>
                    <w:rPr>
                      <w:rFonts w:hint="default" w:ascii="Times New Roman" w:hAnsi="Times New Roman" w:eastAsia="宋体" w:cs="Times New Roman"/>
                      <w:color w:val="auto"/>
                      <w:kern w:val="0"/>
                      <w:sz w:val="21"/>
                      <w:szCs w:val="21"/>
                      <w:highlight w:val="none"/>
                      <w:lang w:bidi="ar"/>
                    </w:rPr>
                    <w:t>氯化氢的水溶液，相对密度1.1</w:t>
                  </w:r>
                  <w:r>
                    <w:rPr>
                      <w:rFonts w:hint="default" w:ascii="Times New Roman" w:hAnsi="Times New Roman" w:eastAsia="宋体" w:cs="Times New Roman"/>
                      <w:color w:val="auto"/>
                      <w:kern w:val="0"/>
                      <w:sz w:val="21"/>
                      <w:szCs w:val="21"/>
                      <w:highlight w:val="none"/>
                      <w:lang w:val="en-US" w:eastAsia="zh-CN" w:bidi="ar"/>
                    </w:rPr>
                    <w:t>8g/cm</w:t>
                  </w:r>
                  <w:r>
                    <w:rPr>
                      <w:rFonts w:hint="default" w:ascii="Times New Roman" w:hAnsi="Times New Roman" w:eastAsia="宋体" w:cs="Times New Roman"/>
                      <w:color w:val="auto"/>
                      <w:kern w:val="0"/>
                      <w:sz w:val="21"/>
                      <w:szCs w:val="21"/>
                      <w:highlight w:val="none"/>
                      <w:vertAlign w:val="superscript"/>
                      <w:lang w:val="en-US" w:eastAsia="zh-CN" w:bidi="ar"/>
                    </w:rPr>
                    <w:t>3</w:t>
                  </w:r>
                  <w:r>
                    <w:rPr>
                      <w:rFonts w:hint="default" w:ascii="Times New Roman" w:hAnsi="Times New Roman" w:eastAsia="宋体" w:cs="Times New Roman"/>
                      <w:color w:val="auto"/>
                      <w:kern w:val="0"/>
                      <w:sz w:val="21"/>
                      <w:szCs w:val="21"/>
                      <w:highlight w:val="none"/>
                      <w:lang w:bidi="ar"/>
                    </w:rPr>
                    <w:t>，熔点-</w:t>
                  </w:r>
                  <w:r>
                    <w:rPr>
                      <w:rFonts w:hint="default" w:ascii="Times New Roman" w:hAnsi="Times New Roman" w:eastAsia="宋体" w:cs="Times New Roman"/>
                      <w:color w:val="auto"/>
                      <w:kern w:val="0"/>
                      <w:sz w:val="21"/>
                      <w:szCs w:val="21"/>
                      <w:highlight w:val="none"/>
                      <w:lang w:val="en-US" w:eastAsia="zh-CN" w:bidi="ar"/>
                    </w:rPr>
                    <w:t>59</w:t>
                  </w:r>
                  <w:r>
                    <w:rPr>
                      <w:rFonts w:hint="default" w:ascii="Times New Roman" w:hAnsi="Times New Roman" w:eastAsia="宋体" w:cs="Times New Roman"/>
                      <w:color w:val="auto"/>
                      <w:kern w:val="0"/>
                      <w:sz w:val="21"/>
                      <w:szCs w:val="21"/>
                      <w:highlight w:val="none"/>
                      <w:lang w:bidi="ar"/>
                    </w:rPr>
                    <w:t>℃，沸点</w:t>
                  </w:r>
                  <w:r>
                    <w:rPr>
                      <w:rFonts w:hint="default" w:ascii="Times New Roman" w:hAnsi="Times New Roman" w:eastAsia="宋体" w:cs="Times New Roman"/>
                      <w:color w:val="auto"/>
                      <w:kern w:val="0"/>
                      <w:sz w:val="21"/>
                      <w:szCs w:val="21"/>
                      <w:highlight w:val="none"/>
                      <w:lang w:val="en-US" w:eastAsia="zh-CN" w:bidi="ar"/>
                    </w:rPr>
                    <w:t>108</w:t>
                  </w:r>
                  <w:r>
                    <w:rPr>
                      <w:rFonts w:hint="default" w:ascii="Times New Roman" w:hAnsi="Times New Roman" w:eastAsia="宋体" w:cs="Times New Roman"/>
                      <w:color w:val="auto"/>
                      <w:kern w:val="0"/>
                      <w:sz w:val="21"/>
                      <w:szCs w:val="21"/>
                      <w:highlight w:val="none"/>
                      <w:lang w:bidi="ar"/>
                    </w:rPr>
                    <w:t>℃。具</w:t>
                  </w:r>
                  <w:r>
                    <w:rPr>
                      <w:rFonts w:hint="eastAsia" w:cs="Times New Roman"/>
                      <w:color w:val="auto"/>
                      <w:kern w:val="0"/>
                      <w:sz w:val="21"/>
                      <w:szCs w:val="21"/>
                      <w:highlight w:val="none"/>
                      <w:lang w:eastAsia="zh-CN" w:bidi="ar"/>
                    </w:rPr>
                    <w:t>有</w:t>
                  </w:r>
                  <w:r>
                    <w:rPr>
                      <w:rFonts w:hint="default" w:ascii="Times New Roman" w:hAnsi="Times New Roman" w:eastAsia="宋体" w:cs="Times New Roman"/>
                      <w:color w:val="auto"/>
                      <w:kern w:val="0"/>
                      <w:sz w:val="21"/>
                      <w:szCs w:val="21"/>
                      <w:highlight w:val="none"/>
                      <w:lang w:bidi="ar"/>
                    </w:rPr>
                    <w:t>强腐蚀性、强刺激性，可致人体灼伤。</w:t>
                  </w:r>
                  <w:r>
                    <w:rPr>
                      <w:rFonts w:hint="default" w:ascii="Times New Roman" w:hAnsi="Times New Roman" w:eastAsia="宋体" w:cs="Times New Roman"/>
                      <w:color w:val="auto"/>
                      <w:kern w:val="2"/>
                      <w:sz w:val="21"/>
                      <w:szCs w:val="21"/>
                      <w:highlight w:val="none"/>
                    </w:rPr>
                    <w:t>属于风险导则附录B中的风险物质。</w:t>
                  </w:r>
                </w:p>
              </w:tc>
              <w:tc>
                <w:tcPr>
                  <w:tcW w:w="425" w:type="pct"/>
                  <w:noWrap w:val="0"/>
                  <w:vAlign w:val="center"/>
                </w:tcPr>
                <w:p w14:paraId="77C3518D">
                  <w:pPr>
                    <w:widowControl/>
                    <w:jc w:val="center"/>
                    <w:textAlignment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是</w:t>
                  </w:r>
                </w:p>
              </w:tc>
              <w:tc>
                <w:tcPr>
                  <w:tcW w:w="378" w:type="pct"/>
                  <w:noWrap w:val="0"/>
                  <w:vAlign w:val="center"/>
                </w:tcPr>
                <w:p w14:paraId="748477CF">
                  <w:pPr>
                    <w:jc w:val="center"/>
                    <w:rPr>
                      <w:rFonts w:hint="default" w:ascii="Times New Roman" w:hAnsi="Times New Roman"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sz w:val="21"/>
                      <w:szCs w:val="21"/>
                      <w:highlight w:val="none"/>
                      <w:lang w:val="en-US" w:eastAsia="zh-CN"/>
                    </w:rPr>
                    <w:t>7.5</w:t>
                  </w:r>
                </w:p>
              </w:tc>
            </w:tr>
            <w:tr w14:paraId="7988D4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53" w:type="pct"/>
                  <w:noWrap w:val="0"/>
                  <w:vAlign w:val="center"/>
                </w:tcPr>
                <w:p w14:paraId="5646BB7E">
                  <w:pPr>
                    <w:widowControl/>
                    <w:jc w:val="center"/>
                    <w:textAlignment w:val="center"/>
                    <w:rPr>
                      <w:rFonts w:hint="default" w:ascii="Times New Roman" w:hAnsi="Times New Roman" w:eastAsia="宋体" w:cs="Times New Roman"/>
                      <w:b w:val="0"/>
                      <w:bCs w:val="0"/>
                      <w:color w:val="auto"/>
                      <w:kern w:val="0"/>
                      <w:sz w:val="21"/>
                      <w:szCs w:val="21"/>
                      <w:highlight w:val="none"/>
                      <w:lang w:val="en-US" w:eastAsia="zh-CN" w:bidi="ar"/>
                    </w:rPr>
                  </w:pPr>
                  <w:r>
                    <w:rPr>
                      <w:rFonts w:hint="eastAsia" w:cs="Times New Roman"/>
                      <w:b w:val="0"/>
                      <w:bCs w:val="0"/>
                      <w:color w:val="auto"/>
                      <w:kern w:val="0"/>
                      <w:sz w:val="21"/>
                      <w:szCs w:val="21"/>
                      <w:highlight w:val="none"/>
                      <w:lang w:val="en-US" w:eastAsia="zh-CN" w:bidi="ar"/>
                    </w:rPr>
                    <w:t>37</w:t>
                  </w:r>
                </w:p>
              </w:tc>
              <w:tc>
                <w:tcPr>
                  <w:tcW w:w="621" w:type="pct"/>
                  <w:noWrap w:val="0"/>
                  <w:vAlign w:val="center"/>
                </w:tcPr>
                <w:p w14:paraId="1954E97F">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磷酸</w:t>
                  </w:r>
                </w:p>
              </w:tc>
              <w:tc>
                <w:tcPr>
                  <w:tcW w:w="576" w:type="pct"/>
                  <w:noWrap w:val="0"/>
                  <w:vAlign w:val="center"/>
                </w:tcPr>
                <w:p w14:paraId="11640955">
                  <w:pPr>
                    <w:tabs>
                      <w:tab w:val="left" w:pos="1088"/>
                    </w:tabs>
                    <w:jc w:val="center"/>
                    <w:rPr>
                      <w:rFonts w:hint="default" w:ascii="Times New Roman" w:hAnsi="Times New Roman" w:cs="Times New Roman"/>
                      <w:color w:val="auto"/>
                      <w:sz w:val="21"/>
                      <w:szCs w:val="21"/>
                      <w:highlight w:val="none"/>
                    </w:rPr>
                  </w:pPr>
                  <w:r>
                    <w:rPr>
                      <w:rFonts w:hint="default" w:ascii="Times New Roman" w:hAnsi="Times New Roman" w:cs="Times New Roman"/>
                      <w:bCs/>
                      <w:color w:val="auto"/>
                      <w:sz w:val="21"/>
                      <w:szCs w:val="21"/>
                      <w:highlight w:val="none"/>
                    </w:rPr>
                    <w:t>500ml</w:t>
                  </w:r>
                  <w:r>
                    <w:rPr>
                      <w:rFonts w:hint="eastAsia" w:cs="Times New Roman"/>
                      <w:bCs/>
                      <w:color w:val="auto"/>
                      <w:sz w:val="21"/>
                      <w:szCs w:val="21"/>
                      <w:highlight w:val="none"/>
                      <w:lang w:val="en-US" w:eastAsia="zh-CN"/>
                    </w:rPr>
                    <w:t>/瓶</w:t>
                  </w:r>
                </w:p>
              </w:tc>
              <w:tc>
                <w:tcPr>
                  <w:tcW w:w="534" w:type="pct"/>
                  <w:noWrap w:val="0"/>
                  <w:vAlign w:val="center"/>
                </w:tcPr>
                <w:p w14:paraId="4B85F0DA">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1.5</w:t>
                  </w:r>
                  <w:r>
                    <w:rPr>
                      <w:rFonts w:hint="eastAsia" w:cs="Times New Roman"/>
                      <w:color w:val="auto"/>
                      <w:sz w:val="21"/>
                      <w:szCs w:val="21"/>
                      <w:highlight w:val="none"/>
                      <w:lang w:val="en-US" w:eastAsia="zh-CN"/>
                    </w:rPr>
                    <w:t>kg</w:t>
                  </w:r>
                </w:p>
              </w:tc>
              <w:tc>
                <w:tcPr>
                  <w:tcW w:w="596" w:type="pct"/>
                  <w:noWrap w:val="0"/>
                  <w:vAlign w:val="center"/>
                </w:tcPr>
                <w:p w14:paraId="46B3380B">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1.</w:t>
                  </w:r>
                  <w:r>
                    <w:rPr>
                      <w:rFonts w:hint="eastAsia" w:cs="Times New Roman"/>
                      <w:color w:val="auto"/>
                      <w:sz w:val="21"/>
                      <w:szCs w:val="21"/>
                      <w:highlight w:val="none"/>
                      <w:lang w:val="en-US" w:eastAsia="zh-CN"/>
                    </w:rPr>
                    <w:t>27</w:t>
                  </w:r>
                  <w:r>
                    <w:rPr>
                      <w:rFonts w:hint="default" w:ascii="Times New Roman" w:hAnsi="Times New Roman" w:cs="Times New Roman"/>
                      <w:color w:val="auto"/>
                      <w:sz w:val="21"/>
                      <w:szCs w:val="21"/>
                      <w:highlight w:val="none"/>
                    </w:rPr>
                    <w:t>5</w:t>
                  </w:r>
                  <w:r>
                    <w:rPr>
                      <w:rFonts w:hint="eastAsia" w:cs="Times New Roman"/>
                      <w:color w:val="auto"/>
                      <w:sz w:val="21"/>
                      <w:szCs w:val="21"/>
                      <w:highlight w:val="none"/>
                      <w:lang w:val="en-US" w:eastAsia="zh-CN"/>
                    </w:rPr>
                    <w:t>kg</w:t>
                  </w:r>
                </w:p>
              </w:tc>
              <w:tc>
                <w:tcPr>
                  <w:tcW w:w="1614" w:type="pct"/>
                  <w:noWrap w:val="0"/>
                  <w:vAlign w:val="center"/>
                </w:tcPr>
                <w:p w14:paraId="21079093">
                  <w:pPr>
                    <w:widowControl/>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磷酸或正磷酸，化学式H</w:t>
                  </w:r>
                  <w:r>
                    <w:rPr>
                      <w:rFonts w:hint="default" w:ascii="Times New Roman" w:hAnsi="Times New Roman" w:eastAsia="宋体" w:cs="Times New Roman"/>
                      <w:color w:val="auto"/>
                      <w:kern w:val="0"/>
                      <w:sz w:val="21"/>
                      <w:szCs w:val="21"/>
                      <w:highlight w:val="none"/>
                      <w:vertAlign w:val="subscript"/>
                      <w:lang w:bidi="ar"/>
                    </w:rPr>
                    <w:t>3</w:t>
                  </w:r>
                  <w:r>
                    <w:rPr>
                      <w:rFonts w:hint="default" w:ascii="Times New Roman" w:hAnsi="Times New Roman" w:eastAsia="宋体" w:cs="Times New Roman"/>
                      <w:color w:val="auto"/>
                      <w:kern w:val="0"/>
                      <w:sz w:val="21"/>
                      <w:szCs w:val="21"/>
                      <w:highlight w:val="none"/>
                      <w:lang w:bidi="ar"/>
                    </w:rPr>
                    <w:t>PO</w:t>
                  </w:r>
                  <w:r>
                    <w:rPr>
                      <w:rFonts w:hint="default" w:ascii="Times New Roman" w:hAnsi="Times New Roman" w:eastAsia="宋体" w:cs="Times New Roman"/>
                      <w:color w:val="auto"/>
                      <w:kern w:val="0"/>
                      <w:sz w:val="21"/>
                      <w:szCs w:val="21"/>
                      <w:highlight w:val="none"/>
                      <w:vertAlign w:val="subscript"/>
                      <w:lang w:bidi="ar"/>
                    </w:rPr>
                    <w:t>4</w:t>
                  </w:r>
                  <w:r>
                    <w:rPr>
                      <w:rFonts w:hint="default" w:ascii="Times New Roman" w:hAnsi="Times New Roman" w:eastAsia="宋体" w:cs="Times New Roman"/>
                      <w:color w:val="auto"/>
                      <w:kern w:val="0"/>
                      <w:sz w:val="21"/>
                      <w:szCs w:val="21"/>
                      <w:highlight w:val="none"/>
                      <w:lang w:bidi="ar"/>
                    </w:rPr>
                    <w:t>，分子量为9</w:t>
                  </w:r>
                  <w:r>
                    <w:rPr>
                      <w:rFonts w:hint="default" w:ascii="Times New Roman" w:hAnsi="Times New Roman" w:eastAsia="宋体" w:cs="Times New Roman"/>
                      <w:color w:val="auto"/>
                      <w:kern w:val="0"/>
                      <w:sz w:val="21"/>
                      <w:szCs w:val="21"/>
                      <w:highlight w:val="none"/>
                      <w:lang w:eastAsia="zh-CN" w:bidi="ar"/>
                    </w:rPr>
                    <w:t>0.19</w:t>
                  </w:r>
                  <w:r>
                    <w:rPr>
                      <w:rFonts w:hint="default" w:ascii="Times New Roman" w:hAnsi="Times New Roman" w:eastAsia="宋体" w:cs="Times New Roman"/>
                      <w:color w:val="auto"/>
                      <w:kern w:val="0"/>
                      <w:sz w:val="21"/>
                      <w:szCs w:val="21"/>
                      <w:highlight w:val="none"/>
                      <w:lang w:bidi="ar"/>
                    </w:rPr>
                    <w:t>24，</w:t>
                  </w:r>
                  <w:r>
                    <w:rPr>
                      <w:rFonts w:hint="default" w:ascii="Times New Roman" w:hAnsi="Times New Roman" w:eastAsia="宋体" w:cs="Times New Roman"/>
                      <w:color w:val="auto"/>
                      <w:kern w:val="0"/>
                      <w:sz w:val="21"/>
                      <w:szCs w:val="21"/>
                      <w:highlight w:val="none"/>
                      <w:lang w:val="en-US" w:eastAsia="zh-CN" w:bidi="ar"/>
                    </w:rPr>
                    <w:t>无色、无刺激性气味，密度约为1.685</w:t>
                  </w:r>
                  <w:r>
                    <w:rPr>
                      <w:rFonts w:hint="default" w:ascii="Times New Roman" w:hAnsi="Times New Roman" w:eastAsia="宋体" w:cs="Times New Roman"/>
                      <w:color w:val="auto"/>
                      <w:kern w:val="2"/>
                      <w:sz w:val="21"/>
                      <w:szCs w:val="21"/>
                      <w:highlight w:val="none"/>
                      <w:lang w:val="en-US" w:eastAsia="zh-CN"/>
                    </w:rPr>
                    <w:t>g/cm</w:t>
                  </w:r>
                  <w:r>
                    <w:rPr>
                      <w:rFonts w:hint="default" w:ascii="Times New Roman" w:hAnsi="Times New Roman" w:eastAsia="宋体" w:cs="Times New Roman"/>
                      <w:color w:val="auto"/>
                      <w:kern w:val="2"/>
                      <w:sz w:val="21"/>
                      <w:szCs w:val="21"/>
                      <w:highlight w:val="none"/>
                      <w:vertAlign w:val="superscript"/>
                      <w:lang w:val="en-US" w:eastAsia="zh-CN"/>
                    </w:rPr>
                    <w:t>3</w:t>
                  </w:r>
                  <w:r>
                    <w:rPr>
                      <w:rFonts w:hint="default" w:ascii="Times New Roman" w:hAnsi="Times New Roman" w:eastAsia="宋体" w:cs="Times New Roman"/>
                      <w:color w:val="auto"/>
                      <w:kern w:val="2"/>
                      <w:sz w:val="21"/>
                      <w:szCs w:val="21"/>
                      <w:highlight w:val="none"/>
                      <w:lang w:val="en-US" w:eastAsia="zh-CN"/>
                    </w:rPr>
                    <w:t>，85%的磷酸，熔点约为21℃，沸点约为158℃，属</w:t>
                  </w:r>
                  <w:r>
                    <w:rPr>
                      <w:rFonts w:hint="default" w:ascii="Times New Roman" w:hAnsi="Times New Roman" w:eastAsia="宋体" w:cs="Times New Roman"/>
                      <w:color w:val="auto"/>
                      <w:kern w:val="2"/>
                      <w:sz w:val="21"/>
                      <w:szCs w:val="21"/>
                      <w:highlight w:val="none"/>
                    </w:rPr>
                    <w:t>于风险导则附录</w:t>
                  </w:r>
                  <w:r>
                    <w:rPr>
                      <w:rFonts w:hint="default" w:ascii="Times New Roman" w:hAnsi="Times New Roman" w:eastAsia="宋体" w:cs="Times New Roman"/>
                      <w:color w:val="auto"/>
                      <w:kern w:val="2"/>
                      <w:sz w:val="21"/>
                      <w:szCs w:val="21"/>
                      <w:highlight w:val="none"/>
                    </w:rPr>
                    <w:t>B</w:t>
                  </w:r>
                  <w:r>
                    <w:rPr>
                      <w:rFonts w:hint="default" w:ascii="Times New Roman" w:hAnsi="Times New Roman" w:eastAsia="宋体" w:cs="Times New Roman"/>
                      <w:color w:val="auto"/>
                      <w:kern w:val="2"/>
                      <w:sz w:val="21"/>
                      <w:szCs w:val="21"/>
                      <w:highlight w:val="none"/>
                      <w:lang w:val="en-US" w:eastAsia="zh-CN"/>
                    </w:rPr>
                    <w:t>.1</w:t>
                  </w:r>
                  <w:r>
                    <w:rPr>
                      <w:rFonts w:hint="default" w:ascii="Times New Roman" w:hAnsi="Times New Roman" w:eastAsia="宋体" w:cs="Times New Roman"/>
                      <w:color w:val="auto"/>
                      <w:kern w:val="2"/>
                      <w:sz w:val="21"/>
                      <w:szCs w:val="21"/>
                      <w:highlight w:val="none"/>
                    </w:rPr>
                    <w:t>中风险物质。</w:t>
                  </w:r>
                </w:p>
              </w:tc>
              <w:tc>
                <w:tcPr>
                  <w:tcW w:w="425" w:type="pct"/>
                  <w:noWrap w:val="0"/>
                  <w:vAlign w:val="center"/>
                </w:tcPr>
                <w:p w14:paraId="00A51F16">
                  <w:pPr>
                    <w:widowControl/>
                    <w:jc w:val="center"/>
                    <w:textAlignment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是</w:t>
                  </w:r>
                </w:p>
              </w:tc>
              <w:tc>
                <w:tcPr>
                  <w:tcW w:w="378" w:type="pct"/>
                  <w:noWrap w:val="0"/>
                  <w:vAlign w:val="center"/>
                </w:tcPr>
                <w:p w14:paraId="568426E6">
                  <w:pPr>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10</w:t>
                  </w:r>
                </w:p>
              </w:tc>
            </w:tr>
            <w:tr w14:paraId="752B17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53" w:type="pct"/>
                  <w:noWrap w:val="0"/>
                  <w:vAlign w:val="center"/>
                </w:tcPr>
                <w:p w14:paraId="5A565D0C">
                  <w:pPr>
                    <w:widowControl/>
                    <w:jc w:val="center"/>
                    <w:textAlignment w:val="center"/>
                    <w:rPr>
                      <w:rFonts w:hint="default" w:ascii="Times New Roman" w:hAnsi="Times New Roman" w:eastAsia="宋体" w:cs="Times New Roman"/>
                      <w:b w:val="0"/>
                      <w:bCs w:val="0"/>
                      <w:color w:val="auto"/>
                      <w:kern w:val="0"/>
                      <w:sz w:val="21"/>
                      <w:szCs w:val="21"/>
                      <w:highlight w:val="none"/>
                      <w:lang w:val="en-US" w:eastAsia="zh-CN" w:bidi="ar"/>
                    </w:rPr>
                  </w:pPr>
                  <w:r>
                    <w:rPr>
                      <w:rFonts w:hint="eastAsia" w:cs="Times New Roman"/>
                      <w:b w:val="0"/>
                      <w:bCs w:val="0"/>
                      <w:color w:val="auto"/>
                      <w:kern w:val="0"/>
                      <w:sz w:val="21"/>
                      <w:szCs w:val="21"/>
                      <w:highlight w:val="none"/>
                      <w:lang w:val="en-US" w:eastAsia="zh-CN" w:bidi="ar"/>
                    </w:rPr>
                    <w:t>38</w:t>
                  </w:r>
                </w:p>
              </w:tc>
              <w:tc>
                <w:tcPr>
                  <w:tcW w:w="621" w:type="pct"/>
                  <w:noWrap w:val="0"/>
                  <w:vAlign w:val="center"/>
                </w:tcPr>
                <w:p w14:paraId="2947B9BB">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硫酸</w:t>
                  </w:r>
                </w:p>
              </w:tc>
              <w:tc>
                <w:tcPr>
                  <w:tcW w:w="576" w:type="pct"/>
                  <w:noWrap w:val="0"/>
                  <w:vAlign w:val="center"/>
                </w:tcPr>
                <w:p w14:paraId="41D3C1B2">
                  <w:pPr>
                    <w:tabs>
                      <w:tab w:val="left" w:pos="1088"/>
                    </w:tabs>
                    <w:jc w:val="center"/>
                    <w:rPr>
                      <w:rFonts w:hint="default" w:ascii="Times New Roman" w:hAnsi="Times New Roman" w:cs="Times New Roman"/>
                      <w:color w:val="auto"/>
                      <w:sz w:val="21"/>
                      <w:szCs w:val="21"/>
                      <w:highlight w:val="none"/>
                    </w:rPr>
                  </w:pPr>
                  <w:r>
                    <w:rPr>
                      <w:rFonts w:hint="default" w:ascii="Times New Roman" w:hAnsi="Times New Roman" w:cs="Times New Roman"/>
                      <w:bCs/>
                      <w:color w:val="auto"/>
                      <w:sz w:val="21"/>
                      <w:szCs w:val="21"/>
                      <w:highlight w:val="none"/>
                    </w:rPr>
                    <w:t>500ml</w:t>
                  </w:r>
                  <w:r>
                    <w:rPr>
                      <w:rFonts w:hint="eastAsia" w:cs="Times New Roman"/>
                      <w:bCs/>
                      <w:color w:val="auto"/>
                      <w:sz w:val="21"/>
                      <w:szCs w:val="21"/>
                      <w:highlight w:val="none"/>
                      <w:lang w:val="en-US" w:eastAsia="zh-CN"/>
                    </w:rPr>
                    <w:t>/瓶</w:t>
                  </w:r>
                </w:p>
              </w:tc>
              <w:tc>
                <w:tcPr>
                  <w:tcW w:w="534" w:type="pct"/>
                  <w:noWrap w:val="0"/>
                  <w:vAlign w:val="center"/>
                </w:tcPr>
                <w:p w14:paraId="2E607F75">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23.5</w:t>
                  </w:r>
                  <w:r>
                    <w:rPr>
                      <w:rFonts w:hint="eastAsia" w:cs="Times New Roman"/>
                      <w:color w:val="auto"/>
                      <w:sz w:val="21"/>
                      <w:szCs w:val="21"/>
                      <w:highlight w:val="none"/>
                      <w:lang w:val="en-US" w:eastAsia="zh-CN"/>
                    </w:rPr>
                    <w:t>kg</w:t>
                  </w:r>
                </w:p>
              </w:tc>
              <w:tc>
                <w:tcPr>
                  <w:tcW w:w="596" w:type="pct"/>
                  <w:noWrap w:val="0"/>
                  <w:vAlign w:val="center"/>
                </w:tcPr>
                <w:p w14:paraId="00A45A3C">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23.</w:t>
                  </w:r>
                  <w:r>
                    <w:rPr>
                      <w:rFonts w:hint="eastAsia" w:cs="Times New Roman"/>
                      <w:color w:val="auto"/>
                      <w:sz w:val="21"/>
                      <w:szCs w:val="21"/>
                      <w:highlight w:val="none"/>
                      <w:lang w:val="en-US" w:eastAsia="zh-CN"/>
                    </w:rPr>
                    <w:t>03kg</w:t>
                  </w:r>
                </w:p>
              </w:tc>
              <w:tc>
                <w:tcPr>
                  <w:tcW w:w="1614" w:type="pct"/>
                  <w:noWrap w:val="0"/>
                  <w:vAlign w:val="center"/>
                </w:tcPr>
                <w:p w14:paraId="2E0A5147">
                  <w:pPr>
                    <w:widowControl/>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纯品为无色透明油状液体，</w:t>
                  </w:r>
                  <w:r>
                    <w:rPr>
                      <w:rFonts w:hint="default" w:ascii="Times New Roman" w:hAnsi="Times New Roman" w:eastAsia="宋体" w:cs="Times New Roman"/>
                      <w:color w:val="auto"/>
                      <w:kern w:val="0"/>
                      <w:sz w:val="21"/>
                      <w:szCs w:val="21"/>
                      <w:highlight w:val="none"/>
                      <w:lang w:val="en-US" w:eastAsia="zh-CN" w:bidi="ar"/>
                    </w:rPr>
                    <w:t>相对分子质量为98，</w:t>
                  </w:r>
                  <w:r>
                    <w:rPr>
                      <w:rFonts w:hint="default" w:ascii="Times New Roman" w:hAnsi="Times New Roman" w:eastAsia="宋体" w:cs="Times New Roman"/>
                      <w:color w:val="auto"/>
                      <w:kern w:val="0"/>
                      <w:sz w:val="21"/>
                      <w:szCs w:val="21"/>
                      <w:highlight w:val="none"/>
                      <w:lang w:bidi="ar"/>
                    </w:rPr>
                    <w:t>无臭。熔点</w:t>
                  </w:r>
                  <w:r>
                    <w:rPr>
                      <w:rFonts w:hint="default" w:ascii="Times New Roman" w:hAnsi="Times New Roman" w:eastAsia="宋体" w:cs="Times New Roman"/>
                      <w:color w:val="auto"/>
                      <w:kern w:val="0"/>
                      <w:sz w:val="21"/>
                      <w:szCs w:val="21"/>
                      <w:highlight w:val="none"/>
                      <w:lang w:val="en-US" w:eastAsia="zh-CN" w:bidi="ar"/>
                    </w:rPr>
                    <w:t>3℃</w:t>
                  </w:r>
                  <w:r>
                    <w:rPr>
                      <w:rFonts w:hint="default" w:ascii="Times New Roman" w:hAnsi="Times New Roman" w:eastAsia="宋体" w:cs="Times New Roman"/>
                      <w:color w:val="auto"/>
                      <w:kern w:val="0"/>
                      <w:sz w:val="21"/>
                      <w:szCs w:val="21"/>
                      <w:highlight w:val="none"/>
                      <w:lang w:bidi="ar"/>
                    </w:rPr>
                    <w:t>，沸点330</w:t>
                  </w:r>
                  <w:r>
                    <w:rPr>
                      <w:rFonts w:hint="default" w:ascii="Times New Roman" w:hAnsi="Times New Roman" w:eastAsia="宋体" w:cs="Times New Roman"/>
                      <w:color w:val="auto"/>
                      <w:kern w:val="0"/>
                      <w:sz w:val="21"/>
                      <w:szCs w:val="21"/>
                      <w:highlight w:val="none"/>
                      <w:lang w:val="en-US" w:eastAsia="zh-CN" w:bidi="ar"/>
                    </w:rPr>
                    <w:t>℃</w:t>
                  </w:r>
                  <w:r>
                    <w:rPr>
                      <w:rFonts w:hint="default" w:ascii="Times New Roman" w:hAnsi="Times New Roman" w:eastAsia="宋体" w:cs="Times New Roman"/>
                      <w:color w:val="auto"/>
                      <w:kern w:val="0"/>
                      <w:sz w:val="21"/>
                      <w:szCs w:val="21"/>
                      <w:highlight w:val="none"/>
                      <w:lang w:bidi="ar"/>
                    </w:rPr>
                    <w:t>；</w:t>
                  </w:r>
                  <w:r>
                    <w:rPr>
                      <w:rFonts w:hint="default" w:ascii="Times New Roman" w:hAnsi="Times New Roman" w:eastAsia="宋体" w:cs="Times New Roman"/>
                      <w:color w:val="auto"/>
                      <w:kern w:val="0"/>
                      <w:sz w:val="21"/>
                      <w:szCs w:val="21"/>
                      <w:highlight w:val="none"/>
                      <w:lang w:val="en-US" w:eastAsia="zh-CN" w:bidi="ar"/>
                    </w:rPr>
                    <w:t>浓度为98%，</w:t>
                  </w:r>
                  <w:r>
                    <w:rPr>
                      <w:rFonts w:hint="default" w:ascii="Times New Roman" w:hAnsi="Times New Roman" w:eastAsia="宋体" w:cs="Times New Roman"/>
                      <w:color w:val="auto"/>
                      <w:kern w:val="0"/>
                      <w:sz w:val="21"/>
                      <w:szCs w:val="21"/>
                      <w:highlight w:val="none"/>
                      <w:lang w:bidi="ar"/>
                    </w:rPr>
                    <w:t>相对密度1.83</w:t>
                  </w:r>
                  <w:r>
                    <w:rPr>
                      <w:rFonts w:hint="default" w:ascii="Times New Roman" w:hAnsi="Times New Roman" w:eastAsia="宋体" w:cs="Times New Roman"/>
                      <w:color w:val="auto"/>
                      <w:kern w:val="0"/>
                      <w:sz w:val="21"/>
                      <w:szCs w:val="21"/>
                      <w:highlight w:val="none"/>
                      <w:lang w:val="en-US" w:eastAsia="zh-CN" w:bidi="ar"/>
                    </w:rPr>
                    <w:t>g/cm</w:t>
                  </w:r>
                  <w:r>
                    <w:rPr>
                      <w:rFonts w:hint="default" w:ascii="Times New Roman" w:hAnsi="Times New Roman" w:eastAsia="宋体" w:cs="Times New Roman"/>
                      <w:color w:val="auto"/>
                      <w:kern w:val="0"/>
                      <w:sz w:val="21"/>
                      <w:szCs w:val="21"/>
                      <w:highlight w:val="none"/>
                      <w:vertAlign w:val="superscript"/>
                      <w:lang w:val="en-US" w:eastAsia="zh-CN" w:bidi="ar"/>
                    </w:rPr>
                    <w:t>3</w:t>
                  </w:r>
                  <w:r>
                    <w:rPr>
                      <w:rFonts w:hint="default" w:ascii="Times New Roman" w:hAnsi="Times New Roman" w:eastAsia="宋体" w:cs="Times New Roman"/>
                      <w:color w:val="auto"/>
                      <w:kern w:val="0"/>
                      <w:sz w:val="21"/>
                      <w:szCs w:val="21"/>
                      <w:highlight w:val="none"/>
                      <w:lang w:bidi="ar"/>
                    </w:rPr>
                    <w:t>；溶解性与水混溶。</w:t>
                  </w:r>
                  <w:r>
                    <w:rPr>
                      <w:rFonts w:hint="default" w:ascii="Times New Roman" w:hAnsi="Times New Roman" w:eastAsia="宋体" w:cs="Times New Roman"/>
                      <w:color w:val="auto"/>
                      <w:kern w:val="2"/>
                      <w:sz w:val="21"/>
                      <w:szCs w:val="21"/>
                      <w:highlight w:val="none"/>
                    </w:rPr>
                    <w:t>属于风险导则附录</w:t>
                  </w:r>
                  <w:r>
                    <w:rPr>
                      <w:rFonts w:hint="default" w:ascii="Times New Roman" w:hAnsi="Times New Roman" w:eastAsia="宋体" w:cs="Times New Roman"/>
                      <w:color w:val="auto"/>
                      <w:kern w:val="2"/>
                      <w:sz w:val="21"/>
                      <w:szCs w:val="21"/>
                      <w:highlight w:val="none"/>
                    </w:rPr>
                    <w:t>B</w:t>
                  </w:r>
                  <w:r>
                    <w:rPr>
                      <w:rFonts w:hint="default" w:ascii="Times New Roman" w:hAnsi="Times New Roman" w:eastAsia="宋体" w:cs="Times New Roman"/>
                      <w:color w:val="auto"/>
                      <w:kern w:val="2"/>
                      <w:sz w:val="21"/>
                      <w:szCs w:val="21"/>
                      <w:highlight w:val="none"/>
                      <w:lang w:val="en-US" w:eastAsia="zh-CN"/>
                    </w:rPr>
                    <w:t>.1</w:t>
                  </w:r>
                  <w:r>
                    <w:rPr>
                      <w:rFonts w:hint="default" w:ascii="Times New Roman" w:hAnsi="Times New Roman" w:eastAsia="宋体" w:cs="Times New Roman"/>
                      <w:color w:val="auto"/>
                      <w:kern w:val="2"/>
                      <w:sz w:val="21"/>
                      <w:szCs w:val="21"/>
                      <w:highlight w:val="none"/>
                    </w:rPr>
                    <w:t>中的风险物质</w:t>
                  </w:r>
                </w:p>
              </w:tc>
              <w:tc>
                <w:tcPr>
                  <w:tcW w:w="425" w:type="pct"/>
                  <w:noWrap w:val="0"/>
                  <w:vAlign w:val="center"/>
                </w:tcPr>
                <w:p w14:paraId="61F2DF4F">
                  <w:pPr>
                    <w:widowControl/>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是</w:t>
                  </w:r>
                </w:p>
              </w:tc>
              <w:tc>
                <w:tcPr>
                  <w:tcW w:w="378" w:type="pct"/>
                  <w:noWrap w:val="0"/>
                  <w:vAlign w:val="center"/>
                </w:tcPr>
                <w:p w14:paraId="1BE8A89E">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10</w:t>
                  </w:r>
                </w:p>
              </w:tc>
            </w:tr>
            <w:tr w14:paraId="2492A7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53" w:type="pct"/>
                  <w:noWrap w:val="0"/>
                  <w:vAlign w:val="center"/>
                </w:tcPr>
                <w:p w14:paraId="689E6EC2">
                  <w:pPr>
                    <w:widowControl/>
                    <w:jc w:val="center"/>
                    <w:textAlignment w:val="center"/>
                    <w:rPr>
                      <w:rFonts w:hint="default" w:ascii="Times New Roman" w:hAnsi="Times New Roman" w:eastAsia="宋体" w:cs="Times New Roman"/>
                      <w:b w:val="0"/>
                      <w:bCs w:val="0"/>
                      <w:color w:val="auto"/>
                      <w:kern w:val="0"/>
                      <w:sz w:val="21"/>
                      <w:szCs w:val="21"/>
                      <w:highlight w:val="none"/>
                      <w:lang w:val="en-US" w:eastAsia="zh-CN" w:bidi="ar"/>
                    </w:rPr>
                  </w:pPr>
                  <w:r>
                    <w:rPr>
                      <w:rFonts w:hint="eastAsia" w:cs="Times New Roman"/>
                      <w:b w:val="0"/>
                      <w:bCs w:val="0"/>
                      <w:color w:val="auto"/>
                      <w:kern w:val="0"/>
                      <w:sz w:val="21"/>
                      <w:szCs w:val="21"/>
                      <w:highlight w:val="none"/>
                      <w:lang w:val="en-US" w:eastAsia="zh-CN" w:bidi="ar"/>
                    </w:rPr>
                    <w:t>39</w:t>
                  </w:r>
                </w:p>
              </w:tc>
              <w:tc>
                <w:tcPr>
                  <w:tcW w:w="621" w:type="pct"/>
                  <w:noWrap w:val="0"/>
                  <w:vAlign w:val="center"/>
                </w:tcPr>
                <w:p w14:paraId="6CC51AEF">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双氧水</w:t>
                  </w:r>
                </w:p>
              </w:tc>
              <w:tc>
                <w:tcPr>
                  <w:tcW w:w="576" w:type="pct"/>
                  <w:noWrap w:val="0"/>
                  <w:vAlign w:val="center"/>
                </w:tcPr>
                <w:p w14:paraId="33E0C1A3">
                  <w:pPr>
                    <w:tabs>
                      <w:tab w:val="left" w:pos="1088"/>
                    </w:tabs>
                    <w:jc w:val="center"/>
                    <w:rPr>
                      <w:rFonts w:hint="default" w:ascii="Times New Roman" w:hAnsi="Times New Roman" w:cs="Times New Roman"/>
                      <w:color w:val="auto"/>
                      <w:sz w:val="21"/>
                      <w:szCs w:val="21"/>
                      <w:highlight w:val="none"/>
                    </w:rPr>
                  </w:pPr>
                  <w:r>
                    <w:rPr>
                      <w:rFonts w:hint="default" w:ascii="Times New Roman" w:hAnsi="Times New Roman" w:cs="Times New Roman"/>
                      <w:bCs/>
                      <w:color w:val="auto"/>
                      <w:sz w:val="21"/>
                      <w:szCs w:val="21"/>
                      <w:highlight w:val="none"/>
                    </w:rPr>
                    <w:t>500ml</w:t>
                  </w:r>
                  <w:r>
                    <w:rPr>
                      <w:rFonts w:hint="eastAsia" w:cs="Times New Roman"/>
                      <w:bCs/>
                      <w:color w:val="auto"/>
                      <w:sz w:val="21"/>
                      <w:szCs w:val="21"/>
                      <w:highlight w:val="none"/>
                      <w:lang w:val="en-US" w:eastAsia="zh-CN"/>
                    </w:rPr>
                    <w:t>/瓶</w:t>
                  </w:r>
                </w:p>
              </w:tc>
              <w:tc>
                <w:tcPr>
                  <w:tcW w:w="534" w:type="pct"/>
                  <w:noWrap w:val="0"/>
                  <w:vAlign w:val="center"/>
                </w:tcPr>
                <w:p w14:paraId="7382F74D">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2</w:t>
                  </w:r>
                  <w:r>
                    <w:rPr>
                      <w:rFonts w:hint="eastAsia" w:cs="Times New Roman"/>
                      <w:color w:val="auto"/>
                      <w:sz w:val="21"/>
                      <w:szCs w:val="21"/>
                      <w:highlight w:val="none"/>
                      <w:lang w:val="en-US" w:eastAsia="zh-CN"/>
                    </w:rPr>
                    <w:t>kg</w:t>
                  </w:r>
                </w:p>
              </w:tc>
              <w:tc>
                <w:tcPr>
                  <w:tcW w:w="596" w:type="pct"/>
                  <w:noWrap w:val="0"/>
                  <w:vAlign w:val="center"/>
                </w:tcPr>
                <w:p w14:paraId="4B9A3D99">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2</w:t>
                  </w:r>
                  <w:r>
                    <w:rPr>
                      <w:rFonts w:hint="eastAsia" w:cs="Times New Roman"/>
                      <w:color w:val="auto"/>
                      <w:sz w:val="21"/>
                      <w:szCs w:val="21"/>
                      <w:highlight w:val="none"/>
                      <w:lang w:val="en-US" w:eastAsia="zh-CN"/>
                    </w:rPr>
                    <w:t>kg</w:t>
                  </w:r>
                </w:p>
              </w:tc>
              <w:tc>
                <w:tcPr>
                  <w:tcW w:w="1614" w:type="pct"/>
                  <w:noWrap w:val="0"/>
                  <w:vAlign w:val="center"/>
                </w:tcPr>
                <w:p w14:paraId="713D1687">
                  <w:pPr>
                    <w:widowControl/>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val="en-US" w:eastAsia="zh-CN" w:bidi="ar"/>
                    </w:rPr>
                    <w:t>H₂O₂，学名过氧化氢，淡蓝色的黏稠液体，</w:t>
                  </w:r>
                  <w:r>
                    <w:rPr>
                      <w:rFonts w:hint="eastAsia" w:cs="Times New Roman"/>
                      <w:color w:val="auto"/>
                      <w:kern w:val="0"/>
                      <w:sz w:val="21"/>
                      <w:szCs w:val="21"/>
                      <w:highlight w:val="none"/>
                      <w:lang w:val="en-US" w:eastAsia="zh-CN" w:bidi="ar"/>
                    </w:rPr>
                    <w:t>有轻微刺激性气味，</w:t>
                  </w:r>
                  <w:r>
                    <w:rPr>
                      <w:rFonts w:hint="default" w:ascii="Times New Roman" w:hAnsi="Times New Roman" w:eastAsia="宋体" w:cs="Times New Roman"/>
                      <w:color w:val="auto"/>
                      <w:kern w:val="0"/>
                      <w:sz w:val="21"/>
                      <w:szCs w:val="21"/>
                      <w:highlight w:val="none"/>
                      <w:lang w:bidi="ar"/>
                    </w:rPr>
                    <w:t>相对密度</w:t>
                  </w:r>
                  <w:r>
                    <w:rPr>
                      <w:rFonts w:hint="eastAsia" w:cs="Times New Roman"/>
                      <w:color w:val="auto"/>
                      <w:kern w:val="0"/>
                      <w:sz w:val="21"/>
                      <w:szCs w:val="21"/>
                      <w:highlight w:val="none"/>
                      <w:lang w:val="en-US" w:eastAsia="zh-CN" w:bidi="ar"/>
                    </w:rPr>
                    <w:t>1</w:t>
                  </w:r>
                  <w:r>
                    <w:rPr>
                      <w:rFonts w:hint="default" w:ascii="Times New Roman" w:hAnsi="Times New Roman" w:eastAsia="宋体" w:cs="Times New Roman"/>
                      <w:color w:val="auto"/>
                      <w:kern w:val="0"/>
                      <w:sz w:val="21"/>
                      <w:szCs w:val="21"/>
                      <w:highlight w:val="none"/>
                      <w:lang w:bidi="ar"/>
                    </w:rPr>
                    <w:t>.46</w:t>
                  </w:r>
                  <w:r>
                    <w:rPr>
                      <w:rFonts w:hint="eastAsia" w:cs="Times New Roman"/>
                      <w:color w:val="auto"/>
                      <w:kern w:val="0"/>
                      <w:sz w:val="21"/>
                      <w:szCs w:val="21"/>
                      <w:highlight w:val="none"/>
                      <w:lang w:val="en-US" w:eastAsia="zh-CN" w:bidi="ar"/>
                    </w:rPr>
                    <w:t>g/cm</w:t>
                  </w:r>
                  <w:r>
                    <w:rPr>
                      <w:rFonts w:hint="eastAsia" w:cs="Times New Roman"/>
                      <w:color w:val="auto"/>
                      <w:kern w:val="0"/>
                      <w:sz w:val="21"/>
                      <w:szCs w:val="21"/>
                      <w:highlight w:val="none"/>
                      <w:vertAlign w:val="superscript"/>
                      <w:lang w:val="en-US" w:eastAsia="zh-CN" w:bidi="ar"/>
                    </w:rPr>
                    <w:t>3</w:t>
                  </w:r>
                  <w:r>
                    <w:rPr>
                      <w:rFonts w:hint="default" w:ascii="Times New Roman" w:hAnsi="Times New Roman" w:eastAsia="宋体" w:cs="Times New Roman"/>
                      <w:color w:val="auto"/>
                      <w:kern w:val="0"/>
                      <w:sz w:val="21"/>
                      <w:szCs w:val="21"/>
                      <w:highlight w:val="none"/>
                      <w:lang w:bidi="ar"/>
                    </w:rPr>
                    <w:t>。熔点-</w:t>
                  </w:r>
                  <w:r>
                    <w:rPr>
                      <w:rFonts w:hint="eastAsia" w:cs="Times New Roman"/>
                      <w:color w:val="auto"/>
                      <w:kern w:val="0"/>
                      <w:sz w:val="21"/>
                      <w:szCs w:val="21"/>
                      <w:highlight w:val="none"/>
                      <w:lang w:val="en-US" w:eastAsia="zh-CN" w:bidi="ar"/>
                    </w:rPr>
                    <w:t>0.4</w:t>
                  </w:r>
                  <w:r>
                    <w:rPr>
                      <w:rFonts w:hint="default" w:ascii="Times New Roman" w:hAnsi="Times New Roman" w:eastAsia="宋体" w:cs="Times New Roman"/>
                      <w:color w:val="auto"/>
                      <w:kern w:val="0"/>
                      <w:sz w:val="21"/>
                      <w:szCs w:val="21"/>
                      <w:highlight w:val="none"/>
                      <w:lang w:bidi="ar"/>
                    </w:rPr>
                    <w:t>℃</w:t>
                  </w:r>
                  <w:r>
                    <w:rPr>
                      <w:rFonts w:hint="eastAsia" w:cs="Times New Roman"/>
                      <w:color w:val="auto"/>
                      <w:kern w:val="0"/>
                      <w:sz w:val="21"/>
                      <w:szCs w:val="21"/>
                      <w:highlight w:val="none"/>
                      <w:lang w:eastAsia="zh-CN" w:bidi="ar"/>
                    </w:rPr>
                    <w:t>，</w:t>
                  </w:r>
                  <w:r>
                    <w:rPr>
                      <w:rFonts w:hint="default" w:ascii="Times New Roman" w:hAnsi="Times New Roman" w:eastAsia="宋体" w:cs="Times New Roman"/>
                      <w:color w:val="auto"/>
                      <w:kern w:val="0"/>
                      <w:sz w:val="21"/>
                      <w:szCs w:val="21"/>
                      <w:highlight w:val="none"/>
                      <w:lang w:bidi="ar"/>
                    </w:rPr>
                    <w:t>沸点15</w:t>
                  </w:r>
                  <w:r>
                    <w:rPr>
                      <w:rFonts w:hint="eastAsia" w:cs="Times New Roman"/>
                      <w:color w:val="auto"/>
                      <w:kern w:val="0"/>
                      <w:sz w:val="21"/>
                      <w:szCs w:val="21"/>
                      <w:highlight w:val="none"/>
                      <w:lang w:val="en-US" w:eastAsia="zh-CN" w:bidi="ar"/>
                    </w:rPr>
                    <w:t>0</w:t>
                  </w:r>
                  <w:r>
                    <w:rPr>
                      <w:rFonts w:hint="default" w:ascii="Times New Roman" w:hAnsi="Times New Roman" w:eastAsia="宋体" w:cs="Times New Roman"/>
                      <w:color w:val="auto"/>
                      <w:kern w:val="0"/>
                      <w:sz w:val="21"/>
                      <w:szCs w:val="21"/>
                      <w:highlight w:val="none"/>
                      <w:lang w:bidi="ar"/>
                    </w:rPr>
                    <w:t>℃</w:t>
                  </w:r>
                  <w:r>
                    <w:rPr>
                      <w:rFonts w:hint="eastAsia" w:cs="Times New Roman"/>
                      <w:color w:val="auto"/>
                      <w:kern w:val="0"/>
                      <w:sz w:val="21"/>
                      <w:szCs w:val="21"/>
                      <w:highlight w:val="none"/>
                      <w:lang w:eastAsia="zh-CN" w:bidi="ar"/>
                    </w:rPr>
                    <w:t>，</w:t>
                  </w:r>
                  <w:r>
                    <w:rPr>
                      <w:rFonts w:hint="default" w:ascii="Times New Roman" w:hAnsi="Times New Roman" w:eastAsia="宋体" w:cs="Times New Roman"/>
                      <w:i w:val="0"/>
                      <w:iCs w:val="0"/>
                      <w:caps w:val="0"/>
                      <w:color w:val="auto"/>
                      <w:spacing w:val="0"/>
                      <w:sz w:val="21"/>
                      <w:szCs w:val="21"/>
                      <w:highlight w:val="none"/>
                      <w:shd w:val="clear" w:fill="FFFFFF"/>
                      <w:vertAlign w:val="baseline"/>
                      <w:lang w:eastAsia="zh-CN"/>
                    </w:rPr>
                    <w:t>熔点-0.43°C</w:t>
                  </w:r>
                  <w:r>
                    <w:rPr>
                      <w:rFonts w:hint="eastAsia" w:ascii="Times New Roman" w:hAnsi="Times New Roman" w:eastAsia="宋体" w:cs="Times New Roman"/>
                      <w:i w:val="0"/>
                      <w:iCs w:val="0"/>
                      <w:caps w:val="0"/>
                      <w:color w:val="auto"/>
                      <w:spacing w:val="0"/>
                      <w:sz w:val="21"/>
                      <w:szCs w:val="21"/>
                      <w:highlight w:val="none"/>
                      <w:shd w:val="clear" w:fill="FFFFFF"/>
                      <w:vertAlign w:val="baseline"/>
                      <w:lang w:eastAsia="zh-CN"/>
                    </w:rPr>
                    <w:t>。</w:t>
                  </w:r>
                  <w:r>
                    <w:rPr>
                      <w:rFonts w:hint="default" w:ascii="Times New Roman" w:hAnsi="Times New Roman" w:eastAsia="宋体" w:cs="Times New Roman"/>
                      <w:color w:val="auto"/>
                      <w:kern w:val="0"/>
                      <w:sz w:val="21"/>
                      <w:szCs w:val="21"/>
                      <w:highlight w:val="none"/>
                      <w:lang w:val="en-US" w:eastAsia="zh-CN" w:bidi="ar"/>
                    </w:rPr>
                    <w:t>溶于水，醇，醚，不溶于苯，石油醚</w:t>
                  </w:r>
                  <w:r>
                    <w:rPr>
                      <w:rFonts w:hint="eastAsia" w:cs="Times New Roman"/>
                      <w:color w:val="auto"/>
                      <w:kern w:val="0"/>
                      <w:sz w:val="21"/>
                      <w:szCs w:val="21"/>
                      <w:highlight w:val="none"/>
                      <w:lang w:val="en-US" w:eastAsia="zh-CN" w:bidi="ar"/>
                    </w:rPr>
                    <w:t>。属于</w:t>
                  </w:r>
                  <w:r>
                    <w:rPr>
                      <w:rFonts w:hint="default" w:ascii="Times New Roman" w:hAnsi="Times New Roman" w:eastAsia="宋体" w:cs="Times New Roman"/>
                      <w:b w:val="0"/>
                      <w:bCs w:val="0"/>
                      <w:color w:val="auto"/>
                      <w:kern w:val="2"/>
                      <w:sz w:val="21"/>
                      <w:szCs w:val="21"/>
                      <w:highlight w:val="none"/>
                      <w:lang w:val="en-US" w:eastAsia="zh-CN" w:bidi="ar-SA"/>
                    </w:rPr>
                    <w:t>《危险化学品重大危险源辨识》（GB18218-2018）</w:t>
                  </w:r>
                  <w:r>
                    <w:rPr>
                      <w:rFonts w:hint="eastAsia" w:ascii="Times New Roman" w:hAnsi="Times New Roman" w:cs="Times New Roman"/>
                      <w:b w:val="0"/>
                      <w:bCs w:val="0"/>
                      <w:color w:val="auto"/>
                      <w:kern w:val="2"/>
                      <w:sz w:val="21"/>
                      <w:szCs w:val="21"/>
                      <w:highlight w:val="none"/>
                      <w:lang w:val="en-US" w:eastAsia="zh-CN" w:bidi="ar-SA"/>
                    </w:rPr>
                    <w:t>表2氧化性液体类别1的风险物质。</w:t>
                  </w:r>
                </w:p>
              </w:tc>
              <w:tc>
                <w:tcPr>
                  <w:tcW w:w="425" w:type="pct"/>
                  <w:noWrap w:val="0"/>
                  <w:vAlign w:val="center"/>
                </w:tcPr>
                <w:p w14:paraId="3EEB1D2E">
                  <w:pPr>
                    <w:widowControl/>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是</w:t>
                  </w:r>
                </w:p>
              </w:tc>
              <w:tc>
                <w:tcPr>
                  <w:tcW w:w="378" w:type="pct"/>
                  <w:noWrap w:val="0"/>
                  <w:vAlign w:val="center"/>
                </w:tcPr>
                <w:p w14:paraId="029644A6">
                  <w:pPr>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50</w:t>
                  </w:r>
                </w:p>
              </w:tc>
            </w:tr>
            <w:tr w14:paraId="10F625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53" w:type="pct"/>
                  <w:noWrap w:val="0"/>
                  <w:vAlign w:val="center"/>
                </w:tcPr>
                <w:p w14:paraId="0566EB80">
                  <w:pPr>
                    <w:widowControl/>
                    <w:jc w:val="center"/>
                    <w:textAlignment w:val="center"/>
                    <w:rPr>
                      <w:rFonts w:hint="default" w:ascii="Times New Roman" w:hAnsi="Times New Roman" w:eastAsia="宋体" w:cs="Times New Roman"/>
                      <w:b w:val="0"/>
                      <w:bCs w:val="0"/>
                      <w:color w:val="auto"/>
                      <w:kern w:val="0"/>
                      <w:sz w:val="21"/>
                      <w:szCs w:val="21"/>
                      <w:highlight w:val="none"/>
                      <w:lang w:val="en-US" w:eastAsia="zh-CN" w:bidi="ar"/>
                    </w:rPr>
                  </w:pPr>
                  <w:r>
                    <w:rPr>
                      <w:rFonts w:hint="eastAsia" w:cs="Times New Roman"/>
                      <w:b w:val="0"/>
                      <w:bCs w:val="0"/>
                      <w:color w:val="auto"/>
                      <w:kern w:val="0"/>
                      <w:sz w:val="21"/>
                      <w:szCs w:val="21"/>
                      <w:highlight w:val="none"/>
                      <w:lang w:val="en-US" w:eastAsia="zh-CN" w:bidi="ar"/>
                    </w:rPr>
                    <w:t>40</w:t>
                  </w:r>
                </w:p>
              </w:tc>
              <w:tc>
                <w:tcPr>
                  <w:tcW w:w="621" w:type="pct"/>
                  <w:noWrap w:val="0"/>
                  <w:vAlign w:val="center"/>
                </w:tcPr>
                <w:p w14:paraId="367532EB">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碳酸钠</w:t>
                  </w:r>
                </w:p>
              </w:tc>
              <w:tc>
                <w:tcPr>
                  <w:tcW w:w="576" w:type="pct"/>
                  <w:noWrap w:val="0"/>
                  <w:vAlign w:val="center"/>
                </w:tcPr>
                <w:p w14:paraId="7962BA83">
                  <w:pPr>
                    <w:tabs>
                      <w:tab w:val="left" w:pos="1088"/>
                    </w:tabs>
                    <w:jc w:val="center"/>
                    <w:rPr>
                      <w:rFonts w:hint="default" w:ascii="Times New Roman" w:hAnsi="Times New Roman" w:cs="Times New Roman"/>
                      <w:color w:val="auto"/>
                      <w:sz w:val="21"/>
                      <w:szCs w:val="21"/>
                      <w:highlight w:val="none"/>
                    </w:rPr>
                  </w:pPr>
                  <w:r>
                    <w:rPr>
                      <w:rFonts w:hint="default" w:ascii="Times New Roman" w:hAnsi="Times New Roman" w:cs="Times New Roman"/>
                      <w:bCs/>
                      <w:color w:val="auto"/>
                      <w:sz w:val="21"/>
                      <w:szCs w:val="21"/>
                      <w:highlight w:val="none"/>
                    </w:rPr>
                    <w:t>250g</w:t>
                  </w:r>
                  <w:r>
                    <w:rPr>
                      <w:rFonts w:hint="eastAsia" w:cs="Times New Roman"/>
                      <w:bCs/>
                      <w:color w:val="auto"/>
                      <w:sz w:val="21"/>
                      <w:szCs w:val="21"/>
                      <w:highlight w:val="none"/>
                      <w:lang w:val="en-US" w:eastAsia="zh-CN"/>
                    </w:rPr>
                    <w:t>/瓶</w:t>
                  </w:r>
                </w:p>
              </w:tc>
              <w:tc>
                <w:tcPr>
                  <w:tcW w:w="534" w:type="pct"/>
                  <w:noWrap w:val="0"/>
                  <w:vAlign w:val="center"/>
                </w:tcPr>
                <w:p w14:paraId="7C0C3019">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0.25kg</w:t>
                  </w:r>
                </w:p>
              </w:tc>
              <w:tc>
                <w:tcPr>
                  <w:tcW w:w="596" w:type="pct"/>
                  <w:noWrap w:val="0"/>
                  <w:vAlign w:val="center"/>
                </w:tcPr>
                <w:p w14:paraId="47F89DAA">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0.25kg</w:t>
                  </w:r>
                </w:p>
              </w:tc>
              <w:tc>
                <w:tcPr>
                  <w:tcW w:w="1614" w:type="pct"/>
                  <w:noWrap w:val="0"/>
                  <w:vAlign w:val="center"/>
                </w:tcPr>
                <w:p w14:paraId="7183CDBC">
                  <w:pPr>
                    <w:widowControl/>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碳酸钠（Na</w:t>
                  </w:r>
                  <w:r>
                    <w:rPr>
                      <w:rFonts w:hint="default" w:ascii="Times New Roman" w:hAnsi="Times New Roman" w:eastAsia="宋体" w:cs="Times New Roman"/>
                      <w:color w:val="auto"/>
                      <w:kern w:val="0"/>
                      <w:sz w:val="21"/>
                      <w:szCs w:val="21"/>
                      <w:highlight w:val="none"/>
                      <w:vertAlign w:val="subscript"/>
                      <w:lang w:bidi="ar"/>
                    </w:rPr>
                    <w:t>2</w:t>
                  </w:r>
                  <w:r>
                    <w:rPr>
                      <w:rFonts w:hint="default" w:ascii="Times New Roman" w:hAnsi="Times New Roman" w:eastAsia="宋体" w:cs="Times New Roman"/>
                      <w:color w:val="auto"/>
                      <w:kern w:val="0"/>
                      <w:sz w:val="21"/>
                      <w:szCs w:val="21"/>
                      <w:highlight w:val="none"/>
                      <w:lang w:bidi="ar"/>
                    </w:rPr>
                    <w:t>CO</w:t>
                  </w:r>
                  <w:r>
                    <w:rPr>
                      <w:rFonts w:hint="default" w:ascii="Times New Roman" w:hAnsi="Times New Roman" w:eastAsia="宋体" w:cs="Times New Roman"/>
                      <w:color w:val="auto"/>
                      <w:kern w:val="0"/>
                      <w:sz w:val="21"/>
                      <w:szCs w:val="21"/>
                      <w:highlight w:val="none"/>
                      <w:vertAlign w:val="subscript"/>
                      <w:lang w:bidi="ar"/>
                    </w:rPr>
                    <w:t>3</w:t>
                  </w:r>
                  <w:r>
                    <w:rPr>
                      <w:rFonts w:hint="default" w:ascii="Times New Roman" w:hAnsi="Times New Roman" w:eastAsia="宋体" w:cs="Times New Roman"/>
                      <w:color w:val="auto"/>
                      <w:kern w:val="0"/>
                      <w:sz w:val="21"/>
                      <w:szCs w:val="21"/>
                      <w:highlight w:val="none"/>
                      <w:lang w:bidi="ar"/>
                    </w:rPr>
                    <w:t>），分子量105.99，碳酸钠是一种易溶于水的白色粉末，溶液呈碱性（能使酚酞溶液变浅红）</w:t>
                  </w:r>
                  <w:r>
                    <w:rPr>
                      <w:rFonts w:hint="eastAsia" w:ascii="Times New Roman" w:hAnsi="Times New Roman" w:cs="Times New Roman"/>
                      <w:color w:val="auto"/>
                      <w:kern w:val="0"/>
                      <w:sz w:val="21"/>
                      <w:szCs w:val="21"/>
                      <w:highlight w:val="none"/>
                      <w:lang w:eastAsia="zh-CN" w:bidi="ar"/>
                    </w:rPr>
                    <w:t>，</w:t>
                  </w:r>
                  <w:r>
                    <w:rPr>
                      <w:rFonts w:hint="eastAsia" w:cs="Times New Roman"/>
                      <w:color w:val="auto"/>
                      <w:kern w:val="0"/>
                      <w:sz w:val="21"/>
                      <w:szCs w:val="21"/>
                      <w:highlight w:val="none"/>
                      <w:lang w:val="en-US" w:eastAsia="zh-CN" w:bidi="ar"/>
                    </w:rPr>
                    <w:t>无气味，</w:t>
                  </w:r>
                  <w:r>
                    <w:rPr>
                      <w:rFonts w:hint="default" w:ascii="Times New Roman" w:hAnsi="Times New Roman" w:eastAsia="宋体" w:cs="Times New Roman"/>
                      <w:color w:val="auto"/>
                      <w:kern w:val="0"/>
                      <w:sz w:val="21"/>
                      <w:szCs w:val="21"/>
                      <w:highlight w:val="none"/>
                      <w:lang w:bidi="ar"/>
                    </w:rPr>
                    <w:t>熔点851℃，沸点1600℃，密度2.53g/cm</w:t>
                  </w:r>
                  <w:r>
                    <w:rPr>
                      <w:rFonts w:hint="default" w:ascii="Times New Roman" w:hAnsi="Times New Roman" w:eastAsia="宋体" w:cs="Times New Roman"/>
                      <w:color w:val="auto"/>
                      <w:kern w:val="0"/>
                      <w:sz w:val="21"/>
                      <w:szCs w:val="21"/>
                      <w:highlight w:val="none"/>
                      <w:vertAlign w:val="superscript"/>
                      <w:lang w:bidi="ar"/>
                    </w:rPr>
                    <w:t>3</w:t>
                  </w:r>
                  <w:r>
                    <w:rPr>
                      <w:rFonts w:hint="default" w:ascii="Times New Roman" w:hAnsi="Times New Roman" w:eastAsia="宋体" w:cs="Times New Roman"/>
                      <w:color w:val="auto"/>
                      <w:kern w:val="0"/>
                      <w:sz w:val="21"/>
                      <w:szCs w:val="21"/>
                      <w:highlight w:val="none"/>
                      <w:lang w:eastAsia="zh-CN" w:bidi="ar"/>
                    </w:rPr>
                    <w:t>。</w:t>
                  </w:r>
                  <w:r>
                    <w:rPr>
                      <w:rFonts w:hint="default" w:ascii="Times New Roman" w:hAnsi="Times New Roman" w:eastAsia="宋体" w:cs="Times New Roman"/>
                      <w:color w:val="auto"/>
                      <w:kern w:val="0"/>
                      <w:sz w:val="21"/>
                      <w:szCs w:val="21"/>
                      <w:highlight w:val="none"/>
                      <w:lang w:bidi="ar"/>
                    </w:rPr>
                    <w:t>溶液呈碱性（能使酚酞溶液变浅红）。高温能分解，加热不分解。</w:t>
                  </w:r>
                </w:p>
              </w:tc>
              <w:tc>
                <w:tcPr>
                  <w:tcW w:w="425" w:type="pct"/>
                  <w:noWrap w:val="0"/>
                  <w:vAlign w:val="center"/>
                </w:tcPr>
                <w:p w14:paraId="4217975F">
                  <w:pPr>
                    <w:widowControl/>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否</w:t>
                  </w:r>
                </w:p>
              </w:tc>
              <w:tc>
                <w:tcPr>
                  <w:tcW w:w="378" w:type="pct"/>
                  <w:noWrap w:val="0"/>
                  <w:vAlign w:val="center"/>
                </w:tcPr>
                <w:p w14:paraId="1BD59F5E">
                  <w:pPr>
                    <w:jc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w:t>
                  </w:r>
                </w:p>
              </w:tc>
            </w:tr>
            <w:tr w14:paraId="6F7392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53" w:type="pct"/>
                  <w:noWrap w:val="0"/>
                  <w:vAlign w:val="center"/>
                </w:tcPr>
                <w:p w14:paraId="687CB3F6">
                  <w:pPr>
                    <w:widowControl/>
                    <w:jc w:val="center"/>
                    <w:textAlignment w:val="center"/>
                    <w:rPr>
                      <w:rFonts w:hint="default" w:ascii="Times New Roman" w:hAnsi="Times New Roman" w:eastAsia="宋体" w:cs="Times New Roman"/>
                      <w:b w:val="0"/>
                      <w:bCs w:val="0"/>
                      <w:color w:val="auto"/>
                      <w:kern w:val="0"/>
                      <w:sz w:val="21"/>
                      <w:szCs w:val="21"/>
                      <w:highlight w:val="none"/>
                      <w:lang w:val="en-US" w:eastAsia="zh-CN" w:bidi="ar"/>
                    </w:rPr>
                  </w:pPr>
                  <w:r>
                    <w:rPr>
                      <w:rFonts w:hint="eastAsia" w:cs="Times New Roman"/>
                      <w:b w:val="0"/>
                      <w:bCs w:val="0"/>
                      <w:color w:val="auto"/>
                      <w:kern w:val="0"/>
                      <w:sz w:val="21"/>
                      <w:szCs w:val="21"/>
                      <w:highlight w:val="none"/>
                      <w:lang w:val="en-US" w:eastAsia="zh-CN" w:bidi="ar"/>
                    </w:rPr>
                    <w:t>41</w:t>
                  </w:r>
                </w:p>
              </w:tc>
              <w:tc>
                <w:tcPr>
                  <w:tcW w:w="621" w:type="pct"/>
                  <w:noWrap w:val="0"/>
                  <w:vAlign w:val="center"/>
                </w:tcPr>
                <w:p w14:paraId="4DA124A4">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氨水</w:t>
                  </w:r>
                </w:p>
              </w:tc>
              <w:tc>
                <w:tcPr>
                  <w:tcW w:w="576" w:type="pct"/>
                  <w:noWrap w:val="0"/>
                  <w:vAlign w:val="center"/>
                </w:tcPr>
                <w:p w14:paraId="3339F15F">
                  <w:pPr>
                    <w:tabs>
                      <w:tab w:val="left" w:pos="1088"/>
                    </w:tabs>
                    <w:jc w:val="center"/>
                    <w:rPr>
                      <w:rFonts w:hint="default" w:ascii="Times New Roman" w:hAnsi="Times New Roman" w:cs="Times New Roman"/>
                      <w:color w:val="auto"/>
                      <w:sz w:val="21"/>
                      <w:szCs w:val="21"/>
                      <w:highlight w:val="none"/>
                    </w:rPr>
                  </w:pPr>
                  <w:r>
                    <w:rPr>
                      <w:rFonts w:hint="default" w:ascii="Times New Roman" w:hAnsi="Times New Roman" w:cs="Times New Roman"/>
                      <w:bCs/>
                      <w:color w:val="auto"/>
                      <w:sz w:val="21"/>
                      <w:szCs w:val="21"/>
                      <w:highlight w:val="none"/>
                    </w:rPr>
                    <w:t>500ml</w:t>
                  </w:r>
                  <w:r>
                    <w:rPr>
                      <w:rFonts w:hint="eastAsia" w:cs="Times New Roman"/>
                      <w:bCs/>
                      <w:color w:val="auto"/>
                      <w:sz w:val="21"/>
                      <w:szCs w:val="21"/>
                      <w:highlight w:val="none"/>
                      <w:lang w:val="en-US" w:eastAsia="zh-CN"/>
                    </w:rPr>
                    <w:t>/瓶</w:t>
                  </w:r>
                </w:p>
              </w:tc>
              <w:tc>
                <w:tcPr>
                  <w:tcW w:w="534" w:type="pct"/>
                  <w:noWrap w:val="0"/>
                  <w:vAlign w:val="center"/>
                </w:tcPr>
                <w:p w14:paraId="40367475">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4.5</w:t>
                  </w:r>
                  <w:r>
                    <w:rPr>
                      <w:rFonts w:hint="eastAsia" w:cs="Times New Roman"/>
                      <w:color w:val="auto"/>
                      <w:sz w:val="21"/>
                      <w:szCs w:val="21"/>
                      <w:highlight w:val="none"/>
                      <w:lang w:val="en-US" w:eastAsia="zh-CN"/>
                    </w:rPr>
                    <w:t>kg</w:t>
                  </w:r>
                </w:p>
              </w:tc>
              <w:tc>
                <w:tcPr>
                  <w:tcW w:w="596" w:type="pct"/>
                  <w:noWrap w:val="0"/>
                  <w:vAlign w:val="center"/>
                </w:tcPr>
                <w:p w14:paraId="1C56D919">
                  <w:pPr>
                    <w:jc w:val="center"/>
                    <w:rPr>
                      <w:rFonts w:hint="default" w:ascii="Times New Roman" w:hAnsi="Times New Roman" w:cs="Times New Roman"/>
                      <w:color w:val="auto"/>
                      <w:kern w:val="0"/>
                      <w:sz w:val="21"/>
                      <w:szCs w:val="21"/>
                      <w:highlight w:val="none"/>
                      <w:lang w:val="en-US" w:eastAsia="zh-CN" w:bidi="ar"/>
                    </w:rPr>
                  </w:pPr>
                  <w:r>
                    <w:rPr>
                      <w:rFonts w:hint="eastAsia" w:cs="Times New Roman"/>
                      <w:color w:val="auto"/>
                      <w:sz w:val="21"/>
                      <w:szCs w:val="21"/>
                      <w:highlight w:val="none"/>
                      <w:lang w:val="en-US" w:eastAsia="zh-CN"/>
                    </w:rPr>
                    <w:t>1.26kg</w:t>
                  </w:r>
                </w:p>
              </w:tc>
              <w:tc>
                <w:tcPr>
                  <w:tcW w:w="1614" w:type="pct"/>
                  <w:noWrap w:val="0"/>
                  <w:vAlign w:val="center"/>
                </w:tcPr>
                <w:p w14:paraId="3D5D19D2">
                  <w:pPr>
                    <w:widowControl/>
                    <w:spacing w:line="240" w:lineRule="auto"/>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无色透明液体，有强烈的刺激性臭味。</w:t>
                  </w:r>
                  <w:r>
                    <w:rPr>
                      <w:rFonts w:hint="default" w:ascii="Times New Roman" w:hAnsi="Times New Roman" w:eastAsia="宋体" w:cs="Times New Roman"/>
                      <w:color w:val="auto"/>
                      <w:kern w:val="0"/>
                      <w:sz w:val="21"/>
                      <w:szCs w:val="21"/>
                      <w:highlight w:val="none"/>
                      <w:lang w:val="en-US" w:eastAsia="zh-CN" w:bidi="ar"/>
                    </w:rPr>
                    <w:t>浓度为28%，</w:t>
                  </w:r>
                  <w:r>
                    <w:rPr>
                      <w:rFonts w:hint="default" w:ascii="Times New Roman" w:hAnsi="Times New Roman" w:eastAsia="宋体" w:cs="Times New Roman"/>
                      <w:color w:val="auto"/>
                      <w:kern w:val="0"/>
                      <w:sz w:val="21"/>
                      <w:szCs w:val="21"/>
                      <w:highlight w:val="none"/>
                      <w:lang w:bidi="ar"/>
                    </w:rPr>
                    <w:t>相对密度</w:t>
                  </w:r>
                  <w:r>
                    <w:rPr>
                      <w:rFonts w:hint="default" w:ascii="Times New Roman" w:hAnsi="Times New Roman" w:eastAsia="宋体" w:cs="Times New Roman"/>
                      <w:color w:val="auto"/>
                      <w:kern w:val="0"/>
                      <w:sz w:val="21"/>
                      <w:szCs w:val="21"/>
                      <w:highlight w:val="none"/>
                      <w:lang w:val="en-US" w:eastAsia="zh-CN" w:bidi="ar"/>
                    </w:rPr>
                    <w:t>为</w:t>
                  </w:r>
                  <w:r>
                    <w:rPr>
                      <w:rFonts w:hint="default" w:ascii="Times New Roman" w:hAnsi="Times New Roman" w:eastAsia="宋体" w:cs="Times New Roman"/>
                      <w:color w:val="auto"/>
                      <w:kern w:val="0"/>
                      <w:sz w:val="21"/>
                      <w:szCs w:val="21"/>
                      <w:highlight w:val="none"/>
                      <w:lang w:bidi="ar"/>
                    </w:rPr>
                    <w:t>0.9</w:t>
                  </w:r>
                  <w:r>
                    <w:rPr>
                      <w:rFonts w:hint="default" w:ascii="Times New Roman" w:hAnsi="Times New Roman" w:eastAsia="宋体" w:cs="Times New Roman"/>
                      <w:color w:val="auto"/>
                      <w:kern w:val="0"/>
                      <w:sz w:val="21"/>
                      <w:szCs w:val="21"/>
                      <w:highlight w:val="none"/>
                      <w:lang w:val="en-US" w:eastAsia="zh-CN" w:bidi="ar"/>
                    </w:rPr>
                    <w:t>g/cm</w:t>
                  </w:r>
                  <w:r>
                    <w:rPr>
                      <w:rFonts w:hint="default" w:ascii="Times New Roman" w:hAnsi="Times New Roman" w:eastAsia="宋体" w:cs="Times New Roman"/>
                      <w:color w:val="auto"/>
                      <w:kern w:val="0"/>
                      <w:sz w:val="21"/>
                      <w:szCs w:val="21"/>
                      <w:highlight w:val="none"/>
                      <w:vertAlign w:val="superscript"/>
                      <w:lang w:val="en-US" w:eastAsia="zh-CN" w:bidi="ar"/>
                    </w:rPr>
                    <w:t>3</w:t>
                  </w:r>
                  <w:r>
                    <w:rPr>
                      <w:rFonts w:hint="default" w:ascii="Times New Roman" w:hAnsi="Times New Roman" w:eastAsia="宋体" w:cs="Times New Roman"/>
                      <w:color w:val="auto"/>
                      <w:kern w:val="0"/>
                      <w:sz w:val="21"/>
                      <w:szCs w:val="21"/>
                      <w:highlight w:val="none"/>
                      <w:lang w:bidi="ar"/>
                    </w:rPr>
                    <w:t>，</w:t>
                  </w:r>
                  <w:r>
                    <w:rPr>
                      <w:rFonts w:hint="default" w:ascii="Times New Roman" w:hAnsi="Times New Roman" w:eastAsia="宋体" w:cs="Times New Roman"/>
                      <w:color w:val="auto"/>
                      <w:kern w:val="0"/>
                      <w:sz w:val="21"/>
                      <w:szCs w:val="21"/>
                      <w:highlight w:val="none"/>
                      <w:lang w:val="en-US" w:eastAsia="zh-CN" w:bidi="ar"/>
                    </w:rPr>
                    <w:t>凝固点为-72℃，</w:t>
                  </w:r>
                  <w:r>
                    <w:rPr>
                      <w:rFonts w:hint="default" w:ascii="Times New Roman" w:hAnsi="Times New Roman" w:eastAsia="宋体" w:cs="Times New Roman"/>
                      <w:color w:val="auto"/>
                      <w:kern w:val="0"/>
                      <w:sz w:val="21"/>
                      <w:szCs w:val="21"/>
                      <w:highlight w:val="none"/>
                      <w:lang w:bidi="ar"/>
                    </w:rPr>
                    <w:t>溶于水、醇。</w:t>
                  </w:r>
                  <w:r>
                    <w:rPr>
                      <w:rFonts w:hint="default" w:ascii="Times New Roman" w:hAnsi="Times New Roman" w:eastAsia="宋体" w:cs="Times New Roman"/>
                      <w:color w:val="auto"/>
                      <w:kern w:val="2"/>
                      <w:sz w:val="21"/>
                      <w:szCs w:val="21"/>
                      <w:highlight w:val="none"/>
                    </w:rPr>
                    <w:t>属于风险导则附</w:t>
                  </w:r>
                  <w:r>
                    <w:rPr>
                      <w:rFonts w:hint="default" w:ascii="Times New Roman" w:hAnsi="Times New Roman" w:eastAsia="宋体" w:cs="Times New Roman"/>
                      <w:color w:val="auto"/>
                      <w:kern w:val="2"/>
                      <w:sz w:val="21"/>
                      <w:szCs w:val="21"/>
                      <w:highlight w:val="none"/>
                    </w:rPr>
                    <w:t>录B</w:t>
                  </w:r>
                  <w:r>
                    <w:rPr>
                      <w:rFonts w:hint="default" w:ascii="Times New Roman" w:hAnsi="Times New Roman" w:eastAsia="宋体" w:cs="Times New Roman"/>
                      <w:color w:val="auto"/>
                      <w:kern w:val="2"/>
                      <w:sz w:val="21"/>
                      <w:szCs w:val="21"/>
                      <w:highlight w:val="none"/>
                      <w:lang w:val="en-US" w:eastAsia="zh-CN"/>
                    </w:rPr>
                    <w:t>.1</w:t>
                  </w:r>
                  <w:r>
                    <w:rPr>
                      <w:rFonts w:hint="default" w:ascii="Times New Roman" w:hAnsi="Times New Roman" w:eastAsia="宋体" w:cs="Times New Roman"/>
                      <w:color w:val="auto"/>
                      <w:kern w:val="2"/>
                      <w:sz w:val="21"/>
                      <w:szCs w:val="21"/>
                      <w:highlight w:val="none"/>
                    </w:rPr>
                    <w:t>中的风险物质</w:t>
                  </w:r>
                </w:p>
              </w:tc>
              <w:tc>
                <w:tcPr>
                  <w:tcW w:w="425" w:type="pct"/>
                  <w:noWrap w:val="0"/>
                  <w:vAlign w:val="center"/>
                </w:tcPr>
                <w:p w14:paraId="5AC58E14">
                  <w:pPr>
                    <w:widowControl/>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是</w:t>
                  </w:r>
                </w:p>
              </w:tc>
              <w:tc>
                <w:tcPr>
                  <w:tcW w:w="378" w:type="pct"/>
                  <w:noWrap w:val="0"/>
                  <w:vAlign w:val="center"/>
                </w:tcPr>
                <w:p w14:paraId="693F30C0">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10</w:t>
                  </w:r>
                </w:p>
              </w:tc>
            </w:tr>
            <w:tr w14:paraId="730EFB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53" w:type="pct"/>
                  <w:noWrap w:val="0"/>
                  <w:vAlign w:val="center"/>
                </w:tcPr>
                <w:p w14:paraId="6C13F938">
                  <w:pPr>
                    <w:widowControl/>
                    <w:jc w:val="center"/>
                    <w:textAlignment w:val="center"/>
                    <w:rPr>
                      <w:rFonts w:hint="default" w:ascii="Times New Roman" w:hAnsi="Times New Roman" w:eastAsia="宋体" w:cs="Times New Roman"/>
                      <w:b w:val="0"/>
                      <w:bCs w:val="0"/>
                      <w:color w:val="auto"/>
                      <w:kern w:val="0"/>
                      <w:sz w:val="21"/>
                      <w:szCs w:val="21"/>
                      <w:highlight w:val="none"/>
                      <w:lang w:val="en-US" w:eastAsia="zh-CN" w:bidi="ar"/>
                    </w:rPr>
                  </w:pPr>
                  <w:r>
                    <w:rPr>
                      <w:rFonts w:hint="eastAsia" w:cs="Times New Roman"/>
                      <w:b w:val="0"/>
                      <w:bCs w:val="0"/>
                      <w:color w:val="auto"/>
                      <w:kern w:val="0"/>
                      <w:sz w:val="21"/>
                      <w:szCs w:val="21"/>
                      <w:highlight w:val="none"/>
                      <w:lang w:val="en-US" w:eastAsia="zh-CN" w:bidi="ar"/>
                    </w:rPr>
                    <w:t>42</w:t>
                  </w:r>
                </w:p>
              </w:tc>
              <w:tc>
                <w:tcPr>
                  <w:tcW w:w="621" w:type="pct"/>
                  <w:noWrap w:val="0"/>
                  <w:vAlign w:val="center"/>
                </w:tcPr>
                <w:p w14:paraId="5EAAE646">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硝酸</w:t>
                  </w:r>
                </w:p>
              </w:tc>
              <w:tc>
                <w:tcPr>
                  <w:tcW w:w="576" w:type="pct"/>
                  <w:noWrap w:val="0"/>
                  <w:vAlign w:val="center"/>
                </w:tcPr>
                <w:p w14:paraId="2A463806">
                  <w:pPr>
                    <w:tabs>
                      <w:tab w:val="left" w:pos="1088"/>
                    </w:tabs>
                    <w:jc w:val="center"/>
                    <w:rPr>
                      <w:rFonts w:hint="default" w:ascii="Times New Roman" w:hAnsi="Times New Roman" w:cs="Times New Roman"/>
                      <w:color w:val="auto"/>
                      <w:sz w:val="21"/>
                      <w:szCs w:val="21"/>
                      <w:highlight w:val="none"/>
                    </w:rPr>
                  </w:pPr>
                  <w:r>
                    <w:rPr>
                      <w:rFonts w:hint="default" w:ascii="Times New Roman" w:hAnsi="Times New Roman" w:cs="Times New Roman"/>
                      <w:bCs/>
                      <w:color w:val="auto"/>
                      <w:sz w:val="21"/>
                      <w:szCs w:val="21"/>
                      <w:highlight w:val="none"/>
                    </w:rPr>
                    <w:t>500ml</w:t>
                  </w:r>
                  <w:r>
                    <w:rPr>
                      <w:rFonts w:hint="eastAsia" w:cs="Times New Roman"/>
                      <w:bCs/>
                      <w:color w:val="auto"/>
                      <w:sz w:val="21"/>
                      <w:szCs w:val="21"/>
                      <w:highlight w:val="none"/>
                      <w:lang w:val="en-US" w:eastAsia="zh-CN"/>
                    </w:rPr>
                    <w:t>/瓶</w:t>
                  </w:r>
                </w:p>
              </w:tc>
              <w:tc>
                <w:tcPr>
                  <w:tcW w:w="534" w:type="pct"/>
                  <w:noWrap w:val="0"/>
                  <w:vAlign w:val="center"/>
                </w:tcPr>
                <w:p w14:paraId="41686F90">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2.0</w:t>
                  </w:r>
                  <w:r>
                    <w:rPr>
                      <w:rFonts w:hint="eastAsia" w:cs="Times New Roman"/>
                      <w:color w:val="auto"/>
                      <w:sz w:val="21"/>
                      <w:szCs w:val="21"/>
                      <w:highlight w:val="none"/>
                      <w:lang w:val="en-US" w:eastAsia="zh-CN"/>
                    </w:rPr>
                    <w:t>kg</w:t>
                  </w:r>
                </w:p>
              </w:tc>
              <w:tc>
                <w:tcPr>
                  <w:tcW w:w="596" w:type="pct"/>
                  <w:noWrap w:val="0"/>
                  <w:vAlign w:val="center"/>
                </w:tcPr>
                <w:p w14:paraId="2B67B00F">
                  <w:pPr>
                    <w:jc w:val="center"/>
                    <w:rPr>
                      <w:rFonts w:hint="default" w:ascii="Times New Roman" w:hAnsi="Times New Roman" w:cs="Times New Roman"/>
                      <w:color w:val="auto"/>
                      <w:kern w:val="0"/>
                      <w:sz w:val="21"/>
                      <w:szCs w:val="21"/>
                      <w:highlight w:val="none"/>
                      <w:lang w:val="en-US" w:eastAsia="zh-CN" w:bidi="ar"/>
                    </w:rPr>
                  </w:pPr>
                  <w:r>
                    <w:rPr>
                      <w:rFonts w:hint="eastAsia" w:cs="Times New Roman"/>
                      <w:color w:val="auto"/>
                      <w:sz w:val="21"/>
                      <w:szCs w:val="21"/>
                      <w:highlight w:val="none"/>
                      <w:lang w:val="en-US" w:eastAsia="zh-CN"/>
                    </w:rPr>
                    <w:t>1.4kg</w:t>
                  </w:r>
                </w:p>
              </w:tc>
              <w:tc>
                <w:tcPr>
                  <w:tcW w:w="1614" w:type="pct"/>
                  <w:noWrap w:val="0"/>
                  <w:vAlign w:val="center"/>
                </w:tcPr>
                <w:p w14:paraId="0A051F74">
                  <w:pPr>
                    <w:widowControl/>
                    <w:jc w:val="center"/>
                    <w:textAlignment w:val="center"/>
                    <w:rPr>
                      <w:rFonts w:hint="default" w:ascii="Times New Roman" w:hAnsi="Times New Roman" w:eastAsia="宋体" w:cs="Times New Roman"/>
                      <w:color w:val="auto"/>
                      <w:kern w:val="0"/>
                      <w:sz w:val="21"/>
                      <w:szCs w:val="21"/>
                      <w:highlight w:val="none"/>
                      <w:lang w:eastAsia="zh-CN" w:bidi="ar"/>
                    </w:rPr>
                  </w:pPr>
                  <w:r>
                    <w:rPr>
                      <w:rFonts w:hint="default" w:ascii="Times New Roman" w:hAnsi="Times New Roman" w:eastAsia="宋体" w:cs="Times New Roman"/>
                      <w:color w:val="auto"/>
                      <w:kern w:val="0"/>
                      <w:sz w:val="21"/>
                      <w:szCs w:val="21"/>
                      <w:highlight w:val="none"/>
                      <w:lang w:bidi="ar"/>
                    </w:rPr>
                    <w:t>无色透明液体</w:t>
                  </w:r>
                  <w:r>
                    <w:rPr>
                      <w:rFonts w:hint="default" w:ascii="Times New Roman" w:hAnsi="Times New Roman" w:eastAsia="宋体" w:cs="Times New Roman"/>
                      <w:color w:val="auto"/>
                      <w:kern w:val="0"/>
                      <w:sz w:val="21"/>
                      <w:szCs w:val="21"/>
                      <w:highlight w:val="none"/>
                      <w:lang w:eastAsia="zh-CN" w:bidi="ar"/>
                    </w:rPr>
                    <w:t>，</w:t>
                  </w:r>
                  <w:r>
                    <w:rPr>
                      <w:rFonts w:hint="default" w:ascii="Times New Roman" w:hAnsi="Times New Roman" w:eastAsia="宋体" w:cs="Times New Roman"/>
                      <w:color w:val="auto"/>
                      <w:kern w:val="0"/>
                      <w:sz w:val="21"/>
                      <w:szCs w:val="21"/>
                      <w:highlight w:val="none"/>
                      <w:lang w:val="en-US" w:eastAsia="zh-CN" w:bidi="ar"/>
                    </w:rPr>
                    <w:t>相对分子质量为63，</w:t>
                  </w:r>
                  <w:r>
                    <w:rPr>
                      <w:rFonts w:hint="default" w:ascii="Times New Roman" w:hAnsi="Times New Roman" w:eastAsia="宋体" w:cs="Times New Roman"/>
                      <w:color w:val="auto"/>
                      <w:kern w:val="0"/>
                      <w:sz w:val="21"/>
                      <w:szCs w:val="21"/>
                      <w:highlight w:val="none"/>
                      <w:lang w:eastAsia="zh-CN" w:bidi="ar"/>
                    </w:rPr>
                    <w:t>具有刺激性气味</w:t>
                  </w:r>
                  <w:r>
                    <w:rPr>
                      <w:rFonts w:hint="default" w:ascii="Times New Roman" w:hAnsi="Times New Roman" w:eastAsia="宋体" w:cs="Times New Roman"/>
                      <w:color w:val="auto"/>
                      <w:kern w:val="0"/>
                      <w:sz w:val="21"/>
                      <w:szCs w:val="21"/>
                      <w:highlight w:val="none"/>
                      <w:lang w:bidi="ar"/>
                    </w:rPr>
                    <w:t>。熔点-42</w:t>
                  </w:r>
                  <w:r>
                    <w:rPr>
                      <w:rFonts w:hint="default" w:ascii="Times New Roman" w:hAnsi="Times New Roman" w:eastAsia="宋体" w:cs="Times New Roman"/>
                      <w:color w:val="auto"/>
                      <w:kern w:val="0"/>
                      <w:sz w:val="21"/>
                      <w:szCs w:val="21"/>
                      <w:highlight w:val="none"/>
                      <w:lang w:val="en-US" w:eastAsia="zh-CN" w:bidi="ar"/>
                    </w:rPr>
                    <w:t>℃</w:t>
                  </w:r>
                  <w:r>
                    <w:rPr>
                      <w:rFonts w:hint="default" w:ascii="Times New Roman" w:hAnsi="Times New Roman" w:eastAsia="宋体" w:cs="Times New Roman"/>
                      <w:color w:val="auto"/>
                      <w:kern w:val="0"/>
                      <w:sz w:val="21"/>
                      <w:szCs w:val="21"/>
                      <w:highlight w:val="none"/>
                      <w:lang w:bidi="ar"/>
                    </w:rPr>
                    <w:t>，沸点</w:t>
                  </w:r>
                  <w:r>
                    <w:rPr>
                      <w:rFonts w:hint="default" w:ascii="Times New Roman" w:hAnsi="Times New Roman" w:eastAsia="宋体" w:cs="Times New Roman"/>
                      <w:color w:val="auto"/>
                      <w:kern w:val="0"/>
                      <w:sz w:val="21"/>
                      <w:szCs w:val="21"/>
                      <w:highlight w:val="none"/>
                      <w:lang w:val="en-US" w:eastAsia="zh-CN" w:bidi="ar"/>
                    </w:rPr>
                    <w:t>为121℃</w:t>
                  </w:r>
                  <w:r>
                    <w:rPr>
                      <w:rFonts w:hint="default" w:ascii="Times New Roman" w:hAnsi="Times New Roman" w:eastAsia="宋体" w:cs="Times New Roman"/>
                      <w:color w:val="auto"/>
                      <w:kern w:val="0"/>
                      <w:sz w:val="21"/>
                      <w:szCs w:val="21"/>
                      <w:highlight w:val="none"/>
                      <w:lang w:bidi="ar"/>
                    </w:rPr>
                    <w:t>，</w:t>
                  </w:r>
                  <w:r>
                    <w:rPr>
                      <w:rFonts w:hint="default" w:ascii="Times New Roman" w:hAnsi="Times New Roman" w:eastAsia="宋体" w:cs="Times New Roman"/>
                      <w:color w:val="auto"/>
                      <w:kern w:val="0"/>
                      <w:sz w:val="21"/>
                      <w:szCs w:val="21"/>
                      <w:highlight w:val="none"/>
                      <w:lang w:val="en-US" w:eastAsia="zh-CN" w:bidi="ar"/>
                    </w:rPr>
                    <w:t>浓度为70%，</w:t>
                  </w:r>
                  <w:r>
                    <w:rPr>
                      <w:rFonts w:hint="default" w:ascii="Times New Roman" w:hAnsi="Times New Roman" w:eastAsia="宋体" w:cs="Times New Roman"/>
                      <w:color w:val="auto"/>
                      <w:kern w:val="0"/>
                      <w:sz w:val="21"/>
                      <w:szCs w:val="21"/>
                      <w:highlight w:val="none"/>
                      <w:lang w:bidi="ar"/>
                    </w:rPr>
                    <w:t>相对密度1.</w:t>
                  </w:r>
                  <w:r>
                    <w:rPr>
                      <w:rFonts w:hint="default" w:ascii="Times New Roman" w:hAnsi="Times New Roman" w:eastAsia="宋体" w:cs="Times New Roman"/>
                      <w:color w:val="auto"/>
                      <w:kern w:val="0"/>
                      <w:sz w:val="21"/>
                      <w:szCs w:val="21"/>
                      <w:highlight w:val="none"/>
                      <w:lang w:val="en-US" w:eastAsia="zh-CN" w:bidi="ar"/>
                    </w:rPr>
                    <w:t>4g/cm</w:t>
                  </w:r>
                  <w:r>
                    <w:rPr>
                      <w:rFonts w:hint="default" w:ascii="Times New Roman" w:hAnsi="Times New Roman" w:eastAsia="宋体" w:cs="Times New Roman"/>
                      <w:color w:val="auto"/>
                      <w:kern w:val="0"/>
                      <w:sz w:val="21"/>
                      <w:szCs w:val="21"/>
                      <w:highlight w:val="none"/>
                      <w:vertAlign w:val="superscript"/>
                      <w:lang w:val="en-US" w:eastAsia="zh-CN" w:bidi="ar"/>
                    </w:rPr>
                    <w:t>3</w:t>
                  </w:r>
                  <w:r>
                    <w:rPr>
                      <w:rFonts w:hint="default" w:ascii="Times New Roman" w:hAnsi="Times New Roman" w:eastAsia="宋体" w:cs="Times New Roman"/>
                      <w:color w:val="auto"/>
                      <w:kern w:val="0"/>
                      <w:sz w:val="21"/>
                      <w:szCs w:val="21"/>
                      <w:highlight w:val="none"/>
                      <w:lang w:bidi="ar"/>
                    </w:rPr>
                    <w:t>，与水相混溶。硝酸化学性质活泼，能与多种物质反应。</w:t>
                  </w:r>
                  <w:r>
                    <w:rPr>
                      <w:rFonts w:hint="default" w:ascii="Times New Roman" w:hAnsi="Times New Roman" w:eastAsia="宋体" w:cs="Times New Roman"/>
                      <w:color w:val="auto"/>
                      <w:kern w:val="2"/>
                      <w:sz w:val="21"/>
                      <w:szCs w:val="21"/>
                      <w:highlight w:val="none"/>
                    </w:rPr>
                    <w:t>属于风险导则</w:t>
                  </w:r>
                  <w:r>
                    <w:rPr>
                      <w:rFonts w:hint="default" w:ascii="Times New Roman" w:hAnsi="Times New Roman" w:eastAsia="宋体" w:cs="Times New Roman"/>
                      <w:color w:val="auto"/>
                      <w:kern w:val="2"/>
                      <w:sz w:val="21"/>
                      <w:szCs w:val="21"/>
                      <w:highlight w:val="none"/>
                    </w:rPr>
                    <w:t>附录B</w:t>
                  </w:r>
                  <w:r>
                    <w:rPr>
                      <w:rFonts w:hint="default" w:ascii="Times New Roman" w:hAnsi="Times New Roman" w:eastAsia="宋体" w:cs="Times New Roman"/>
                      <w:color w:val="auto"/>
                      <w:kern w:val="2"/>
                      <w:sz w:val="21"/>
                      <w:szCs w:val="21"/>
                      <w:highlight w:val="none"/>
                      <w:lang w:val="en-US" w:eastAsia="zh-CN"/>
                    </w:rPr>
                    <w:t>.1</w:t>
                  </w:r>
                  <w:r>
                    <w:rPr>
                      <w:rFonts w:hint="default" w:ascii="Times New Roman" w:hAnsi="Times New Roman" w:eastAsia="宋体" w:cs="Times New Roman"/>
                      <w:color w:val="auto"/>
                      <w:kern w:val="2"/>
                      <w:sz w:val="21"/>
                      <w:szCs w:val="21"/>
                      <w:highlight w:val="none"/>
                    </w:rPr>
                    <w:t>中的风险物质</w:t>
                  </w:r>
                </w:p>
              </w:tc>
              <w:tc>
                <w:tcPr>
                  <w:tcW w:w="425" w:type="pct"/>
                  <w:noWrap w:val="0"/>
                  <w:vAlign w:val="center"/>
                </w:tcPr>
                <w:p w14:paraId="22427856">
                  <w:pPr>
                    <w:widowControl/>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
                    </w:rPr>
                    <w:t>是</w:t>
                  </w:r>
                </w:p>
              </w:tc>
              <w:tc>
                <w:tcPr>
                  <w:tcW w:w="378" w:type="pct"/>
                  <w:noWrap w:val="0"/>
                  <w:vAlign w:val="center"/>
                </w:tcPr>
                <w:p w14:paraId="375E1AA9">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7.5</w:t>
                  </w:r>
                </w:p>
              </w:tc>
            </w:tr>
            <w:tr w14:paraId="19B47D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53" w:type="pct"/>
                  <w:noWrap w:val="0"/>
                  <w:vAlign w:val="center"/>
                </w:tcPr>
                <w:p w14:paraId="2C422C06">
                  <w:pPr>
                    <w:widowControl/>
                    <w:jc w:val="center"/>
                    <w:textAlignment w:val="center"/>
                    <w:rPr>
                      <w:rFonts w:hint="default" w:ascii="Times New Roman" w:hAnsi="Times New Roman" w:eastAsia="宋体" w:cs="Times New Roman"/>
                      <w:b w:val="0"/>
                      <w:bCs w:val="0"/>
                      <w:color w:val="auto"/>
                      <w:kern w:val="0"/>
                      <w:sz w:val="21"/>
                      <w:szCs w:val="21"/>
                      <w:highlight w:val="none"/>
                      <w:lang w:val="en-US" w:eastAsia="zh-CN" w:bidi="ar"/>
                    </w:rPr>
                  </w:pPr>
                  <w:r>
                    <w:rPr>
                      <w:rFonts w:hint="eastAsia" w:cs="Times New Roman"/>
                      <w:b w:val="0"/>
                      <w:bCs w:val="0"/>
                      <w:color w:val="auto"/>
                      <w:kern w:val="0"/>
                      <w:sz w:val="21"/>
                      <w:szCs w:val="21"/>
                      <w:highlight w:val="none"/>
                      <w:lang w:val="en-US" w:eastAsia="zh-CN" w:bidi="ar"/>
                    </w:rPr>
                    <w:t>43</w:t>
                  </w:r>
                </w:p>
              </w:tc>
              <w:tc>
                <w:tcPr>
                  <w:tcW w:w="621" w:type="pct"/>
                  <w:noWrap w:val="0"/>
                  <w:vAlign w:val="center"/>
                </w:tcPr>
                <w:p w14:paraId="1B8A6EFB">
                  <w:pPr>
                    <w:jc w:val="center"/>
                    <w:rPr>
                      <w:rFonts w:hint="default"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sz w:val="21"/>
                      <w:szCs w:val="21"/>
                      <w:highlight w:val="none"/>
                      <w:lang w:val="en-US" w:eastAsia="zh-CN"/>
                    </w:rPr>
                    <w:t>氩气</w:t>
                  </w:r>
                </w:p>
              </w:tc>
              <w:tc>
                <w:tcPr>
                  <w:tcW w:w="576" w:type="pct"/>
                  <w:noWrap w:val="0"/>
                  <w:vAlign w:val="center"/>
                </w:tcPr>
                <w:p w14:paraId="0B83890E">
                  <w:pPr>
                    <w:jc w:val="center"/>
                    <w:rPr>
                      <w:rFonts w:hint="default" w:ascii="Times New Roman" w:hAnsi="Times New Roman"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40L/瓶</w:t>
                  </w:r>
                </w:p>
              </w:tc>
              <w:tc>
                <w:tcPr>
                  <w:tcW w:w="534" w:type="pct"/>
                  <w:noWrap w:val="0"/>
                  <w:vAlign w:val="center"/>
                </w:tcPr>
                <w:p w14:paraId="07DA19C3">
                  <w:pPr>
                    <w:jc w:val="center"/>
                    <w:rPr>
                      <w:rFonts w:hint="default"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sz w:val="21"/>
                      <w:szCs w:val="21"/>
                      <w:highlight w:val="none"/>
                      <w:lang w:val="en-US" w:eastAsia="zh-CN"/>
                    </w:rPr>
                    <w:t>40L</w:t>
                  </w:r>
                </w:p>
              </w:tc>
              <w:tc>
                <w:tcPr>
                  <w:tcW w:w="596" w:type="pct"/>
                  <w:noWrap w:val="0"/>
                  <w:vAlign w:val="center"/>
                </w:tcPr>
                <w:p w14:paraId="04F491CB">
                  <w:pPr>
                    <w:jc w:val="center"/>
                    <w:rPr>
                      <w:rFonts w:hint="default"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sz w:val="21"/>
                      <w:szCs w:val="21"/>
                      <w:highlight w:val="none"/>
                      <w:lang w:val="en-US" w:eastAsia="zh-CN"/>
                    </w:rPr>
                    <w:t>40L</w:t>
                  </w:r>
                </w:p>
              </w:tc>
              <w:tc>
                <w:tcPr>
                  <w:tcW w:w="1614" w:type="pct"/>
                  <w:noWrap w:val="0"/>
                  <w:vAlign w:val="center"/>
                </w:tcPr>
                <w:p w14:paraId="47979C3B">
                  <w:pPr>
                    <w:widowControl/>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bidi="ar"/>
                    </w:rPr>
                    <w:t>氩气是一种无色、无味、无臭的惰性气体，</w:t>
                  </w:r>
                  <w:r>
                    <w:rPr>
                      <w:rFonts w:hint="eastAsia" w:ascii="Times New Roman" w:hAnsi="Times New Roman" w:eastAsia="宋体" w:cs="Times New Roman"/>
                      <w:color w:val="auto"/>
                      <w:kern w:val="0"/>
                      <w:sz w:val="21"/>
                      <w:szCs w:val="21"/>
                      <w:highlight w:val="none"/>
                      <w:lang w:val="en-US" w:eastAsia="zh-CN" w:bidi="ar"/>
                    </w:rPr>
                    <w:t>密度</w:t>
                  </w:r>
                  <w:r>
                    <w:rPr>
                      <w:rFonts w:hint="eastAsia" w:cs="Times New Roman"/>
                      <w:color w:val="auto"/>
                      <w:kern w:val="0"/>
                      <w:sz w:val="21"/>
                      <w:szCs w:val="21"/>
                      <w:highlight w:val="none"/>
                      <w:lang w:val="en-US" w:eastAsia="zh-CN" w:bidi="ar"/>
                    </w:rPr>
                    <w:t>1.784g/l</w:t>
                  </w:r>
                  <w:r>
                    <w:rPr>
                      <w:rFonts w:hint="eastAsia" w:ascii="Times New Roman" w:hAnsi="Times New Roman" w:eastAsia="宋体" w:cs="Times New Roman"/>
                      <w:color w:val="auto"/>
                      <w:kern w:val="0"/>
                      <w:sz w:val="21"/>
                      <w:szCs w:val="21"/>
                      <w:highlight w:val="none"/>
                      <w:lang w:eastAsia="zh-CN" w:bidi="ar"/>
                    </w:rPr>
                    <w:t>，</w:t>
                  </w:r>
                  <w:r>
                    <w:rPr>
                      <w:rFonts w:hint="eastAsia" w:ascii="Times New Roman" w:hAnsi="Times New Roman" w:eastAsia="宋体" w:cs="Times New Roman"/>
                      <w:color w:val="auto"/>
                      <w:kern w:val="0"/>
                      <w:sz w:val="21"/>
                      <w:szCs w:val="21"/>
                      <w:highlight w:val="none"/>
                      <w:lang w:val="en-US" w:eastAsia="zh-CN" w:bidi="ar"/>
                    </w:rPr>
                    <w:t>熔点</w:t>
                  </w:r>
                  <w:r>
                    <w:rPr>
                      <w:rFonts w:hint="default" w:ascii="Times New Roman" w:hAnsi="Times New Roman" w:eastAsia="宋体" w:cs="Times New Roman"/>
                      <w:color w:val="auto"/>
                      <w:kern w:val="0"/>
                      <w:sz w:val="21"/>
                      <w:szCs w:val="21"/>
                      <w:highlight w:val="none"/>
                      <w:lang w:bidi="ar"/>
                    </w:rPr>
                    <w:t>-189.2 ℃</w:t>
                  </w:r>
                  <w:r>
                    <w:rPr>
                      <w:rFonts w:hint="eastAsia" w:ascii="Times New Roman" w:hAnsi="Times New Roman" w:eastAsia="宋体" w:cs="Times New Roman"/>
                      <w:color w:val="auto"/>
                      <w:kern w:val="0"/>
                      <w:sz w:val="21"/>
                      <w:szCs w:val="21"/>
                      <w:highlight w:val="none"/>
                      <w:lang w:eastAsia="zh-CN" w:bidi="ar"/>
                    </w:rPr>
                    <w:t>，</w:t>
                  </w:r>
                  <w:r>
                    <w:rPr>
                      <w:rFonts w:hint="eastAsia" w:ascii="Times New Roman" w:hAnsi="Times New Roman" w:eastAsia="宋体" w:cs="Times New Roman"/>
                      <w:color w:val="auto"/>
                      <w:kern w:val="0"/>
                      <w:sz w:val="21"/>
                      <w:szCs w:val="21"/>
                      <w:highlight w:val="none"/>
                      <w:lang w:val="en-US" w:eastAsia="zh-CN" w:bidi="ar"/>
                    </w:rPr>
                    <w:t>沸点</w:t>
                  </w:r>
                  <w:r>
                    <w:rPr>
                      <w:rFonts w:hint="default" w:ascii="Times New Roman" w:hAnsi="Times New Roman" w:eastAsia="宋体" w:cs="Times New Roman"/>
                      <w:color w:val="auto"/>
                      <w:kern w:val="0"/>
                      <w:sz w:val="21"/>
                      <w:szCs w:val="21"/>
                      <w:highlight w:val="none"/>
                      <w:lang w:bidi="ar"/>
                    </w:rPr>
                    <w:t>-185.9 ℃</w:t>
                  </w:r>
                  <w:r>
                    <w:rPr>
                      <w:rFonts w:hint="eastAsia" w:ascii="Times New Roman" w:hAnsi="Times New Roman" w:eastAsia="宋体" w:cs="Times New Roman"/>
                      <w:color w:val="auto"/>
                      <w:kern w:val="0"/>
                      <w:sz w:val="21"/>
                      <w:szCs w:val="21"/>
                      <w:highlight w:val="none"/>
                      <w:lang w:eastAsia="zh-CN" w:bidi="ar"/>
                    </w:rPr>
                    <w:t>，</w:t>
                  </w:r>
                  <w:r>
                    <w:rPr>
                      <w:rFonts w:hint="default" w:ascii="Times New Roman" w:hAnsi="Times New Roman" w:eastAsia="宋体" w:cs="Times New Roman"/>
                      <w:color w:val="auto"/>
                      <w:kern w:val="0"/>
                      <w:sz w:val="21"/>
                      <w:szCs w:val="21"/>
                      <w:highlight w:val="none"/>
                      <w:lang w:bidi="ar"/>
                    </w:rPr>
                    <w:t>微溶于水</w:t>
                  </w:r>
                  <w:r>
                    <w:rPr>
                      <w:rFonts w:hint="eastAsia" w:cs="Times New Roman"/>
                      <w:color w:val="auto"/>
                      <w:kern w:val="0"/>
                      <w:sz w:val="21"/>
                      <w:szCs w:val="21"/>
                      <w:highlight w:val="none"/>
                      <w:lang w:eastAsia="zh-CN" w:bidi="ar"/>
                    </w:rPr>
                    <w:t>，化学性质极不活泼。</w:t>
                  </w:r>
                </w:p>
              </w:tc>
              <w:tc>
                <w:tcPr>
                  <w:tcW w:w="425" w:type="pct"/>
                  <w:noWrap w:val="0"/>
                  <w:vAlign w:val="center"/>
                </w:tcPr>
                <w:p w14:paraId="6A4D96BB">
                  <w:pPr>
                    <w:widowControl/>
                    <w:jc w:val="center"/>
                    <w:textAlignment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否</w:t>
                  </w:r>
                </w:p>
              </w:tc>
              <w:tc>
                <w:tcPr>
                  <w:tcW w:w="378" w:type="pct"/>
                  <w:noWrap w:val="0"/>
                  <w:vAlign w:val="center"/>
                </w:tcPr>
                <w:p w14:paraId="6521D9B2">
                  <w:pPr>
                    <w:jc w:val="center"/>
                    <w:rPr>
                      <w:rFonts w:hint="default" w:ascii="Times New Roman" w:hAnsi="Times New Roman"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w:t>
                  </w:r>
                </w:p>
              </w:tc>
            </w:tr>
            <w:tr w14:paraId="6FABAD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53" w:type="pct"/>
                  <w:noWrap w:val="0"/>
                  <w:vAlign w:val="center"/>
                </w:tcPr>
                <w:p w14:paraId="37400085">
                  <w:pPr>
                    <w:widowControl/>
                    <w:jc w:val="center"/>
                    <w:textAlignment w:val="center"/>
                    <w:rPr>
                      <w:rFonts w:hint="default" w:ascii="Times New Roman" w:hAnsi="Times New Roman" w:eastAsia="宋体" w:cs="Times New Roman"/>
                      <w:b w:val="0"/>
                      <w:bCs w:val="0"/>
                      <w:color w:val="auto"/>
                      <w:kern w:val="0"/>
                      <w:sz w:val="21"/>
                      <w:szCs w:val="21"/>
                      <w:highlight w:val="none"/>
                      <w:lang w:val="en-US" w:eastAsia="zh-CN" w:bidi="ar"/>
                    </w:rPr>
                  </w:pPr>
                  <w:r>
                    <w:rPr>
                      <w:rFonts w:hint="eastAsia" w:cs="Times New Roman"/>
                      <w:b w:val="0"/>
                      <w:bCs w:val="0"/>
                      <w:color w:val="auto"/>
                      <w:kern w:val="0"/>
                      <w:sz w:val="21"/>
                      <w:szCs w:val="21"/>
                      <w:highlight w:val="none"/>
                      <w:lang w:val="en-US" w:eastAsia="zh-CN" w:bidi="ar"/>
                    </w:rPr>
                    <w:t>44</w:t>
                  </w:r>
                </w:p>
              </w:tc>
              <w:tc>
                <w:tcPr>
                  <w:tcW w:w="621" w:type="pct"/>
                  <w:noWrap w:val="0"/>
                  <w:vAlign w:val="center"/>
                </w:tcPr>
                <w:p w14:paraId="54BBE375">
                  <w:pPr>
                    <w:jc w:val="center"/>
                    <w:rPr>
                      <w:rFonts w:hint="default"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sz w:val="21"/>
                      <w:szCs w:val="21"/>
                      <w:highlight w:val="none"/>
                      <w:lang w:val="en-US" w:eastAsia="zh-CN"/>
                    </w:rPr>
                    <w:t>乙炔</w:t>
                  </w:r>
                </w:p>
              </w:tc>
              <w:tc>
                <w:tcPr>
                  <w:tcW w:w="576" w:type="pct"/>
                  <w:noWrap w:val="0"/>
                  <w:vAlign w:val="center"/>
                </w:tcPr>
                <w:p w14:paraId="2B0368DF">
                  <w:pPr>
                    <w:jc w:val="center"/>
                    <w:rPr>
                      <w:rFonts w:hint="default" w:ascii="Times New Roman" w:hAnsi="Times New Roman"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40L/瓶</w:t>
                  </w:r>
                </w:p>
              </w:tc>
              <w:tc>
                <w:tcPr>
                  <w:tcW w:w="534" w:type="pct"/>
                  <w:noWrap w:val="0"/>
                  <w:vAlign w:val="center"/>
                </w:tcPr>
                <w:p w14:paraId="43E508C8">
                  <w:pPr>
                    <w:jc w:val="center"/>
                    <w:rPr>
                      <w:rFonts w:hint="default"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sz w:val="21"/>
                      <w:szCs w:val="21"/>
                      <w:highlight w:val="none"/>
                      <w:lang w:val="en-US" w:eastAsia="zh-CN"/>
                    </w:rPr>
                    <w:t>40L</w:t>
                  </w:r>
                </w:p>
              </w:tc>
              <w:tc>
                <w:tcPr>
                  <w:tcW w:w="596" w:type="pct"/>
                  <w:noWrap w:val="0"/>
                  <w:vAlign w:val="center"/>
                </w:tcPr>
                <w:p w14:paraId="35BE7128">
                  <w:pPr>
                    <w:jc w:val="center"/>
                    <w:rPr>
                      <w:rFonts w:hint="default"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sz w:val="21"/>
                      <w:szCs w:val="21"/>
                      <w:highlight w:val="none"/>
                      <w:lang w:val="en-US" w:eastAsia="zh-CN"/>
                    </w:rPr>
                    <w:t>40L</w:t>
                  </w:r>
                </w:p>
              </w:tc>
              <w:tc>
                <w:tcPr>
                  <w:tcW w:w="1614" w:type="pct"/>
                  <w:noWrap w:val="0"/>
                  <w:vAlign w:val="center"/>
                </w:tcPr>
                <w:p w14:paraId="3ECEDDAF">
                  <w:pPr>
                    <w:widowControl/>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bidi="ar"/>
                    </w:rPr>
                    <w:t>是一种有机化合物，化学式为C</w:t>
                  </w:r>
                  <w:r>
                    <w:rPr>
                      <w:rFonts w:hint="default" w:ascii="Times New Roman" w:hAnsi="Times New Roman" w:eastAsia="宋体" w:cs="Times New Roman"/>
                      <w:color w:val="auto"/>
                      <w:kern w:val="0"/>
                      <w:sz w:val="21"/>
                      <w:szCs w:val="21"/>
                      <w:highlight w:val="none"/>
                      <w:vertAlign w:val="subscript"/>
                      <w:lang w:bidi="ar"/>
                    </w:rPr>
                    <w:t>2</w:t>
                  </w:r>
                  <w:r>
                    <w:rPr>
                      <w:rFonts w:hint="default" w:ascii="Times New Roman" w:hAnsi="Times New Roman" w:eastAsia="宋体" w:cs="Times New Roman"/>
                      <w:color w:val="auto"/>
                      <w:kern w:val="0"/>
                      <w:sz w:val="21"/>
                      <w:szCs w:val="21"/>
                      <w:highlight w:val="none"/>
                      <w:lang w:bidi="ar"/>
                    </w:rPr>
                    <w:t>H</w:t>
                  </w:r>
                  <w:r>
                    <w:rPr>
                      <w:rFonts w:hint="default" w:ascii="Times New Roman" w:hAnsi="Times New Roman" w:eastAsia="宋体" w:cs="Times New Roman"/>
                      <w:color w:val="auto"/>
                      <w:kern w:val="0"/>
                      <w:sz w:val="21"/>
                      <w:szCs w:val="21"/>
                      <w:highlight w:val="none"/>
                      <w:vertAlign w:val="subscript"/>
                      <w:lang w:bidi="ar"/>
                    </w:rPr>
                    <w:t>2</w:t>
                  </w:r>
                  <w:r>
                    <w:rPr>
                      <w:rFonts w:hint="default" w:ascii="Times New Roman" w:hAnsi="Times New Roman" w:eastAsia="宋体" w:cs="Times New Roman"/>
                      <w:color w:val="auto"/>
                      <w:kern w:val="0"/>
                      <w:sz w:val="21"/>
                      <w:szCs w:val="21"/>
                      <w:highlight w:val="none"/>
                      <w:lang w:bidi="ar"/>
                    </w:rPr>
                    <w:t>，俗称风煤或电石气，无色</w:t>
                  </w:r>
                  <w:r>
                    <w:rPr>
                      <w:rFonts w:hint="eastAsia" w:cs="Times New Roman"/>
                      <w:color w:val="auto"/>
                      <w:kern w:val="0"/>
                      <w:sz w:val="21"/>
                      <w:szCs w:val="21"/>
                      <w:highlight w:val="none"/>
                      <w:lang w:val="en-US" w:eastAsia="zh-CN" w:bidi="ar"/>
                    </w:rPr>
                    <w:t>无</w:t>
                  </w:r>
                  <w:r>
                    <w:rPr>
                      <w:rFonts w:hint="default" w:ascii="Times New Roman" w:hAnsi="Times New Roman" w:cs="Times New Roman"/>
                      <w:color w:val="auto"/>
                      <w:kern w:val="0"/>
                      <w:sz w:val="21"/>
                      <w:szCs w:val="21"/>
                      <w:highlight w:val="none"/>
                      <w:lang w:val="en-US" w:eastAsia="zh-CN" w:bidi="ar"/>
                    </w:rPr>
                    <w:t>臭</w:t>
                  </w:r>
                  <w:r>
                    <w:rPr>
                      <w:rFonts w:hint="default" w:ascii="Times New Roman" w:hAnsi="Times New Roman" w:eastAsia="宋体" w:cs="Times New Roman"/>
                      <w:color w:val="auto"/>
                      <w:kern w:val="0"/>
                      <w:sz w:val="21"/>
                      <w:szCs w:val="21"/>
                      <w:highlight w:val="none"/>
                      <w:lang w:bidi="ar"/>
                    </w:rPr>
                    <w:t>气体，微溶于水，</w:t>
                  </w:r>
                  <w:r>
                    <w:rPr>
                      <w:rFonts w:hint="default" w:ascii="Times New Roman" w:hAnsi="Times New Roman" w:eastAsia="宋体" w:cs="Times New Roman"/>
                      <w:color w:val="auto"/>
                      <w:kern w:val="0"/>
                      <w:sz w:val="21"/>
                      <w:szCs w:val="21"/>
                      <w:highlight w:val="none"/>
                      <w:lang w:val="en-US" w:eastAsia="zh-CN" w:bidi="ar"/>
                    </w:rPr>
                    <w:t>相对密度（气体）：</w:t>
                  </w:r>
                  <w:r>
                    <w:rPr>
                      <w:rFonts w:hint="default" w:ascii="Times New Roman" w:hAnsi="Times New Roman" w:cs="Times New Roman"/>
                      <w:color w:val="auto"/>
                      <w:kern w:val="0"/>
                      <w:sz w:val="21"/>
                      <w:szCs w:val="21"/>
                      <w:highlight w:val="none"/>
                      <w:lang w:val="en-US" w:eastAsia="zh-CN" w:bidi="ar"/>
                    </w:rPr>
                    <w:t>1.17g/L</w:t>
                  </w:r>
                  <w:r>
                    <w:rPr>
                      <w:rFonts w:hint="default" w:ascii="Times New Roman" w:hAnsi="Times New Roman" w:eastAsia="宋体" w:cs="Times New Roman"/>
                      <w:color w:val="auto"/>
                      <w:kern w:val="0"/>
                      <w:sz w:val="21"/>
                      <w:szCs w:val="21"/>
                      <w:highlight w:val="none"/>
                      <w:lang w:eastAsia="zh-CN" w:bidi="ar"/>
                    </w:rPr>
                    <w:t>、</w:t>
                  </w:r>
                  <w:r>
                    <w:rPr>
                      <w:rFonts w:hint="default" w:ascii="Times New Roman" w:hAnsi="Times New Roman" w:eastAsia="宋体" w:cs="Times New Roman"/>
                      <w:color w:val="auto"/>
                      <w:kern w:val="0"/>
                      <w:sz w:val="21"/>
                      <w:szCs w:val="21"/>
                      <w:highlight w:val="none"/>
                      <w:lang w:val="en-US" w:eastAsia="zh-CN" w:bidi="ar"/>
                    </w:rPr>
                    <w:t>沸点：</w:t>
                  </w:r>
                  <w:r>
                    <w:rPr>
                      <w:rFonts w:hint="default" w:ascii="Times New Roman" w:hAnsi="Times New Roman" w:eastAsia="宋体" w:cs="Times New Roman"/>
                      <w:color w:val="auto"/>
                      <w:kern w:val="0"/>
                      <w:sz w:val="21"/>
                      <w:szCs w:val="21"/>
                      <w:highlight w:val="none"/>
                      <w:lang w:bidi="ar"/>
                    </w:rPr>
                    <w:t>-84 ℃</w:t>
                  </w:r>
                  <w:r>
                    <w:rPr>
                      <w:rFonts w:hint="default" w:ascii="Times New Roman" w:hAnsi="Times New Roman" w:cs="Times New Roman"/>
                      <w:color w:val="auto"/>
                      <w:kern w:val="0"/>
                      <w:sz w:val="21"/>
                      <w:szCs w:val="21"/>
                      <w:highlight w:val="none"/>
                      <w:lang w:eastAsia="zh-CN" w:bidi="ar"/>
                    </w:rPr>
                    <w:t>、</w:t>
                  </w:r>
                  <w:r>
                    <w:rPr>
                      <w:rFonts w:hint="default" w:ascii="Times New Roman" w:hAnsi="Times New Roman" w:cs="Times New Roman"/>
                      <w:color w:val="auto"/>
                      <w:kern w:val="0"/>
                      <w:sz w:val="21"/>
                      <w:szCs w:val="21"/>
                      <w:highlight w:val="none"/>
                      <w:lang w:val="en-US" w:eastAsia="zh-CN" w:bidi="ar"/>
                    </w:rPr>
                    <w:t>熔点为-81.8℃，微溶于水、丙酮</w:t>
                  </w:r>
                  <w:r>
                    <w:rPr>
                      <w:rFonts w:hint="default" w:ascii="Times New Roman" w:hAnsi="Times New Roman" w:cs="Times New Roman"/>
                      <w:color w:val="auto"/>
                      <w:kern w:val="0"/>
                      <w:sz w:val="21"/>
                      <w:szCs w:val="21"/>
                      <w:highlight w:val="none"/>
                      <w:lang w:eastAsia="zh-CN" w:bidi="ar"/>
                    </w:rPr>
                    <w:t>。</w:t>
                  </w:r>
                  <w:r>
                    <w:rPr>
                      <w:rFonts w:hint="default" w:ascii="Times New Roman" w:hAnsi="Times New Roman" w:eastAsia="宋体" w:cs="Times New Roman"/>
                      <w:color w:val="auto"/>
                      <w:kern w:val="2"/>
                      <w:sz w:val="21"/>
                      <w:szCs w:val="21"/>
                      <w:highlight w:val="none"/>
                      <w:lang w:val="en-US" w:eastAsia="zh-CN"/>
                    </w:rPr>
                    <w:t>属于《危险化学品重大危险源辨识》（GB18218-2018）表1的风险物质</w:t>
                  </w:r>
                  <w:r>
                    <w:rPr>
                      <w:rFonts w:hint="default" w:ascii="Times New Roman" w:hAnsi="Times New Roman" w:eastAsia="宋体" w:cs="Times New Roman"/>
                      <w:color w:val="auto"/>
                      <w:kern w:val="2"/>
                      <w:sz w:val="21"/>
                      <w:szCs w:val="21"/>
                      <w:highlight w:val="none"/>
                      <w:lang w:eastAsia="zh-CN"/>
                    </w:rPr>
                    <w:t>。</w:t>
                  </w:r>
                </w:p>
              </w:tc>
              <w:tc>
                <w:tcPr>
                  <w:tcW w:w="425" w:type="pct"/>
                  <w:noWrap w:val="0"/>
                  <w:vAlign w:val="center"/>
                </w:tcPr>
                <w:p w14:paraId="6F76AFF3">
                  <w:pPr>
                    <w:widowControl/>
                    <w:jc w:val="center"/>
                    <w:textAlignment w:val="center"/>
                    <w:rPr>
                      <w:rFonts w:hint="default" w:ascii="Times New Roman" w:hAnsi="Times New Roman"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是</w:t>
                  </w:r>
                </w:p>
              </w:tc>
              <w:tc>
                <w:tcPr>
                  <w:tcW w:w="378" w:type="pct"/>
                  <w:noWrap w:val="0"/>
                  <w:vAlign w:val="center"/>
                </w:tcPr>
                <w:p w14:paraId="0099668B">
                  <w:pPr>
                    <w:jc w:val="center"/>
                    <w:rPr>
                      <w:rFonts w:hint="default" w:ascii="Times New Roman" w:hAnsi="Times New Roman"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1</w:t>
                  </w:r>
                </w:p>
              </w:tc>
            </w:tr>
            <w:tr w14:paraId="272EA9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53" w:type="pct"/>
                  <w:noWrap w:val="0"/>
                  <w:vAlign w:val="center"/>
                </w:tcPr>
                <w:p w14:paraId="598BBC9E">
                  <w:pPr>
                    <w:widowControl/>
                    <w:jc w:val="center"/>
                    <w:textAlignment w:val="center"/>
                    <w:rPr>
                      <w:rFonts w:hint="default" w:ascii="Times New Roman" w:hAnsi="Times New Roman" w:eastAsia="宋体" w:cs="Times New Roman"/>
                      <w:b w:val="0"/>
                      <w:bCs w:val="0"/>
                      <w:color w:val="auto"/>
                      <w:kern w:val="0"/>
                      <w:sz w:val="21"/>
                      <w:szCs w:val="21"/>
                      <w:highlight w:val="none"/>
                      <w:lang w:val="en-US" w:eastAsia="zh-CN" w:bidi="ar"/>
                    </w:rPr>
                  </w:pPr>
                  <w:r>
                    <w:rPr>
                      <w:rFonts w:hint="eastAsia" w:cs="Times New Roman"/>
                      <w:b w:val="0"/>
                      <w:bCs w:val="0"/>
                      <w:color w:val="auto"/>
                      <w:kern w:val="0"/>
                      <w:sz w:val="21"/>
                      <w:szCs w:val="21"/>
                      <w:highlight w:val="none"/>
                      <w:lang w:val="en-US" w:eastAsia="zh-CN" w:bidi="ar"/>
                    </w:rPr>
                    <w:t>45</w:t>
                  </w:r>
                </w:p>
              </w:tc>
              <w:tc>
                <w:tcPr>
                  <w:tcW w:w="621" w:type="pct"/>
                  <w:noWrap w:val="0"/>
                  <w:vAlign w:val="center"/>
                </w:tcPr>
                <w:p w14:paraId="366FFE56">
                  <w:pPr>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氮气</w:t>
                  </w:r>
                </w:p>
              </w:tc>
              <w:tc>
                <w:tcPr>
                  <w:tcW w:w="576" w:type="pct"/>
                  <w:noWrap w:val="0"/>
                  <w:vAlign w:val="center"/>
                </w:tcPr>
                <w:p w14:paraId="6FD5486B">
                  <w:pPr>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40L/瓶</w:t>
                  </w:r>
                </w:p>
              </w:tc>
              <w:tc>
                <w:tcPr>
                  <w:tcW w:w="534" w:type="pct"/>
                  <w:noWrap w:val="0"/>
                  <w:vAlign w:val="center"/>
                </w:tcPr>
                <w:p w14:paraId="07DD4688">
                  <w:pPr>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40L</w:t>
                  </w:r>
                </w:p>
              </w:tc>
              <w:tc>
                <w:tcPr>
                  <w:tcW w:w="596" w:type="pct"/>
                  <w:noWrap w:val="0"/>
                  <w:vAlign w:val="center"/>
                </w:tcPr>
                <w:p w14:paraId="2415522A">
                  <w:pPr>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40L</w:t>
                  </w:r>
                </w:p>
              </w:tc>
              <w:tc>
                <w:tcPr>
                  <w:tcW w:w="1614" w:type="pct"/>
                  <w:noWrap w:val="0"/>
                  <w:vAlign w:val="center"/>
                </w:tcPr>
                <w:p w14:paraId="5E5B514A">
                  <w:pPr>
                    <w:widowControl/>
                    <w:jc w:val="center"/>
                    <w:textAlignment w:val="center"/>
                    <w:rPr>
                      <w:rFonts w:hint="default" w:ascii="Times New Roman" w:hAnsi="Times New Roman" w:eastAsia="宋体" w:cs="Times New Roman"/>
                      <w:b/>
                      <w:bCs/>
                      <w:color w:val="auto"/>
                      <w:kern w:val="0"/>
                      <w:sz w:val="21"/>
                      <w:szCs w:val="21"/>
                      <w:highlight w:val="none"/>
                      <w:vertAlign w:val="baseline"/>
                      <w:lang w:val="en-US" w:eastAsia="zh-CN" w:bidi="ar"/>
                    </w:rPr>
                  </w:pPr>
                  <w:r>
                    <w:rPr>
                      <w:rFonts w:hint="default" w:ascii="Times New Roman" w:hAnsi="Times New Roman" w:eastAsia="宋体" w:cs="Times New Roman"/>
                      <w:i w:val="0"/>
                      <w:iCs w:val="0"/>
                      <w:caps w:val="0"/>
                      <w:color w:val="auto"/>
                      <w:spacing w:val="0"/>
                      <w:sz w:val="21"/>
                      <w:szCs w:val="21"/>
                      <w:highlight w:val="none"/>
                      <w:shd w:val="clear" w:fill="FFFFFF"/>
                    </w:rPr>
                    <w:t>是一种无色无味的气体</w:t>
                  </w:r>
                  <w:r>
                    <w:rPr>
                      <w:rFonts w:hint="default" w:ascii="Times New Roman" w:hAnsi="Times New Roman" w:eastAsia="宋体" w:cs="Times New Roman"/>
                      <w:i w:val="0"/>
                      <w:iCs w:val="0"/>
                      <w:caps w:val="0"/>
                      <w:color w:val="auto"/>
                      <w:spacing w:val="0"/>
                      <w:sz w:val="21"/>
                      <w:szCs w:val="21"/>
                      <w:highlight w:val="none"/>
                      <w:shd w:val="clear" w:fill="FFFFFF"/>
                      <w:lang w:eastAsia="zh-CN"/>
                    </w:rPr>
                    <w:t>，</w:t>
                  </w:r>
                  <w:r>
                    <w:rPr>
                      <w:rFonts w:hint="default" w:ascii="Times New Roman" w:hAnsi="Times New Roman" w:eastAsia="宋体" w:cs="Times New Roman"/>
                      <w:i w:val="0"/>
                      <w:iCs w:val="0"/>
                      <w:caps w:val="0"/>
                      <w:color w:val="auto"/>
                      <w:spacing w:val="0"/>
                      <w:sz w:val="21"/>
                      <w:szCs w:val="21"/>
                      <w:highlight w:val="none"/>
                      <w:shd w:val="clear" w:fill="FFFFFF"/>
                      <w:lang w:val="en-US" w:eastAsia="zh-CN"/>
                    </w:rPr>
                    <w:t>化学式为N</w:t>
                  </w:r>
                  <w:r>
                    <w:rPr>
                      <w:rFonts w:hint="default" w:ascii="Times New Roman" w:hAnsi="Times New Roman" w:eastAsia="宋体" w:cs="Times New Roman"/>
                      <w:i w:val="0"/>
                      <w:iCs w:val="0"/>
                      <w:caps w:val="0"/>
                      <w:color w:val="auto"/>
                      <w:spacing w:val="0"/>
                      <w:sz w:val="21"/>
                      <w:szCs w:val="21"/>
                      <w:highlight w:val="none"/>
                      <w:shd w:val="clear" w:fill="FFFFFF"/>
                      <w:vertAlign w:val="subscript"/>
                      <w:lang w:val="en-US" w:eastAsia="zh-CN"/>
                    </w:rPr>
                    <w:t>2</w:t>
                  </w:r>
                  <w:r>
                    <w:rPr>
                      <w:rFonts w:hint="default" w:ascii="Times New Roman" w:hAnsi="Times New Roman" w:eastAsia="宋体" w:cs="Times New Roman"/>
                      <w:i w:val="0"/>
                      <w:iCs w:val="0"/>
                      <w:caps w:val="0"/>
                      <w:color w:val="auto"/>
                      <w:spacing w:val="0"/>
                      <w:sz w:val="21"/>
                      <w:szCs w:val="21"/>
                      <w:highlight w:val="none"/>
                      <w:shd w:val="clear" w:fill="FFFFFF"/>
                      <w:vertAlign w:val="baseline"/>
                      <w:lang w:val="en-US" w:eastAsia="zh-CN"/>
                    </w:rPr>
                    <w:t>。微溶于水和酒精，沸点是-195.8℃，熔点是-209.86℃，密度</w:t>
                  </w:r>
                  <w:r>
                    <w:rPr>
                      <w:rFonts w:hint="eastAsia" w:cs="Times New Roman"/>
                      <w:i w:val="0"/>
                      <w:iCs w:val="0"/>
                      <w:caps w:val="0"/>
                      <w:color w:val="auto"/>
                      <w:spacing w:val="0"/>
                      <w:sz w:val="21"/>
                      <w:szCs w:val="21"/>
                      <w:highlight w:val="none"/>
                      <w:shd w:val="clear" w:fill="FFFFFF"/>
                      <w:vertAlign w:val="baseline"/>
                      <w:lang w:val="en-US" w:eastAsia="zh-CN"/>
                    </w:rPr>
                    <w:t>为1.25g/L。</w:t>
                  </w:r>
                </w:p>
              </w:tc>
              <w:tc>
                <w:tcPr>
                  <w:tcW w:w="425" w:type="pct"/>
                  <w:noWrap w:val="0"/>
                  <w:vAlign w:val="center"/>
                </w:tcPr>
                <w:p w14:paraId="2A125E49">
                  <w:pPr>
                    <w:widowControl/>
                    <w:jc w:val="center"/>
                    <w:textAlignment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否</w:t>
                  </w:r>
                </w:p>
              </w:tc>
              <w:tc>
                <w:tcPr>
                  <w:tcW w:w="378" w:type="pct"/>
                  <w:noWrap w:val="0"/>
                  <w:vAlign w:val="center"/>
                </w:tcPr>
                <w:p w14:paraId="33CA9F7A">
                  <w:pPr>
                    <w:jc w:val="center"/>
                    <w:rPr>
                      <w:rFonts w:hint="default" w:ascii="Times New Roman" w:hAnsi="Times New Roman"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w:t>
                  </w:r>
                </w:p>
              </w:tc>
            </w:tr>
            <w:tr w14:paraId="64B361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253" w:type="pct"/>
                  <w:noWrap w:val="0"/>
                  <w:vAlign w:val="center"/>
                </w:tcPr>
                <w:p w14:paraId="44821455">
                  <w:pPr>
                    <w:widowControl/>
                    <w:jc w:val="center"/>
                    <w:textAlignment w:val="center"/>
                    <w:rPr>
                      <w:rFonts w:hint="default" w:ascii="Times New Roman" w:hAnsi="Times New Roman" w:eastAsia="宋体" w:cs="Times New Roman"/>
                      <w:b w:val="0"/>
                      <w:bCs w:val="0"/>
                      <w:color w:val="auto"/>
                      <w:kern w:val="0"/>
                      <w:sz w:val="21"/>
                      <w:szCs w:val="21"/>
                      <w:highlight w:val="none"/>
                      <w:lang w:val="en-US" w:eastAsia="zh-CN" w:bidi="ar"/>
                    </w:rPr>
                  </w:pPr>
                  <w:r>
                    <w:rPr>
                      <w:rFonts w:hint="eastAsia" w:cs="Times New Roman"/>
                      <w:b w:val="0"/>
                      <w:bCs w:val="0"/>
                      <w:color w:val="auto"/>
                      <w:kern w:val="0"/>
                      <w:sz w:val="21"/>
                      <w:szCs w:val="21"/>
                      <w:highlight w:val="none"/>
                      <w:lang w:val="en-US" w:eastAsia="zh-CN" w:bidi="ar"/>
                    </w:rPr>
                    <w:t>46</w:t>
                  </w:r>
                </w:p>
              </w:tc>
              <w:tc>
                <w:tcPr>
                  <w:tcW w:w="621" w:type="pct"/>
                  <w:noWrap w:val="0"/>
                  <w:vAlign w:val="center"/>
                </w:tcPr>
                <w:p w14:paraId="016ADC77">
                  <w:pPr>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氦气</w:t>
                  </w:r>
                </w:p>
              </w:tc>
              <w:tc>
                <w:tcPr>
                  <w:tcW w:w="576" w:type="pct"/>
                  <w:noWrap w:val="0"/>
                  <w:vAlign w:val="center"/>
                </w:tcPr>
                <w:p w14:paraId="11945AB5">
                  <w:pPr>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40L/瓶</w:t>
                  </w:r>
                </w:p>
              </w:tc>
              <w:tc>
                <w:tcPr>
                  <w:tcW w:w="534" w:type="pct"/>
                  <w:noWrap w:val="0"/>
                  <w:vAlign w:val="center"/>
                </w:tcPr>
                <w:p w14:paraId="46702072">
                  <w:pPr>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40L</w:t>
                  </w:r>
                </w:p>
              </w:tc>
              <w:tc>
                <w:tcPr>
                  <w:tcW w:w="596" w:type="pct"/>
                  <w:noWrap w:val="0"/>
                  <w:vAlign w:val="center"/>
                </w:tcPr>
                <w:p w14:paraId="1AA10395">
                  <w:pPr>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40L</w:t>
                  </w:r>
                </w:p>
              </w:tc>
              <w:tc>
                <w:tcPr>
                  <w:tcW w:w="1614" w:type="pct"/>
                  <w:noWrap w:val="0"/>
                  <w:vAlign w:val="center"/>
                </w:tcPr>
                <w:p w14:paraId="6D481F82">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bidi="ar"/>
                    </w:rPr>
                    <w:t>氦气是一种无色、无味、无毒的惰性气体</w:t>
                  </w:r>
                  <w:r>
                    <w:rPr>
                      <w:rFonts w:hint="default" w:ascii="Times New Roman" w:hAnsi="Times New Roman" w:eastAsia="宋体" w:cs="Times New Roman"/>
                      <w:color w:val="auto"/>
                      <w:kern w:val="0"/>
                      <w:sz w:val="21"/>
                      <w:szCs w:val="21"/>
                      <w:highlight w:val="none"/>
                      <w:lang w:eastAsia="zh-CN" w:bidi="ar"/>
                    </w:rPr>
                    <w:t>，极其稳定，不易与其他元素发生化学反应，</w:t>
                  </w:r>
                  <w:r>
                    <w:rPr>
                      <w:rFonts w:hint="default" w:ascii="Times New Roman" w:hAnsi="Times New Roman" w:eastAsia="宋体" w:cs="Times New Roman"/>
                      <w:color w:val="auto"/>
                      <w:kern w:val="0"/>
                      <w:sz w:val="21"/>
                      <w:szCs w:val="21"/>
                      <w:highlight w:val="none"/>
                      <w:lang w:val="en-US" w:eastAsia="zh-CN" w:bidi="ar"/>
                    </w:rPr>
                    <w:t>化学式为He。</w:t>
                  </w:r>
                  <w:r>
                    <w:rPr>
                      <w:rFonts w:hint="default" w:ascii="Times New Roman" w:hAnsi="Times New Roman" w:eastAsia="宋体" w:cs="Times New Roman"/>
                      <w:color w:val="auto"/>
                      <w:kern w:val="0"/>
                      <w:sz w:val="21"/>
                      <w:szCs w:val="21"/>
                      <w:highlight w:val="none"/>
                      <w:lang w:eastAsia="zh-CN" w:bidi="ar"/>
                    </w:rPr>
                    <w:t>微溶于水和有机溶剂，</w:t>
                  </w:r>
                  <w:r>
                    <w:rPr>
                      <w:rFonts w:hint="default" w:ascii="Times New Roman" w:hAnsi="Times New Roman" w:eastAsia="宋体" w:cs="Times New Roman"/>
                      <w:color w:val="auto"/>
                      <w:kern w:val="0"/>
                      <w:sz w:val="21"/>
                      <w:szCs w:val="21"/>
                      <w:highlight w:val="none"/>
                      <w:lang w:val="en-US" w:eastAsia="zh-CN" w:bidi="ar"/>
                    </w:rPr>
                    <w:t>密度为</w:t>
                  </w:r>
                  <w:r>
                    <w:rPr>
                      <w:rFonts w:hint="default" w:ascii="Times New Roman" w:hAnsi="Times New Roman" w:eastAsia="宋体" w:cs="Times New Roman"/>
                      <w:i w:val="0"/>
                      <w:iCs w:val="0"/>
                      <w:caps w:val="0"/>
                      <w:color w:val="auto"/>
                      <w:spacing w:val="0"/>
                      <w:sz w:val="21"/>
                      <w:szCs w:val="21"/>
                      <w:highlight w:val="none"/>
                      <w:shd w:val="clear" w:fill="FFFFFF"/>
                    </w:rPr>
                    <w:t>0.178</w:t>
                  </w:r>
                  <w:r>
                    <w:rPr>
                      <w:rFonts w:hint="eastAsia" w:cs="Times New Roman"/>
                      <w:i w:val="0"/>
                      <w:iCs w:val="0"/>
                      <w:caps w:val="0"/>
                      <w:color w:val="auto"/>
                      <w:spacing w:val="0"/>
                      <w:sz w:val="21"/>
                      <w:szCs w:val="21"/>
                      <w:highlight w:val="none"/>
                      <w:shd w:val="clear" w:fill="FFFFFF"/>
                      <w:lang w:val="en-US" w:eastAsia="zh-CN"/>
                    </w:rPr>
                    <w:t>5</w:t>
                  </w:r>
                  <w:r>
                    <w:rPr>
                      <w:rFonts w:hint="default" w:ascii="Times New Roman" w:hAnsi="Times New Roman" w:eastAsia="宋体" w:cs="Times New Roman"/>
                      <w:i w:val="0"/>
                      <w:iCs w:val="0"/>
                      <w:caps w:val="0"/>
                      <w:color w:val="auto"/>
                      <w:spacing w:val="0"/>
                      <w:sz w:val="21"/>
                      <w:szCs w:val="21"/>
                      <w:highlight w:val="none"/>
                      <w:shd w:val="clear" w:fill="FFFFFF"/>
                    </w:rPr>
                    <w:t>g/L</w:t>
                  </w:r>
                  <w:r>
                    <w:rPr>
                      <w:rFonts w:hint="default" w:ascii="Times New Roman" w:hAnsi="Times New Roman" w:eastAsia="宋体" w:cs="Times New Roman"/>
                      <w:i w:val="0"/>
                      <w:iCs w:val="0"/>
                      <w:caps w:val="0"/>
                      <w:color w:val="auto"/>
                      <w:spacing w:val="0"/>
                      <w:sz w:val="21"/>
                      <w:szCs w:val="21"/>
                      <w:highlight w:val="none"/>
                      <w:shd w:val="clear" w:fill="FFFFFF"/>
                      <w:lang w:eastAsia="zh-CN"/>
                    </w:rPr>
                    <w:t>，</w:t>
                  </w:r>
                  <w:r>
                    <w:rPr>
                      <w:rFonts w:hint="default" w:ascii="Times New Roman" w:hAnsi="Times New Roman" w:eastAsia="宋体" w:cs="Times New Roman"/>
                      <w:i w:val="0"/>
                      <w:iCs w:val="0"/>
                      <w:caps w:val="0"/>
                      <w:color w:val="auto"/>
                      <w:spacing w:val="0"/>
                      <w:sz w:val="21"/>
                      <w:szCs w:val="21"/>
                      <w:highlight w:val="none"/>
                      <w:shd w:val="clear" w:fill="FFFFFF"/>
                      <w:lang w:val="en-US" w:eastAsia="zh-CN"/>
                    </w:rPr>
                    <w:t>熔点为-272.1℃，沸点为-268.94℃。</w:t>
                  </w:r>
                </w:p>
              </w:tc>
              <w:tc>
                <w:tcPr>
                  <w:tcW w:w="425" w:type="pct"/>
                  <w:noWrap w:val="0"/>
                  <w:vAlign w:val="center"/>
                </w:tcPr>
                <w:p w14:paraId="20DC15E6">
                  <w:pPr>
                    <w:widowControl/>
                    <w:jc w:val="center"/>
                    <w:textAlignment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否</w:t>
                  </w:r>
                </w:p>
              </w:tc>
              <w:tc>
                <w:tcPr>
                  <w:tcW w:w="378" w:type="pct"/>
                  <w:noWrap w:val="0"/>
                  <w:vAlign w:val="center"/>
                </w:tcPr>
                <w:p w14:paraId="42507542">
                  <w:pPr>
                    <w:jc w:val="center"/>
                    <w:rPr>
                      <w:rFonts w:hint="default" w:ascii="Times New Roman" w:hAnsi="Times New Roman"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w:t>
                  </w:r>
                </w:p>
              </w:tc>
            </w:tr>
            <w:tr w14:paraId="28F75C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53" w:type="pct"/>
                  <w:noWrap w:val="0"/>
                  <w:vAlign w:val="center"/>
                </w:tcPr>
                <w:p w14:paraId="2F252C21">
                  <w:pPr>
                    <w:widowControl/>
                    <w:jc w:val="center"/>
                    <w:textAlignment w:val="center"/>
                    <w:rPr>
                      <w:rFonts w:hint="default" w:ascii="Times New Roman" w:hAnsi="Times New Roman" w:eastAsia="宋体" w:cs="Times New Roman"/>
                      <w:b w:val="0"/>
                      <w:bCs w:val="0"/>
                      <w:color w:val="auto"/>
                      <w:kern w:val="0"/>
                      <w:sz w:val="21"/>
                      <w:szCs w:val="21"/>
                      <w:highlight w:val="none"/>
                      <w:lang w:val="en-US" w:eastAsia="zh-CN" w:bidi="ar"/>
                    </w:rPr>
                  </w:pPr>
                  <w:r>
                    <w:rPr>
                      <w:rFonts w:hint="eastAsia" w:cs="Times New Roman"/>
                      <w:b w:val="0"/>
                      <w:bCs w:val="0"/>
                      <w:color w:val="auto"/>
                      <w:kern w:val="0"/>
                      <w:sz w:val="21"/>
                      <w:szCs w:val="21"/>
                      <w:highlight w:val="none"/>
                      <w:lang w:val="en-US" w:eastAsia="zh-CN" w:bidi="ar"/>
                    </w:rPr>
                    <w:t>47</w:t>
                  </w:r>
                </w:p>
              </w:tc>
              <w:tc>
                <w:tcPr>
                  <w:tcW w:w="621" w:type="pct"/>
                  <w:noWrap w:val="0"/>
                  <w:vAlign w:val="center"/>
                </w:tcPr>
                <w:p w14:paraId="43F47195">
                  <w:pPr>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甲苯</w:t>
                  </w:r>
                </w:p>
              </w:tc>
              <w:tc>
                <w:tcPr>
                  <w:tcW w:w="576" w:type="pct"/>
                  <w:noWrap w:val="0"/>
                  <w:vAlign w:val="center"/>
                </w:tcPr>
                <w:p w14:paraId="6845FFB9">
                  <w:pPr>
                    <w:jc w:val="center"/>
                    <w:rPr>
                      <w:rFonts w:hint="eastAsia" w:ascii="Times New Roman" w:hAnsi="Times New Roman" w:cs="Times New Roman"/>
                      <w:color w:val="auto"/>
                      <w:sz w:val="21"/>
                      <w:szCs w:val="21"/>
                      <w:highlight w:val="none"/>
                      <w:lang w:val="en-US" w:eastAsia="zh-CN"/>
                    </w:rPr>
                  </w:pPr>
                  <w:r>
                    <w:rPr>
                      <w:rFonts w:hint="default" w:ascii="Times New Roman" w:hAnsi="Times New Roman" w:cs="Times New Roman"/>
                      <w:bCs/>
                      <w:color w:val="auto"/>
                      <w:sz w:val="21"/>
                      <w:szCs w:val="21"/>
                      <w:highlight w:val="none"/>
                    </w:rPr>
                    <w:t>500</w:t>
                  </w:r>
                  <w:r>
                    <w:rPr>
                      <w:rFonts w:hint="eastAsia" w:ascii="Times New Roman" w:hAnsi="Times New Roman" w:cs="Times New Roman"/>
                      <w:bCs/>
                      <w:color w:val="auto"/>
                      <w:sz w:val="21"/>
                      <w:szCs w:val="21"/>
                      <w:highlight w:val="none"/>
                      <w:lang w:val="en-US" w:eastAsia="zh-CN"/>
                    </w:rPr>
                    <w:t>g</w:t>
                  </w:r>
                  <w:r>
                    <w:rPr>
                      <w:rFonts w:hint="eastAsia" w:cs="Times New Roman"/>
                      <w:bCs/>
                      <w:color w:val="auto"/>
                      <w:sz w:val="21"/>
                      <w:szCs w:val="21"/>
                      <w:highlight w:val="none"/>
                      <w:lang w:val="en-US" w:eastAsia="zh-CN"/>
                    </w:rPr>
                    <w:t>/瓶</w:t>
                  </w:r>
                </w:p>
              </w:tc>
              <w:tc>
                <w:tcPr>
                  <w:tcW w:w="534" w:type="pct"/>
                  <w:noWrap w:val="0"/>
                  <w:vAlign w:val="center"/>
                </w:tcPr>
                <w:p w14:paraId="44199474">
                  <w:pPr>
                    <w:jc w:val="center"/>
                    <w:rPr>
                      <w:rFonts w:hint="eastAsia"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5kg</w:t>
                  </w:r>
                </w:p>
              </w:tc>
              <w:tc>
                <w:tcPr>
                  <w:tcW w:w="596" w:type="pct"/>
                  <w:noWrap w:val="0"/>
                  <w:vAlign w:val="center"/>
                </w:tcPr>
                <w:p w14:paraId="4F43CEA0">
                  <w:pPr>
                    <w:jc w:val="center"/>
                    <w:rPr>
                      <w:rFonts w:hint="eastAsia"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5kg</w:t>
                  </w:r>
                </w:p>
              </w:tc>
              <w:tc>
                <w:tcPr>
                  <w:tcW w:w="1614" w:type="pct"/>
                  <w:noWrap w:val="0"/>
                  <w:vAlign w:val="center"/>
                </w:tcPr>
                <w:p w14:paraId="4A18C2D3">
                  <w:pPr>
                    <w:widowControl/>
                    <w:jc w:val="center"/>
                    <w:textAlignment w:val="center"/>
                    <w:rPr>
                      <w:rFonts w:hint="default" w:ascii="Times New Roman" w:hAnsi="Times New Roman" w:eastAsia="宋体" w:cs="Times New Roman"/>
                      <w:color w:val="auto"/>
                      <w:kern w:val="0"/>
                      <w:sz w:val="21"/>
                      <w:szCs w:val="21"/>
                      <w:highlight w:val="none"/>
                      <w:lang w:eastAsia="zh-CN" w:bidi="ar"/>
                    </w:rPr>
                  </w:pPr>
                  <w:r>
                    <w:rPr>
                      <w:rFonts w:hint="default" w:ascii="Times New Roman" w:hAnsi="Times New Roman" w:eastAsia="宋体" w:cs="Times New Roman"/>
                      <w:color w:val="auto"/>
                      <w:kern w:val="0"/>
                      <w:sz w:val="21"/>
                      <w:szCs w:val="21"/>
                      <w:highlight w:val="none"/>
                      <w:lang w:bidi="ar"/>
                    </w:rPr>
                    <w:t>无色透明液体，有类似苯的芳香气味；熔点-94.9℃，沸点110.6℃；相对密度（水=1）0.8</w:t>
                  </w:r>
                  <w:r>
                    <w:rPr>
                      <w:rFonts w:hint="default" w:ascii="Times New Roman" w:hAnsi="Times New Roman" w:eastAsia="宋体" w:cs="Times New Roman"/>
                      <w:color w:val="auto"/>
                      <w:kern w:val="0"/>
                      <w:sz w:val="21"/>
                      <w:szCs w:val="21"/>
                      <w:highlight w:val="none"/>
                      <w:lang w:val="en-US" w:eastAsia="zh-CN" w:bidi="ar"/>
                    </w:rPr>
                    <w:t>7g/cm</w:t>
                  </w:r>
                  <w:r>
                    <w:rPr>
                      <w:rFonts w:hint="default" w:ascii="Times New Roman" w:hAnsi="Times New Roman" w:eastAsia="宋体" w:cs="Times New Roman"/>
                      <w:color w:val="auto"/>
                      <w:kern w:val="0"/>
                      <w:sz w:val="21"/>
                      <w:szCs w:val="21"/>
                      <w:highlight w:val="none"/>
                      <w:vertAlign w:val="superscript"/>
                      <w:lang w:val="en-US" w:eastAsia="zh-CN" w:bidi="ar"/>
                    </w:rPr>
                    <w:t>3</w:t>
                  </w:r>
                  <w:r>
                    <w:rPr>
                      <w:rFonts w:hint="default" w:ascii="Times New Roman" w:hAnsi="Times New Roman" w:eastAsia="宋体" w:cs="Times New Roman"/>
                      <w:color w:val="auto"/>
                      <w:kern w:val="0"/>
                      <w:sz w:val="21"/>
                      <w:szCs w:val="21"/>
                      <w:highlight w:val="none"/>
                      <w:vertAlign w:val="baseline"/>
                      <w:lang w:val="en-US" w:eastAsia="zh-CN" w:bidi="ar"/>
                    </w:rPr>
                    <w:t>，闪点为4.4℃，</w:t>
                  </w:r>
                  <w:r>
                    <w:rPr>
                      <w:rFonts w:hint="default" w:ascii="Times New Roman" w:hAnsi="Times New Roman" w:eastAsia="宋体" w:cs="Times New Roman"/>
                      <w:color w:val="auto"/>
                      <w:kern w:val="0"/>
                      <w:sz w:val="21"/>
                      <w:szCs w:val="21"/>
                      <w:highlight w:val="none"/>
                      <w:lang w:bidi="ar"/>
                    </w:rPr>
                    <w:t>不溶于水，可混溶于苯、醇、醚等多数有机溶剂</w:t>
                  </w:r>
                  <w:r>
                    <w:rPr>
                      <w:rFonts w:hint="default" w:ascii="Times New Roman" w:hAnsi="Times New Roman" w:eastAsia="宋体" w:cs="Times New Roman"/>
                      <w:color w:val="auto"/>
                      <w:kern w:val="0"/>
                      <w:sz w:val="21"/>
                      <w:szCs w:val="21"/>
                      <w:highlight w:val="none"/>
                      <w:lang w:eastAsia="zh-CN" w:bidi="ar"/>
                    </w:rPr>
                    <w:t>。</w:t>
                  </w:r>
                  <w:r>
                    <w:rPr>
                      <w:rFonts w:hint="default" w:ascii="Times New Roman" w:hAnsi="Times New Roman" w:eastAsia="宋体" w:cs="Times New Roman"/>
                      <w:color w:val="auto"/>
                      <w:kern w:val="2"/>
                      <w:sz w:val="21"/>
                      <w:szCs w:val="21"/>
                      <w:highlight w:val="none"/>
                    </w:rPr>
                    <w:t>属于风险导则</w:t>
                  </w:r>
                  <w:r>
                    <w:rPr>
                      <w:rFonts w:hint="default" w:ascii="Times New Roman" w:hAnsi="Times New Roman" w:eastAsia="宋体" w:cs="Times New Roman"/>
                      <w:color w:val="auto"/>
                      <w:kern w:val="2"/>
                      <w:sz w:val="21"/>
                      <w:szCs w:val="21"/>
                      <w:highlight w:val="none"/>
                    </w:rPr>
                    <w:t>附录B</w:t>
                  </w:r>
                  <w:r>
                    <w:rPr>
                      <w:rFonts w:hint="default" w:ascii="Times New Roman" w:hAnsi="Times New Roman" w:eastAsia="宋体" w:cs="Times New Roman"/>
                      <w:color w:val="auto"/>
                      <w:kern w:val="2"/>
                      <w:sz w:val="21"/>
                      <w:szCs w:val="21"/>
                      <w:highlight w:val="none"/>
                      <w:lang w:val="en-US" w:eastAsia="zh-CN"/>
                    </w:rPr>
                    <w:t>.1</w:t>
                  </w:r>
                  <w:r>
                    <w:rPr>
                      <w:rFonts w:hint="default" w:ascii="Times New Roman" w:hAnsi="Times New Roman" w:eastAsia="宋体" w:cs="Times New Roman"/>
                      <w:color w:val="auto"/>
                      <w:kern w:val="2"/>
                      <w:sz w:val="21"/>
                      <w:szCs w:val="21"/>
                      <w:highlight w:val="none"/>
                    </w:rPr>
                    <w:t>中的风险物质</w:t>
                  </w:r>
                  <w:r>
                    <w:rPr>
                      <w:rFonts w:hint="default" w:ascii="Times New Roman" w:hAnsi="Times New Roman" w:eastAsia="宋体" w:cs="Times New Roman"/>
                      <w:color w:val="auto"/>
                      <w:kern w:val="2"/>
                      <w:sz w:val="21"/>
                      <w:szCs w:val="21"/>
                      <w:highlight w:val="none"/>
                      <w:lang w:eastAsia="zh-CN"/>
                    </w:rPr>
                    <w:t>。</w:t>
                  </w:r>
                </w:p>
              </w:tc>
              <w:tc>
                <w:tcPr>
                  <w:tcW w:w="425" w:type="pct"/>
                  <w:noWrap w:val="0"/>
                  <w:vAlign w:val="center"/>
                </w:tcPr>
                <w:p w14:paraId="1EB10DBC">
                  <w:pPr>
                    <w:widowControl/>
                    <w:jc w:val="center"/>
                    <w:textAlignment w:val="center"/>
                    <w:rPr>
                      <w:rFonts w:hint="eastAsia"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是</w:t>
                  </w:r>
                </w:p>
              </w:tc>
              <w:tc>
                <w:tcPr>
                  <w:tcW w:w="378" w:type="pct"/>
                  <w:noWrap w:val="0"/>
                  <w:vAlign w:val="center"/>
                </w:tcPr>
                <w:p w14:paraId="33AAC6D8">
                  <w:pPr>
                    <w:jc w:val="center"/>
                    <w:rPr>
                      <w:rFonts w:hint="default" w:ascii="Times New Roman" w:hAnsi="Times New Roman"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10</w:t>
                  </w:r>
                </w:p>
              </w:tc>
            </w:tr>
            <w:tr w14:paraId="3369A8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53" w:type="pct"/>
                  <w:noWrap w:val="0"/>
                  <w:vAlign w:val="center"/>
                </w:tcPr>
                <w:p w14:paraId="27AF425D">
                  <w:pPr>
                    <w:widowControl/>
                    <w:jc w:val="center"/>
                    <w:textAlignment w:val="center"/>
                    <w:rPr>
                      <w:rFonts w:hint="default" w:ascii="Times New Roman" w:hAnsi="Times New Roman" w:eastAsia="宋体" w:cs="Times New Roman"/>
                      <w:b w:val="0"/>
                      <w:bCs w:val="0"/>
                      <w:color w:val="auto"/>
                      <w:kern w:val="0"/>
                      <w:sz w:val="21"/>
                      <w:szCs w:val="21"/>
                      <w:highlight w:val="none"/>
                      <w:lang w:val="en-US" w:eastAsia="zh-CN" w:bidi="ar"/>
                    </w:rPr>
                  </w:pPr>
                  <w:r>
                    <w:rPr>
                      <w:rFonts w:hint="eastAsia" w:cs="Times New Roman"/>
                      <w:b w:val="0"/>
                      <w:bCs w:val="0"/>
                      <w:color w:val="auto"/>
                      <w:kern w:val="0"/>
                      <w:sz w:val="21"/>
                      <w:szCs w:val="21"/>
                      <w:highlight w:val="none"/>
                      <w:lang w:val="en-US" w:eastAsia="zh-CN" w:bidi="ar"/>
                    </w:rPr>
                    <w:t>48</w:t>
                  </w:r>
                </w:p>
              </w:tc>
              <w:tc>
                <w:tcPr>
                  <w:tcW w:w="621" w:type="pct"/>
                  <w:noWrap w:val="0"/>
                  <w:vAlign w:val="center"/>
                </w:tcPr>
                <w:p w14:paraId="75504B41">
                  <w:pPr>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正己烷</w:t>
                  </w:r>
                </w:p>
              </w:tc>
              <w:tc>
                <w:tcPr>
                  <w:tcW w:w="576" w:type="pct"/>
                  <w:noWrap w:val="0"/>
                  <w:vAlign w:val="center"/>
                </w:tcPr>
                <w:p w14:paraId="1E60C367">
                  <w:pPr>
                    <w:jc w:val="center"/>
                    <w:rPr>
                      <w:rFonts w:hint="eastAsia" w:ascii="Times New Roman" w:hAnsi="Times New Roman" w:cs="Times New Roman"/>
                      <w:color w:val="auto"/>
                      <w:sz w:val="21"/>
                      <w:szCs w:val="21"/>
                      <w:highlight w:val="none"/>
                      <w:lang w:val="en-US" w:eastAsia="zh-CN"/>
                    </w:rPr>
                  </w:pPr>
                  <w:r>
                    <w:rPr>
                      <w:rFonts w:hint="default" w:ascii="Times New Roman" w:hAnsi="Times New Roman" w:cs="Times New Roman"/>
                      <w:bCs/>
                      <w:color w:val="auto"/>
                      <w:sz w:val="21"/>
                      <w:szCs w:val="21"/>
                      <w:highlight w:val="none"/>
                    </w:rPr>
                    <w:t>500</w:t>
                  </w:r>
                  <w:r>
                    <w:rPr>
                      <w:rFonts w:hint="eastAsia" w:ascii="Times New Roman" w:hAnsi="Times New Roman" w:cs="Times New Roman"/>
                      <w:bCs/>
                      <w:color w:val="auto"/>
                      <w:sz w:val="21"/>
                      <w:szCs w:val="21"/>
                      <w:highlight w:val="none"/>
                      <w:lang w:val="en-US" w:eastAsia="zh-CN"/>
                    </w:rPr>
                    <w:t>g</w:t>
                  </w:r>
                  <w:r>
                    <w:rPr>
                      <w:rFonts w:hint="eastAsia" w:cs="Times New Roman"/>
                      <w:bCs/>
                      <w:color w:val="auto"/>
                      <w:sz w:val="21"/>
                      <w:szCs w:val="21"/>
                      <w:highlight w:val="none"/>
                      <w:lang w:val="en-US" w:eastAsia="zh-CN"/>
                    </w:rPr>
                    <w:t>/瓶</w:t>
                  </w:r>
                </w:p>
              </w:tc>
              <w:tc>
                <w:tcPr>
                  <w:tcW w:w="534" w:type="pct"/>
                  <w:noWrap w:val="0"/>
                  <w:vAlign w:val="center"/>
                </w:tcPr>
                <w:p w14:paraId="3D57C8E6">
                  <w:pPr>
                    <w:jc w:val="center"/>
                    <w:rPr>
                      <w:rFonts w:hint="eastAsia"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5kg</w:t>
                  </w:r>
                </w:p>
              </w:tc>
              <w:tc>
                <w:tcPr>
                  <w:tcW w:w="596" w:type="pct"/>
                  <w:noWrap w:val="0"/>
                  <w:vAlign w:val="center"/>
                </w:tcPr>
                <w:p w14:paraId="3BEE4BEF">
                  <w:pPr>
                    <w:jc w:val="center"/>
                    <w:rPr>
                      <w:rFonts w:hint="eastAsia"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5kg</w:t>
                  </w:r>
                </w:p>
              </w:tc>
              <w:tc>
                <w:tcPr>
                  <w:tcW w:w="1614" w:type="pct"/>
                  <w:noWrap w:val="0"/>
                  <w:vAlign w:val="center"/>
                </w:tcPr>
                <w:p w14:paraId="4DF9DBBC">
                  <w:pPr>
                    <w:widowControl/>
                    <w:jc w:val="center"/>
                    <w:textAlignment w:val="center"/>
                    <w:rPr>
                      <w:rFonts w:hint="default" w:ascii="Times New Roman" w:hAnsi="Times New Roman" w:eastAsia="宋体" w:cs="Times New Roman"/>
                      <w:color w:val="auto"/>
                      <w:kern w:val="0"/>
                      <w:sz w:val="21"/>
                      <w:szCs w:val="21"/>
                      <w:highlight w:val="none"/>
                      <w:lang w:eastAsia="zh-CN" w:bidi="ar"/>
                    </w:rPr>
                  </w:pPr>
                  <w:r>
                    <w:rPr>
                      <w:rFonts w:hint="default" w:ascii="Times New Roman" w:hAnsi="Times New Roman" w:eastAsia="宋体" w:cs="Times New Roman"/>
                      <w:i w:val="0"/>
                      <w:iCs w:val="0"/>
                      <w:caps w:val="0"/>
                      <w:color w:val="auto"/>
                      <w:spacing w:val="0"/>
                      <w:sz w:val="21"/>
                      <w:szCs w:val="21"/>
                      <w:highlight w:val="none"/>
                    </w:rPr>
                    <w:t>无色透明挥发性液体</w:t>
                  </w:r>
                  <w:r>
                    <w:rPr>
                      <w:rFonts w:hint="default" w:ascii="Times New Roman" w:hAnsi="Times New Roman" w:eastAsia="宋体" w:cs="Times New Roman"/>
                      <w:i w:val="0"/>
                      <w:iCs w:val="0"/>
                      <w:caps w:val="0"/>
                      <w:color w:val="auto"/>
                      <w:spacing w:val="0"/>
                      <w:sz w:val="21"/>
                      <w:szCs w:val="21"/>
                      <w:highlight w:val="none"/>
                      <w:lang w:eastAsia="zh-CN"/>
                    </w:rPr>
                    <w:t>，具有微弱的特殊气味，沸点为68.7℃，熔点为-95.6℃，</w:t>
                  </w:r>
                  <w:r>
                    <w:rPr>
                      <w:rFonts w:hint="default" w:ascii="Times New Roman" w:hAnsi="Times New Roman" w:eastAsia="宋体" w:cs="Times New Roman"/>
                      <w:i w:val="0"/>
                      <w:iCs w:val="0"/>
                      <w:caps w:val="0"/>
                      <w:color w:val="auto"/>
                      <w:spacing w:val="0"/>
                      <w:sz w:val="21"/>
                      <w:szCs w:val="21"/>
                      <w:highlight w:val="none"/>
                      <w:lang w:val="en-US" w:eastAsia="zh-CN"/>
                    </w:rPr>
                    <w:t>自燃点为225℃，</w:t>
                  </w:r>
                  <w:r>
                    <w:rPr>
                      <w:rFonts w:hint="default" w:ascii="Times New Roman" w:hAnsi="Times New Roman" w:eastAsia="宋体" w:cs="Times New Roman"/>
                      <w:i w:val="0"/>
                      <w:iCs w:val="0"/>
                      <w:caps w:val="0"/>
                      <w:color w:val="auto"/>
                      <w:spacing w:val="0"/>
                      <w:sz w:val="21"/>
                      <w:szCs w:val="21"/>
                      <w:highlight w:val="none"/>
                      <w:lang w:eastAsia="zh-CN"/>
                    </w:rPr>
                    <w:t>相对密度为0.66g/cm³，不溶于水，但溶于乙醇、乙醚等多数有机溶剂。</w:t>
                  </w:r>
                  <w:r>
                    <w:rPr>
                      <w:rFonts w:hint="default" w:ascii="Times New Roman" w:hAnsi="Times New Roman" w:eastAsia="宋体" w:cs="Times New Roman"/>
                      <w:color w:val="auto"/>
                      <w:kern w:val="2"/>
                      <w:sz w:val="21"/>
                      <w:szCs w:val="21"/>
                      <w:highlight w:val="none"/>
                    </w:rPr>
                    <w:t>属于风险导则</w:t>
                  </w:r>
                  <w:r>
                    <w:rPr>
                      <w:rFonts w:hint="default" w:ascii="Times New Roman" w:hAnsi="Times New Roman" w:eastAsia="宋体" w:cs="Times New Roman"/>
                      <w:color w:val="auto"/>
                      <w:kern w:val="2"/>
                      <w:sz w:val="21"/>
                      <w:szCs w:val="21"/>
                      <w:highlight w:val="none"/>
                    </w:rPr>
                    <w:t>附录B</w:t>
                  </w:r>
                  <w:r>
                    <w:rPr>
                      <w:rFonts w:hint="default" w:ascii="Times New Roman" w:hAnsi="Times New Roman" w:eastAsia="宋体" w:cs="Times New Roman"/>
                      <w:color w:val="auto"/>
                      <w:kern w:val="2"/>
                      <w:sz w:val="21"/>
                      <w:szCs w:val="21"/>
                      <w:highlight w:val="none"/>
                      <w:lang w:val="en-US" w:eastAsia="zh-CN"/>
                    </w:rPr>
                    <w:t>.1</w:t>
                  </w:r>
                  <w:r>
                    <w:rPr>
                      <w:rFonts w:hint="default" w:ascii="Times New Roman" w:hAnsi="Times New Roman" w:eastAsia="宋体" w:cs="Times New Roman"/>
                      <w:color w:val="auto"/>
                      <w:kern w:val="2"/>
                      <w:sz w:val="21"/>
                      <w:szCs w:val="21"/>
                      <w:highlight w:val="none"/>
                    </w:rPr>
                    <w:t>中的风险物质</w:t>
                  </w:r>
                  <w:r>
                    <w:rPr>
                      <w:rFonts w:hint="default" w:ascii="Times New Roman" w:hAnsi="Times New Roman" w:eastAsia="宋体" w:cs="Times New Roman"/>
                      <w:color w:val="auto"/>
                      <w:kern w:val="2"/>
                      <w:sz w:val="21"/>
                      <w:szCs w:val="21"/>
                      <w:highlight w:val="none"/>
                      <w:lang w:eastAsia="zh-CN"/>
                    </w:rPr>
                    <w:t>。</w:t>
                  </w:r>
                </w:p>
              </w:tc>
              <w:tc>
                <w:tcPr>
                  <w:tcW w:w="425" w:type="pct"/>
                  <w:noWrap w:val="0"/>
                  <w:vAlign w:val="center"/>
                </w:tcPr>
                <w:p w14:paraId="26316758">
                  <w:pPr>
                    <w:widowControl/>
                    <w:jc w:val="center"/>
                    <w:textAlignment w:val="center"/>
                    <w:rPr>
                      <w:rFonts w:hint="eastAsia"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是</w:t>
                  </w:r>
                </w:p>
              </w:tc>
              <w:tc>
                <w:tcPr>
                  <w:tcW w:w="378" w:type="pct"/>
                  <w:noWrap w:val="0"/>
                  <w:vAlign w:val="center"/>
                </w:tcPr>
                <w:p w14:paraId="65C93155">
                  <w:pPr>
                    <w:jc w:val="center"/>
                    <w:rPr>
                      <w:rFonts w:hint="default" w:ascii="Times New Roman" w:hAnsi="Times New Roman"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10</w:t>
                  </w:r>
                </w:p>
              </w:tc>
            </w:tr>
            <w:tr w14:paraId="17FB34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53" w:type="pct"/>
                  <w:noWrap w:val="0"/>
                  <w:vAlign w:val="center"/>
                </w:tcPr>
                <w:p w14:paraId="236B6F0E">
                  <w:pPr>
                    <w:widowControl/>
                    <w:jc w:val="center"/>
                    <w:textAlignment w:val="center"/>
                    <w:rPr>
                      <w:rFonts w:hint="default" w:cs="Times New Roman"/>
                      <w:b w:val="0"/>
                      <w:bCs w:val="0"/>
                      <w:color w:val="auto"/>
                      <w:kern w:val="0"/>
                      <w:sz w:val="21"/>
                      <w:szCs w:val="21"/>
                      <w:highlight w:val="none"/>
                      <w:lang w:val="en-US" w:eastAsia="zh-CN" w:bidi="ar"/>
                    </w:rPr>
                  </w:pPr>
                  <w:r>
                    <w:rPr>
                      <w:rFonts w:hint="eastAsia" w:cs="Times New Roman"/>
                      <w:b w:val="0"/>
                      <w:bCs w:val="0"/>
                      <w:color w:val="auto"/>
                      <w:kern w:val="0"/>
                      <w:sz w:val="21"/>
                      <w:szCs w:val="21"/>
                      <w:highlight w:val="none"/>
                      <w:lang w:val="en-US" w:eastAsia="zh-CN" w:bidi="ar"/>
                    </w:rPr>
                    <w:t>49</w:t>
                  </w:r>
                </w:p>
              </w:tc>
              <w:tc>
                <w:tcPr>
                  <w:tcW w:w="621" w:type="pct"/>
                  <w:noWrap w:val="0"/>
                  <w:vAlign w:val="center"/>
                </w:tcPr>
                <w:p w14:paraId="66C4AA24">
                  <w:pPr>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机油</w:t>
                  </w:r>
                </w:p>
              </w:tc>
              <w:tc>
                <w:tcPr>
                  <w:tcW w:w="576" w:type="pct"/>
                  <w:noWrap w:val="0"/>
                  <w:vAlign w:val="center"/>
                </w:tcPr>
                <w:p w14:paraId="23A2030B">
                  <w:pPr>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20kg/瓶</w:t>
                  </w:r>
                </w:p>
              </w:tc>
              <w:tc>
                <w:tcPr>
                  <w:tcW w:w="534" w:type="pct"/>
                  <w:noWrap w:val="0"/>
                  <w:vAlign w:val="center"/>
                </w:tcPr>
                <w:p w14:paraId="2BCBB5B0">
                  <w:pPr>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0.1t</w:t>
                  </w:r>
                </w:p>
              </w:tc>
              <w:tc>
                <w:tcPr>
                  <w:tcW w:w="596" w:type="pct"/>
                  <w:noWrap w:val="0"/>
                  <w:vAlign w:val="center"/>
                </w:tcPr>
                <w:p w14:paraId="22CC396E">
                  <w:pPr>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0.04t</w:t>
                  </w:r>
                </w:p>
              </w:tc>
              <w:tc>
                <w:tcPr>
                  <w:tcW w:w="1614" w:type="pct"/>
                  <w:noWrap w:val="0"/>
                  <w:vAlign w:val="center"/>
                </w:tcPr>
                <w:p w14:paraId="693EA388">
                  <w:pPr>
                    <w:keepNext w:val="0"/>
                    <w:keepLines w:val="0"/>
                    <w:widowControl/>
                    <w:suppressLineNumbers w:val="0"/>
                    <w:jc w:val="left"/>
                    <w:rPr>
                      <w:rFonts w:hint="default" w:ascii="Times New Roman" w:hAnsi="Times New Roman" w:eastAsia="宋体" w:cs="Times New Roman"/>
                      <w:i w:val="0"/>
                      <w:iCs w:val="0"/>
                      <w:caps w:val="0"/>
                      <w:color w:val="auto"/>
                      <w:spacing w:val="0"/>
                      <w:sz w:val="21"/>
                      <w:szCs w:val="21"/>
                      <w:highlight w:val="none"/>
                    </w:rPr>
                  </w:pPr>
                  <w:r>
                    <w:rPr>
                      <w:rFonts w:hint="eastAsia" w:ascii="宋体" w:hAnsi="宋体" w:eastAsia="宋体" w:cs="宋体"/>
                      <w:color w:val="auto"/>
                      <w:kern w:val="0"/>
                      <w:sz w:val="20"/>
                      <w:szCs w:val="20"/>
                      <w:highlight w:val="none"/>
                      <w:lang w:val="en-US" w:eastAsia="zh-CN" w:bidi="ar"/>
                    </w:rPr>
                    <w:t>密度约为</w:t>
                  </w:r>
                  <w:r>
                    <w:rPr>
                      <w:rFonts w:hint="default" w:ascii="Times New Roman" w:hAnsi="Times New Roman" w:eastAsia="宋体" w:cs="Times New Roman"/>
                      <w:color w:val="auto"/>
                      <w:kern w:val="0"/>
                      <w:sz w:val="20"/>
                      <w:szCs w:val="20"/>
                      <w:highlight w:val="none"/>
                      <w:lang w:val="en-US" w:eastAsia="zh-CN" w:bidi="ar"/>
                    </w:rPr>
                    <w:t>0.91×103</w:t>
                  </w:r>
                  <w:r>
                    <w:rPr>
                      <w:rFonts w:hint="eastAsia" w:ascii="宋体" w:hAnsi="宋体" w:eastAsia="宋体" w:cs="宋体"/>
                      <w:color w:val="auto"/>
                      <w:kern w:val="0"/>
                      <w:sz w:val="20"/>
                      <w:szCs w:val="20"/>
                      <w:highlight w:val="none"/>
                      <w:lang w:val="en-US" w:eastAsia="zh-CN" w:bidi="ar"/>
                    </w:rPr>
                    <w:t>（</w:t>
                  </w:r>
                  <w:r>
                    <w:rPr>
                      <w:rFonts w:hint="default" w:ascii="Times New Roman" w:hAnsi="Times New Roman" w:eastAsia="宋体" w:cs="Times New Roman"/>
                      <w:color w:val="auto"/>
                      <w:kern w:val="0"/>
                      <w:sz w:val="20"/>
                      <w:szCs w:val="20"/>
                      <w:highlight w:val="none"/>
                      <w:lang w:val="en-US" w:eastAsia="zh-CN" w:bidi="ar"/>
                    </w:rPr>
                    <w:t>kg/m</w:t>
                  </w:r>
                  <w:r>
                    <w:rPr>
                      <w:rFonts w:hint="default" w:ascii="Times New Roman" w:hAnsi="Times New Roman" w:eastAsia="宋体" w:cs="Times New Roman"/>
                      <w:color w:val="auto"/>
                      <w:kern w:val="0"/>
                      <w:sz w:val="13"/>
                      <w:szCs w:val="13"/>
                      <w:highlight w:val="none"/>
                      <w:lang w:val="en-US" w:eastAsia="zh-CN" w:bidi="ar"/>
                    </w:rPr>
                    <w:t>2</w:t>
                  </w:r>
                  <w:r>
                    <w:rPr>
                      <w:rFonts w:hint="eastAsia" w:ascii="宋体" w:hAnsi="宋体" w:eastAsia="宋体" w:cs="宋体"/>
                      <w:color w:val="auto"/>
                      <w:kern w:val="0"/>
                      <w:sz w:val="20"/>
                      <w:szCs w:val="20"/>
                      <w:highlight w:val="none"/>
                      <w:lang w:val="en-US" w:eastAsia="zh-CN" w:bidi="ar"/>
                    </w:rPr>
                    <w:t>），机油是一种利用原油或煤炭中较轻的乙烷、丙烷等裂解成乙烯，再经复杂的化学变化将它们重组而成的物质，物理化学性能稳定，不含杂质，是一种合成油，无挥发成分。属于风险导则附录</w:t>
                  </w:r>
                  <w:r>
                    <w:rPr>
                      <w:rFonts w:hint="default" w:ascii="Times New Roman" w:hAnsi="Times New Roman" w:eastAsia="宋体" w:cs="Times New Roman"/>
                      <w:color w:val="auto"/>
                      <w:kern w:val="0"/>
                      <w:sz w:val="20"/>
                      <w:szCs w:val="20"/>
                      <w:highlight w:val="none"/>
                      <w:lang w:val="en-US" w:eastAsia="zh-CN" w:bidi="ar"/>
                    </w:rPr>
                    <w:t>B</w:t>
                  </w:r>
                  <w:r>
                    <w:rPr>
                      <w:rFonts w:hint="eastAsia" w:ascii="Times New Roman" w:hAnsi="Times New Roman" w:eastAsia="宋体" w:cs="Times New Roman"/>
                      <w:color w:val="auto"/>
                      <w:kern w:val="0"/>
                      <w:sz w:val="20"/>
                      <w:szCs w:val="20"/>
                      <w:highlight w:val="none"/>
                      <w:lang w:val="en-US" w:eastAsia="zh-CN" w:bidi="ar"/>
                    </w:rPr>
                    <w:t>.1</w:t>
                  </w:r>
                  <w:r>
                    <w:rPr>
                      <w:rFonts w:hint="eastAsia" w:ascii="宋体" w:hAnsi="宋体" w:eastAsia="宋体" w:cs="宋体"/>
                      <w:color w:val="auto"/>
                      <w:kern w:val="0"/>
                      <w:sz w:val="20"/>
                      <w:szCs w:val="20"/>
                      <w:highlight w:val="none"/>
                      <w:lang w:val="en-US" w:eastAsia="zh-CN" w:bidi="ar"/>
                    </w:rPr>
                    <w:t>中的风险物质。</w:t>
                  </w:r>
                </w:p>
              </w:tc>
              <w:tc>
                <w:tcPr>
                  <w:tcW w:w="425" w:type="pct"/>
                  <w:noWrap w:val="0"/>
                  <w:vAlign w:val="center"/>
                </w:tcPr>
                <w:p w14:paraId="5B1A14F8">
                  <w:pPr>
                    <w:widowControl/>
                    <w:jc w:val="center"/>
                    <w:textAlignment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是</w:t>
                  </w:r>
                </w:p>
              </w:tc>
              <w:tc>
                <w:tcPr>
                  <w:tcW w:w="378" w:type="pct"/>
                  <w:noWrap w:val="0"/>
                  <w:vAlign w:val="center"/>
                </w:tcPr>
                <w:p w14:paraId="2388C78C">
                  <w:pPr>
                    <w:jc w:val="center"/>
                    <w:rPr>
                      <w:rFonts w:hint="default"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2500</w:t>
                  </w:r>
                </w:p>
              </w:tc>
            </w:tr>
          </w:tbl>
          <w:p w14:paraId="345FBDFE">
            <w:pPr>
              <w:shd w:val="clear"/>
              <w:spacing w:line="240" w:lineRule="auto"/>
              <w:ind w:firstLine="482" w:firstLineChars="200"/>
              <w:jc w:val="both"/>
              <w:textAlignment w:val="baseline"/>
              <w:rPr>
                <w:rFonts w:hint="default" w:ascii="Times New Roman" w:hAnsi="Times New Roman" w:eastAsia="宋体" w:cs="Times New Roman"/>
                <w:b/>
                <w:bCs/>
                <w:color w:val="auto"/>
                <w:sz w:val="24"/>
                <w:highlight w:val="none"/>
                <w:lang w:val="en-US" w:eastAsia="zh-CN" w:bidi="ar"/>
              </w:rPr>
            </w:pPr>
            <w:r>
              <w:rPr>
                <w:rFonts w:hint="default" w:ascii="Times New Roman" w:hAnsi="Times New Roman" w:eastAsia="宋体" w:cs="Times New Roman"/>
                <w:b/>
                <w:bCs/>
                <w:color w:val="auto"/>
                <w:sz w:val="24"/>
                <w:highlight w:val="none"/>
                <w:lang w:val="en-US" w:eastAsia="zh-CN" w:bidi="ar"/>
              </w:rPr>
              <w:t>4、</w:t>
            </w:r>
            <w:r>
              <w:rPr>
                <w:rFonts w:hint="default" w:ascii="Times New Roman" w:hAnsi="Times New Roman" w:eastAsia="宋体" w:cs="Times New Roman"/>
                <w:b/>
                <w:color w:val="auto"/>
                <w:sz w:val="24"/>
                <w:szCs w:val="24"/>
                <w:highlight w:val="none"/>
                <w:lang w:val="en-US" w:eastAsia="zh-CN"/>
              </w:rPr>
              <w:t>主要生产设备</w:t>
            </w:r>
          </w:p>
          <w:p w14:paraId="445D9221">
            <w:pPr>
              <w:shd w:val="clear"/>
              <w:spacing w:line="360" w:lineRule="auto"/>
              <w:jc w:val="center"/>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表</w:t>
            </w:r>
            <w:r>
              <w:rPr>
                <w:rFonts w:hint="eastAsia" w:cs="Times New Roman"/>
                <w:b/>
                <w:bCs/>
                <w:color w:val="auto"/>
                <w:kern w:val="2"/>
                <w:sz w:val="24"/>
                <w:szCs w:val="24"/>
                <w:highlight w:val="none"/>
                <w:lang w:val="en-US" w:eastAsia="zh-CN" w:bidi="ar-SA"/>
              </w:rPr>
              <w:t>6</w:t>
            </w:r>
            <w:r>
              <w:rPr>
                <w:rFonts w:hint="default" w:ascii="Times New Roman" w:hAnsi="Times New Roman" w:eastAsia="宋体" w:cs="Times New Roman"/>
                <w:b/>
                <w:bCs/>
                <w:color w:val="auto"/>
                <w:kern w:val="2"/>
                <w:sz w:val="24"/>
                <w:szCs w:val="24"/>
                <w:highlight w:val="none"/>
                <w:lang w:val="en-US" w:eastAsia="zh-CN" w:bidi="ar-SA"/>
              </w:rPr>
              <w:t>项目主要生产设备一览表</w:t>
            </w:r>
          </w:p>
          <w:tbl>
            <w:tblPr>
              <w:tblStyle w:val="33"/>
              <w:tblW w:w="451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84"/>
              <w:gridCol w:w="2073"/>
              <w:gridCol w:w="766"/>
              <w:gridCol w:w="1217"/>
              <w:gridCol w:w="2095"/>
              <w:gridCol w:w="858"/>
            </w:tblGrid>
            <w:tr w14:paraId="0B9AD2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7" w:hRule="atLeast"/>
                <w:jc w:val="center"/>
              </w:trPr>
              <w:tc>
                <w:tcPr>
                  <w:tcW w:w="568" w:type="dxa"/>
                  <w:noWrap w:val="0"/>
                  <w:vAlign w:val="center"/>
                </w:tcPr>
                <w:p w14:paraId="01DAB5B6">
                  <w:pPr>
                    <w:adjustRightInd w:val="0"/>
                    <w:jc w:val="center"/>
                    <w:textAlignment w:val="baseline"/>
                    <w:rPr>
                      <w:rFonts w:hint="default" w:ascii="Times New Roman" w:hAnsi="Times New Roman" w:eastAsia="宋体" w:cs="Times New Roman"/>
                      <w:b/>
                      <w:bCs/>
                      <w:color w:val="auto"/>
                      <w:szCs w:val="21"/>
                      <w:highlight w:val="none"/>
                      <w:lang w:val="en-US" w:eastAsia="zh-CN"/>
                    </w:rPr>
                  </w:pPr>
                  <w:r>
                    <w:rPr>
                      <w:rFonts w:hint="default" w:ascii="Times New Roman" w:hAnsi="Times New Roman" w:cs="Times New Roman"/>
                      <w:b/>
                      <w:bCs/>
                      <w:color w:val="auto"/>
                      <w:szCs w:val="21"/>
                      <w:highlight w:val="none"/>
                    </w:rPr>
                    <w:t>序号</w:t>
                  </w:r>
                </w:p>
              </w:tc>
              <w:tc>
                <w:tcPr>
                  <w:tcW w:w="2014" w:type="dxa"/>
                  <w:noWrap w:val="0"/>
                  <w:vAlign w:val="center"/>
                </w:tcPr>
                <w:p w14:paraId="0BB0752B">
                  <w:pPr>
                    <w:adjustRightInd w:val="0"/>
                    <w:jc w:val="center"/>
                    <w:textAlignment w:val="baseline"/>
                    <w:rPr>
                      <w:rFonts w:hint="default" w:ascii="Times New Roman" w:hAnsi="Times New Roman" w:cs="Times New Roman"/>
                      <w:b/>
                      <w:bCs/>
                      <w:color w:val="auto"/>
                      <w:szCs w:val="21"/>
                      <w:highlight w:val="none"/>
                      <w:lang w:val="en-US"/>
                    </w:rPr>
                  </w:pPr>
                  <w:r>
                    <w:rPr>
                      <w:rFonts w:hint="default" w:ascii="Times New Roman" w:hAnsi="Times New Roman" w:cs="Times New Roman"/>
                      <w:b/>
                      <w:bCs/>
                      <w:color w:val="auto"/>
                      <w:szCs w:val="21"/>
                      <w:highlight w:val="none"/>
                    </w:rPr>
                    <w:t>设备名称</w:t>
                  </w:r>
                </w:p>
              </w:tc>
              <w:tc>
                <w:tcPr>
                  <w:tcW w:w="744" w:type="dxa"/>
                  <w:noWrap w:val="0"/>
                  <w:vAlign w:val="center"/>
                </w:tcPr>
                <w:p w14:paraId="08F7DC4D">
                  <w:pPr>
                    <w:adjustRightInd w:val="0"/>
                    <w:jc w:val="center"/>
                    <w:textAlignment w:val="baseline"/>
                    <w:rPr>
                      <w:rFonts w:hint="default" w:ascii="Times New Roman" w:hAnsi="Times New Roman" w:cs="Times New Roman"/>
                      <w:b/>
                      <w:bCs/>
                      <w:color w:val="auto"/>
                      <w:szCs w:val="21"/>
                      <w:highlight w:val="none"/>
                      <w:lang w:val="en-US"/>
                    </w:rPr>
                  </w:pPr>
                  <w:r>
                    <w:rPr>
                      <w:rFonts w:hint="default" w:ascii="Times New Roman" w:hAnsi="Times New Roman" w:cs="Times New Roman"/>
                      <w:b/>
                      <w:bCs/>
                      <w:color w:val="auto"/>
                      <w:szCs w:val="21"/>
                      <w:highlight w:val="none"/>
                    </w:rPr>
                    <w:t>数量</w:t>
                  </w:r>
                </w:p>
              </w:tc>
              <w:tc>
                <w:tcPr>
                  <w:tcW w:w="1182" w:type="dxa"/>
                  <w:noWrap w:val="0"/>
                  <w:vAlign w:val="center"/>
                </w:tcPr>
                <w:p w14:paraId="6B6A4E1F">
                  <w:pPr>
                    <w:adjustRightInd w:val="0"/>
                    <w:jc w:val="center"/>
                    <w:textAlignment w:val="baseline"/>
                    <w:rPr>
                      <w:rFonts w:hint="default" w:ascii="Times New Roman" w:hAnsi="Times New Roman" w:cs="Times New Roman"/>
                      <w:b/>
                      <w:bCs/>
                      <w:color w:val="auto"/>
                      <w:szCs w:val="21"/>
                      <w:highlight w:val="none"/>
                      <w:lang w:val="en-US"/>
                    </w:rPr>
                  </w:pPr>
                  <w:r>
                    <w:rPr>
                      <w:rFonts w:hint="default" w:ascii="Times New Roman" w:hAnsi="Times New Roman" w:cs="Times New Roman"/>
                      <w:b/>
                      <w:bCs/>
                      <w:color w:val="auto"/>
                      <w:szCs w:val="21"/>
                      <w:highlight w:val="none"/>
                    </w:rPr>
                    <w:t>设备所在工序/用途</w:t>
                  </w:r>
                </w:p>
              </w:tc>
              <w:tc>
                <w:tcPr>
                  <w:tcW w:w="2035" w:type="dxa"/>
                  <w:noWrap w:val="0"/>
                  <w:vAlign w:val="center"/>
                </w:tcPr>
                <w:p w14:paraId="56FB913A">
                  <w:pPr>
                    <w:adjustRightInd w:val="0"/>
                    <w:jc w:val="center"/>
                    <w:textAlignment w:val="baseline"/>
                    <w:rPr>
                      <w:rFonts w:hint="default" w:ascii="Times New Roman" w:hAnsi="Times New Roman" w:cs="Times New Roman"/>
                      <w:b/>
                      <w:bCs/>
                      <w:color w:val="auto"/>
                      <w:szCs w:val="21"/>
                      <w:highlight w:val="none"/>
                      <w:lang w:val="en-US"/>
                    </w:rPr>
                  </w:pPr>
                  <w:r>
                    <w:rPr>
                      <w:rFonts w:hint="default" w:ascii="Times New Roman" w:hAnsi="Times New Roman" w:cs="Times New Roman"/>
                      <w:b/>
                      <w:bCs/>
                      <w:color w:val="auto"/>
                      <w:szCs w:val="21"/>
                      <w:highlight w:val="none"/>
                    </w:rPr>
                    <w:t>设备型号</w:t>
                  </w:r>
                </w:p>
              </w:tc>
              <w:tc>
                <w:tcPr>
                  <w:tcW w:w="833" w:type="dxa"/>
                  <w:noWrap w:val="0"/>
                  <w:vAlign w:val="center"/>
                </w:tcPr>
                <w:p w14:paraId="7769A25A">
                  <w:pPr>
                    <w:adjustRightInd w:val="0"/>
                    <w:jc w:val="center"/>
                    <w:textAlignment w:val="baseline"/>
                    <w:rPr>
                      <w:rFonts w:hint="default" w:ascii="Times New Roman" w:hAnsi="Times New Roman" w:cs="Times New Roman"/>
                      <w:b/>
                      <w:bCs/>
                      <w:color w:val="auto"/>
                      <w:szCs w:val="21"/>
                      <w:highlight w:val="none"/>
                      <w:lang w:val="en-US"/>
                    </w:rPr>
                  </w:pPr>
                  <w:r>
                    <w:rPr>
                      <w:rFonts w:hint="default" w:ascii="Times New Roman" w:hAnsi="Times New Roman" w:cs="Times New Roman"/>
                      <w:b/>
                      <w:bCs/>
                      <w:color w:val="auto"/>
                      <w:szCs w:val="21"/>
                      <w:highlight w:val="none"/>
                    </w:rPr>
                    <w:t>备注</w:t>
                  </w:r>
                </w:p>
              </w:tc>
            </w:tr>
            <w:tr w14:paraId="1AE11C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8" w:type="dxa"/>
                  <w:noWrap w:val="0"/>
                  <w:vAlign w:val="center"/>
                </w:tcPr>
                <w:p w14:paraId="0EF200BC">
                  <w:pPr>
                    <w:jc w:val="center"/>
                    <w:rPr>
                      <w:rFonts w:hint="default" w:ascii="Times New Roman" w:hAnsi="Times New Roman" w:cs="Times New Roman"/>
                      <w:color w:val="auto"/>
                      <w:szCs w:val="21"/>
                      <w:highlight w:val="none"/>
                      <w:lang w:val="en-US"/>
                    </w:rPr>
                  </w:pPr>
                  <w:r>
                    <w:rPr>
                      <w:rFonts w:hint="default" w:ascii="Times New Roman" w:hAnsi="Times New Roman" w:cs="Times New Roman"/>
                      <w:color w:val="auto"/>
                      <w:szCs w:val="21"/>
                      <w:highlight w:val="none"/>
                    </w:rPr>
                    <w:t>1</w:t>
                  </w:r>
                </w:p>
              </w:tc>
              <w:tc>
                <w:tcPr>
                  <w:tcW w:w="2014" w:type="dxa"/>
                  <w:noWrap w:val="0"/>
                  <w:vAlign w:val="center"/>
                </w:tcPr>
                <w:p w14:paraId="01C1495C">
                  <w:pPr>
                    <w:jc w:val="center"/>
                    <w:rPr>
                      <w:rFonts w:hint="default" w:ascii="Times New Roman" w:hAnsi="Times New Roman" w:cs="Times New Roman"/>
                      <w:color w:val="auto"/>
                      <w:szCs w:val="21"/>
                      <w:highlight w:val="none"/>
                      <w:lang w:val="en-US"/>
                    </w:rPr>
                  </w:pPr>
                  <w:r>
                    <w:rPr>
                      <w:rFonts w:hint="default" w:ascii="Times New Roman" w:hAnsi="Times New Roman" w:cs="Times New Roman"/>
                      <w:color w:val="auto"/>
                      <w:szCs w:val="21"/>
                      <w:highlight w:val="none"/>
                    </w:rPr>
                    <w:t>电热恒温水浴锅</w:t>
                  </w:r>
                </w:p>
              </w:tc>
              <w:tc>
                <w:tcPr>
                  <w:tcW w:w="744" w:type="dxa"/>
                  <w:noWrap w:val="0"/>
                  <w:vAlign w:val="center"/>
                </w:tcPr>
                <w:p w14:paraId="2689B2F4">
                  <w:pPr>
                    <w:jc w:val="center"/>
                    <w:rPr>
                      <w:rFonts w:hint="default" w:ascii="Times New Roman" w:hAnsi="Times New Roman" w:cs="Times New Roman"/>
                      <w:color w:val="auto"/>
                      <w:szCs w:val="21"/>
                      <w:highlight w:val="none"/>
                      <w:lang w:val="en-US"/>
                    </w:rPr>
                  </w:pPr>
                  <w:r>
                    <w:rPr>
                      <w:rFonts w:hint="default" w:ascii="Times New Roman" w:hAnsi="Times New Roman" w:cs="Times New Roman"/>
                      <w:color w:val="auto"/>
                      <w:szCs w:val="21"/>
                      <w:highlight w:val="none"/>
                    </w:rPr>
                    <w:t>1台</w:t>
                  </w:r>
                </w:p>
              </w:tc>
              <w:tc>
                <w:tcPr>
                  <w:tcW w:w="1182" w:type="dxa"/>
                  <w:noWrap w:val="0"/>
                  <w:vAlign w:val="center"/>
                </w:tcPr>
                <w:p w14:paraId="4571164E">
                  <w:pPr>
                    <w:adjustRightInd w:val="0"/>
                    <w:jc w:val="center"/>
                    <w:textAlignment w:val="baseline"/>
                    <w:rPr>
                      <w:rFonts w:hint="default" w:ascii="Times New Roman" w:hAnsi="Times New Roman" w:cs="Times New Roman"/>
                      <w:color w:val="auto"/>
                      <w:szCs w:val="21"/>
                      <w:highlight w:val="none"/>
                      <w:lang w:val="en-US"/>
                    </w:rPr>
                  </w:pPr>
                  <w:r>
                    <w:rPr>
                      <w:rFonts w:hint="default" w:ascii="Times New Roman" w:hAnsi="Times New Roman" w:cs="Times New Roman"/>
                      <w:color w:val="auto"/>
                      <w:szCs w:val="21"/>
                      <w:highlight w:val="none"/>
                    </w:rPr>
                    <w:t>检测</w:t>
                  </w:r>
                </w:p>
              </w:tc>
              <w:tc>
                <w:tcPr>
                  <w:tcW w:w="2035" w:type="dxa"/>
                  <w:noWrap w:val="0"/>
                  <w:vAlign w:val="center"/>
                </w:tcPr>
                <w:p w14:paraId="40F11BCA">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rPr>
                    <w:t>HWS-12</w:t>
                  </w:r>
                </w:p>
              </w:tc>
              <w:tc>
                <w:tcPr>
                  <w:tcW w:w="833" w:type="dxa"/>
                  <w:noWrap w:val="0"/>
                  <w:vAlign w:val="center"/>
                </w:tcPr>
                <w:p w14:paraId="7B7C23C5">
                  <w:pPr>
                    <w:jc w:val="center"/>
                    <w:rPr>
                      <w:rFonts w:hint="default" w:ascii="Times New Roman" w:hAnsi="Times New Roman" w:cs="Times New Roman"/>
                      <w:color w:val="auto"/>
                      <w:szCs w:val="21"/>
                      <w:highlight w:val="none"/>
                      <w:lang w:val="en-US"/>
                    </w:rPr>
                  </w:pPr>
                  <w:r>
                    <w:rPr>
                      <w:rFonts w:hint="default" w:ascii="Times New Roman" w:hAnsi="Times New Roman" w:cs="Times New Roman"/>
                      <w:color w:val="auto"/>
                      <w:szCs w:val="21"/>
                      <w:highlight w:val="none"/>
                    </w:rPr>
                    <w:t>用电</w:t>
                  </w:r>
                </w:p>
              </w:tc>
            </w:tr>
            <w:tr w14:paraId="1C7A7A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8" w:type="dxa"/>
                  <w:noWrap w:val="0"/>
                  <w:vAlign w:val="center"/>
                </w:tcPr>
                <w:p w14:paraId="69A9BE60">
                  <w:pPr>
                    <w:jc w:val="center"/>
                    <w:rPr>
                      <w:rFonts w:hint="eastAsia"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2</w:t>
                  </w:r>
                </w:p>
              </w:tc>
              <w:tc>
                <w:tcPr>
                  <w:tcW w:w="2014" w:type="dxa"/>
                  <w:noWrap w:val="0"/>
                  <w:vAlign w:val="center"/>
                </w:tcPr>
                <w:p w14:paraId="67723D91">
                  <w:pPr>
                    <w:jc w:val="center"/>
                    <w:rPr>
                      <w:rFonts w:hint="default" w:ascii="Times New Roman" w:hAnsi="Times New Roman" w:cs="Times New Roman"/>
                      <w:color w:val="auto"/>
                      <w:szCs w:val="21"/>
                      <w:highlight w:val="none"/>
                      <w:lang w:val="en-US"/>
                    </w:rPr>
                  </w:pPr>
                  <w:r>
                    <w:rPr>
                      <w:rFonts w:hint="default" w:ascii="Times New Roman" w:hAnsi="Times New Roman" w:cs="Times New Roman"/>
                      <w:color w:val="auto"/>
                      <w:szCs w:val="21"/>
                      <w:highlight w:val="none"/>
                    </w:rPr>
                    <w:t>总磷测定仪</w:t>
                  </w:r>
                </w:p>
              </w:tc>
              <w:tc>
                <w:tcPr>
                  <w:tcW w:w="744" w:type="dxa"/>
                  <w:noWrap w:val="0"/>
                  <w:vAlign w:val="center"/>
                </w:tcPr>
                <w:p w14:paraId="77BB4442">
                  <w:pPr>
                    <w:jc w:val="center"/>
                    <w:rPr>
                      <w:rFonts w:hint="default" w:ascii="Times New Roman" w:hAnsi="Times New Roman" w:cs="Times New Roman"/>
                      <w:color w:val="auto"/>
                      <w:szCs w:val="21"/>
                      <w:highlight w:val="none"/>
                      <w:lang w:val="en-US"/>
                    </w:rPr>
                  </w:pPr>
                  <w:r>
                    <w:rPr>
                      <w:rFonts w:hint="default" w:ascii="Times New Roman" w:hAnsi="Times New Roman" w:cs="Times New Roman"/>
                      <w:color w:val="auto"/>
                      <w:szCs w:val="21"/>
                      <w:highlight w:val="none"/>
                    </w:rPr>
                    <w:t>1台</w:t>
                  </w:r>
                </w:p>
              </w:tc>
              <w:tc>
                <w:tcPr>
                  <w:tcW w:w="1182" w:type="dxa"/>
                  <w:noWrap w:val="0"/>
                  <w:vAlign w:val="center"/>
                </w:tcPr>
                <w:p w14:paraId="22D9BFD3">
                  <w:pPr>
                    <w:adjustRightInd w:val="0"/>
                    <w:jc w:val="center"/>
                    <w:textAlignment w:val="baseline"/>
                    <w:rPr>
                      <w:rFonts w:hint="default" w:ascii="Times New Roman" w:hAnsi="Times New Roman" w:cs="Times New Roman"/>
                      <w:color w:val="auto"/>
                      <w:szCs w:val="21"/>
                      <w:highlight w:val="none"/>
                      <w:lang w:val="en-US"/>
                    </w:rPr>
                  </w:pPr>
                  <w:r>
                    <w:rPr>
                      <w:rFonts w:hint="default" w:ascii="Times New Roman" w:hAnsi="Times New Roman" w:cs="Times New Roman"/>
                      <w:color w:val="auto"/>
                      <w:szCs w:val="21"/>
                      <w:highlight w:val="none"/>
                    </w:rPr>
                    <w:t>检测</w:t>
                  </w:r>
                </w:p>
              </w:tc>
              <w:tc>
                <w:tcPr>
                  <w:tcW w:w="2035" w:type="dxa"/>
                  <w:noWrap w:val="0"/>
                  <w:vAlign w:val="center"/>
                </w:tcPr>
                <w:p w14:paraId="00AFEAF2">
                  <w:pPr>
                    <w:jc w:val="center"/>
                    <w:rPr>
                      <w:rFonts w:hint="default" w:ascii="Times New Roman" w:hAnsi="Times New Roman" w:cs="Times New Roman"/>
                      <w:color w:val="auto"/>
                      <w:szCs w:val="21"/>
                      <w:highlight w:val="none"/>
                      <w:lang w:val="en-US"/>
                    </w:rPr>
                  </w:pPr>
                  <w:r>
                    <w:rPr>
                      <w:rFonts w:hint="default" w:ascii="Times New Roman" w:hAnsi="Times New Roman" w:cs="Times New Roman"/>
                      <w:color w:val="auto"/>
                      <w:szCs w:val="21"/>
                      <w:highlight w:val="none"/>
                    </w:rPr>
                    <w:t>DGB-401</w:t>
                  </w:r>
                </w:p>
              </w:tc>
              <w:tc>
                <w:tcPr>
                  <w:tcW w:w="833" w:type="dxa"/>
                  <w:noWrap w:val="0"/>
                  <w:vAlign w:val="center"/>
                </w:tcPr>
                <w:p w14:paraId="116CEFC2">
                  <w:pPr>
                    <w:jc w:val="center"/>
                    <w:rPr>
                      <w:rFonts w:hint="default" w:ascii="Times New Roman" w:hAnsi="Times New Roman" w:cs="Times New Roman"/>
                      <w:color w:val="auto"/>
                      <w:szCs w:val="21"/>
                      <w:highlight w:val="none"/>
                      <w:lang w:val="en-US"/>
                    </w:rPr>
                  </w:pPr>
                  <w:r>
                    <w:rPr>
                      <w:rFonts w:hint="default" w:ascii="Times New Roman" w:hAnsi="Times New Roman" w:cs="Times New Roman"/>
                      <w:color w:val="auto"/>
                      <w:szCs w:val="21"/>
                      <w:highlight w:val="none"/>
                    </w:rPr>
                    <w:t>用电</w:t>
                  </w:r>
                </w:p>
              </w:tc>
            </w:tr>
            <w:tr w14:paraId="6C66FF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8" w:type="dxa"/>
                  <w:noWrap w:val="0"/>
                  <w:vAlign w:val="center"/>
                </w:tcPr>
                <w:p w14:paraId="59234BDA">
                  <w:pPr>
                    <w:jc w:val="center"/>
                    <w:rPr>
                      <w:rFonts w:hint="eastAsia"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3</w:t>
                  </w:r>
                </w:p>
              </w:tc>
              <w:tc>
                <w:tcPr>
                  <w:tcW w:w="2014" w:type="dxa"/>
                  <w:noWrap w:val="0"/>
                  <w:vAlign w:val="center"/>
                </w:tcPr>
                <w:p w14:paraId="4C0CAD28">
                  <w:pPr>
                    <w:jc w:val="center"/>
                    <w:rPr>
                      <w:rFonts w:hint="default" w:ascii="Times New Roman" w:hAnsi="Times New Roman" w:cs="Times New Roman"/>
                      <w:color w:val="auto"/>
                      <w:szCs w:val="21"/>
                      <w:highlight w:val="none"/>
                      <w:lang w:val="en-US"/>
                    </w:rPr>
                  </w:pPr>
                  <w:r>
                    <w:rPr>
                      <w:rFonts w:hint="default" w:ascii="Times New Roman" w:hAnsi="Times New Roman" w:cs="Times New Roman"/>
                      <w:color w:val="auto"/>
                      <w:szCs w:val="21"/>
                      <w:highlight w:val="none"/>
                    </w:rPr>
                    <w:t>溶解氧测量系统</w:t>
                  </w:r>
                </w:p>
              </w:tc>
              <w:tc>
                <w:tcPr>
                  <w:tcW w:w="744" w:type="dxa"/>
                  <w:noWrap w:val="0"/>
                  <w:vAlign w:val="center"/>
                </w:tcPr>
                <w:p w14:paraId="77B61009">
                  <w:pPr>
                    <w:jc w:val="center"/>
                    <w:rPr>
                      <w:rFonts w:hint="default" w:ascii="Times New Roman" w:hAnsi="Times New Roman" w:cs="Times New Roman"/>
                      <w:color w:val="auto"/>
                      <w:szCs w:val="21"/>
                      <w:highlight w:val="none"/>
                      <w:lang w:val="en-US"/>
                    </w:rPr>
                  </w:pPr>
                  <w:r>
                    <w:rPr>
                      <w:rFonts w:hint="default" w:ascii="Times New Roman" w:hAnsi="Times New Roman" w:cs="Times New Roman"/>
                      <w:color w:val="auto"/>
                      <w:szCs w:val="21"/>
                      <w:highlight w:val="none"/>
                    </w:rPr>
                    <w:t>1台</w:t>
                  </w:r>
                </w:p>
              </w:tc>
              <w:tc>
                <w:tcPr>
                  <w:tcW w:w="1182" w:type="dxa"/>
                  <w:noWrap w:val="0"/>
                  <w:vAlign w:val="center"/>
                </w:tcPr>
                <w:p w14:paraId="5CC39726">
                  <w:pPr>
                    <w:adjustRightInd w:val="0"/>
                    <w:jc w:val="center"/>
                    <w:textAlignment w:val="baseline"/>
                    <w:rPr>
                      <w:rFonts w:hint="default" w:ascii="Times New Roman" w:hAnsi="Times New Roman" w:cs="Times New Roman"/>
                      <w:color w:val="auto"/>
                      <w:szCs w:val="21"/>
                      <w:highlight w:val="none"/>
                      <w:lang w:val="en-US"/>
                    </w:rPr>
                  </w:pPr>
                  <w:r>
                    <w:rPr>
                      <w:rFonts w:hint="default" w:ascii="Times New Roman" w:hAnsi="Times New Roman" w:cs="Times New Roman"/>
                      <w:color w:val="auto"/>
                      <w:szCs w:val="21"/>
                      <w:highlight w:val="none"/>
                    </w:rPr>
                    <w:t>检测</w:t>
                  </w:r>
                </w:p>
              </w:tc>
              <w:tc>
                <w:tcPr>
                  <w:tcW w:w="2035" w:type="dxa"/>
                  <w:noWrap w:val="0"/>
                  <w:vAlign w:val="center"/>
                </w:tcPr>
                <w:p w14:paraId="5FEBF186">
                  <w:pPr>
                    <w:jc w:val="center"/>
                    <w:rPr>
                      <w:rFonts w:hint="default" w:ascii="Times New Roman" w:hAnsi="Times New Roman" w:cs="Times New Roman"/>
                      <w:color w:val="auto"/>
                      <w:szCs w:val="21"/>
                      <w:highlight w:val="none"/>
                      <w:lang w:val="en-US"/>
                    </w:rPr>
                  </w:pPr>
                  <w:r>
                    <w:rPr>
                      <w:rFonts w:hint="default" w:ascii="Times New Roman" w:hAnsi="Times New Roman" w:cs="Times New Roman"/>
                      <w:color w:val="auto"/>
                      <w:szCs w:val="21"/>
                      <w:highlight w:val="none"/>
                    </w:rPr>
                    <w:t>HQ-30D</w:t>
                  </w:r>
                </w:p>
              </w:tc>
              <w:tc>
                <w:tcPr>
                  <w:tcW w:w="833" w:type="dxa"/>
                  <w:noWrap w:val="0"/>
                  <w:vAlign w:val="center"/>
                </w:tcPr>
                <w:p w14:paraId="6CDC4371">
                  <w:pPr>
                    <w:jc w:val="center"/>
                    <w:rPr>
                      <w:rFonts w:hint="default" w:ascii="Times New Roman" w:hAnsi="Times New Roman" w:cs="Times New Roman"/>
                      <w:color w:val="auto"/>
                      <w:szCs w:val="21"/>
                      <w:highlight w:val="none"/>
                      <w:lang w:val="en-US"/>
                    </w:rPr>
                  </w:pPr>
                  <w:r>
                    <w:rPr>
                      <w:rFonts w:hint="default" w:ascii="Times New Roman" w:hAnsi="Times New Roman" w:cs="Times New Roman"/>
                      <w:color w:val="auto"/>
                      <w:szCs w:val="21"/>
                      <w:highlight w:val="none"/>
                    </w:rPr>
                    <w:t>用电</w:t>
                  </w:r>
                </w:p>
              </w:tc>
            </w:tr>
            <w:tr w14:paraId="4A3C0F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8" w:type="dxa"/>
                  <w:noWrap w:val="0"/>
                  <w:vAlign w:val="center"/>
                </w:tcPr>
                <w:p w14:paraId="74591D51">
                  <w:pPr>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4</w:t>
                  </w:r>
                </w:p>
              </w:tc>
              <w:tc>
                <w:tcPr>
                  <w:tcW w:w="2014" w:type="dxa"/>
                  <w:noWrap w:val="0"/>
                  <w:vAlign w:val="center"/>
                </w:tcPr>
                <w:p w14:paraId="5AAE20FE">
                  <w:pPr>
                    <w:jc w:val="center"/>
                    <w:rPr>
                      <w:rFonts w:hint="default" w:ascii="Times New Roman" w:hAnsi="Times New Roman" w:cs="Times New Roman"/>
                      <w:color w:val="auto"/>
                      <w:szCs w:val="21"/>
                      <w:highlight w:val="none"/>
                      <w:lang w:val="en-US"/>
                    </w:rPr>
                  </w:pPr>
                  <w:r>
                    <w:rPr>
                      <w:rFonts w:hint="default" w:ascii="Times New Roman" w:hAnsi="Times New Roman" w:cs="Times New Roman"/>
                      <w:color w:val="auto"/>
                      <w:szCs w:val="21"/>
                      <w:highlight w:val="none"/>
                    </w:rPr>
                    <w:t>BOD分析仪</w:t>
                  </w:r>
                </w:p>
              </w:tc>
              <w:tc>
                <w:tcPr>
                  <w:tcW w:w="744" w:type="dxa"/>
                  <w:noWrap w:val="0"/>
                  <w:vAlign w:val="center"/>
                </w:tcPr>
                <w:p w14:paraId="08421ACC">
                  <w:pPr>
                    <w:jc w:val="center"/>
                    <w:rPr>
                      <w:rFonts w:hint="default" w:ascii="Times New Roman" w:hAnsi="Times New Roman" w:cs="Times New Roman"/>
                      <w:color w:val="auto"/>
                      <w:szCs w:val="21"/>
                      <w:highlight w:val="none"/>
                      <w:lang w:val="en-US"/>
                    </w:rPr>
                  </w:pPr>
                  <w:r>
                    <w:rPr>
                      <w:rFonts w:hint="default" w:ascii="Times New Roman" w:hAnsi="Times New Roman" w:cs="Times New Roman"/>
                      <w:color w:val="auto"/>
                      <w:szCs w:val="21"/>
                      <w:highlight w:val="none"/>
                    </w:rPr>
                    <w:t>1台</w:t>
                  </w:r>
                </w:p>
              </w:tc>
              <w:tc>
                <w:tcPr>
                  <w:tcW w:w="1182" w:type="dxa"/>
                  <w:noWrap w:val="0"/>
                  <w:vAlign w:val="center"/>
                </w:tcPr>
                <w:p w14:paraId="7130AEB5">
                  <w:pPr>
                    <w:adjustRightInd w:val="0"/>
                    <w:jc w:val="center"/>
                    <w:textAlignment w:val="baseline"/>
                    <w:rPr>
                      <w:rFonts w:hint="default" w:ascii="Times New Roman" w:hAnsi="Times New Roman" w:cs="Times New Roman"/>
                      <w:color w:val="auto"/>
                      <w:szCs w:val="21"/>
                      <w:highlight w:val="none"/>
                      <w:lang w:val="en-US"/>
                    </w:rPr>
                  </w:pPr>
                  <w:r>
                    <w:rPr>
                      <w:rFonts w:hint="default" w:ascii="Times New Roman" w:hAnsi="Times New Roman" w:cs="Times New Roman"/>
                      <w:color w:val="auto"/>
                      <w:szCs w:val="21"/>
                      <w:highlight w:val="none"/>
                    </w:rPr>
                    <w:t>检测</w:t>
                  </w:r>
                </w:p>
              </w:tc>
              <w:tc>
                <w:tcPr>
                  <w:tcW w:w="2035" w:type="dxa"/>
                  <w:noWrap w:val="0"/>
                  <w:vAlign w:val="center"/>
                </w:tcPr>
                <w:p w14:paraId="200EE4BC">
                  <w:pPr>
                    <w:jc w:val="center"/>
                    <w:rPr>
                      <w:rFonts w:hint="default" w:ascii="Times New Roman" w:hAnsi="Times New Roman" w:cs="Times New Roman"/>
                      <w:color w:val="auto"/>
                      <w:szCs w:val="21"/>
                      <w:highlight w:val="none"/>
                      <w:lang w:val="en-US"/>
                    </w:rPr>
                  </w:pPr>
                  <w:r>
                    <w:rPr>
                      <w:rFonts w:hint="default" w:ascii="Times New Roman" w:hAnsi="Times New Roman" w:cs="Times New Roman"/>
                      <w:color w:val="auto"/>
                      <w:szCs w:val="21"/>
                      <w:highlight w:val="none"/>
                    </w:rPr>
                    <w:t>BODTrakII</w:t>
                  </w:r>
                </w:p>
              </w:tc>
              <w:tc>
                <w:tcPr>
                  <w:tcW w:w="833" w:type="dxa"/>
                  <w:noWrap w:val="0"/>
                  <w:vAlign w:val="center"/>
                </w:tcPr>
                <w:p w14:paraId="355C2EF2">
                  <w:pPr>
                    <w:jc w:val="center"/>
                    <w:rPr>
                      <w:rFonts w:hint="default" w:ascii="Times New Roman" w:hAnsi="Times New Roman" w:cs="Times New Roman"/>
                      <w:color w:val="auto"/>
                      <w:szCs w:val="21"/>
                      <w:highlight w:val="none"/>
                      <w:lang w:val="en-US"/>
                    </w:rPr>
                  </w:pPr>
                  <w:r>
                    <w:rPr>
                      <w:rFonts w:hint="default" w:ascii="Times New Roman" w:hAnsi="Times New Roman" w:cs="Times New Roman"/>
                      <w:color w:val="auto"/>
                      <w:szCs w:val="21"/>
                      <w:highlight w:val="none"/>
                    </w:rPr>
                    <w:t>用电</w:t>
                  </w:r>
                </w:p>
              </w:tc>
            </w:tr>
            <w:tr w14:paraId="1E936A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8" w:type="dxa"/>
                  <w:noWrap w:val="0"/>
                  <w:vAlign w:val="center"/>
                </w:tcPr>
                <w:p w14:paraId="5F9B30D7">
                  <w:pPr>
                    <w:jc w:val="center"/>
                    <w:rPr>
                      <w:rFonts w:hint="eastAsia"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5</w:t>
                  </w:r>
                </w:p>
              </w:tc>
              <w:tc>
                <w:tcPr>
                  <w:tcW w:w="2014" w:type="dxa"/>
                  <w:noWrap w:val="0"/>
                  <w:vAlign w:val="center"/>
                </w:tcPr>
                <w:p w14:paraId="0BA99554">
                  <w:pPr>
                    <w:jc w:val="center"/>
                    <w:rPr>
                      <w:rFonts w:hint="default" w:ascii="Times New Roman" w:hAnsi="Times New Roman" w:cs="Times New Roman"/>
                      <w:color w:val="auto"/>
                      <w:szCs w:val="21"/>
                      <w:highlight w:val="none"/>
                      <w:lang w:val="en-US"/>
                    </w:rPr>
                  </w:pPr>
                  <w:r>
                    <w:rPr>
                      <w:rFonts w:hint="default" w:ascii="Times New Roman" w:hAnsi="Times New Roman" w:cs="Times New Roman"/>
                      <w:color w:val="auto"/>
                      <w:szCs w:val="21"/>
                      <w:highlight w:val="none"/>
                    </w:rPr>
                    <w:t>PH计</w:t>
                  </w:r>
                </w:p>
              </w:tc>
              <w:tc>
                <w:tcPr>
                  <w:tcW w:w="744" w:type="dxa"/>
                  <w:noWrap w:val="0"/>
                  <w:vAlign w:val="center"/>
                </w:tcPr>
                <w:p w14:paraId="25FE5303">
                  <w:pPr>
                    <w:jc w:val="center"/>
                    <w:rPr>
                      <w:rFonts w:hint="default" w:ascii="Times New Roman" w:hAnsi="Times New Roman" w:cs="Times New Roman"/>
                      <w:color w:val="auto"/>
                      <w:szCs w:val="21"/>
                      <w:highlight w:val="none"/>
                      <w:lang w:val="en-US"/>
                    </w:rPr>
                  </w:pPr>
                  <w:r>
                    <w:rPr>
                      <w:rFonts w:hint="default" w:ascii="Times New Roman" w:hAnsi="Times New Roman" w:cs="Times New Roman"/>
                      <w:color w:val="auto"/>
                      <w:szCs w:val="21"/>
                      <w:highlight w:val="none"/>
                    </w:rPr>
                    <w:t>1台</w:t>
                  </w:r>
                </w:p>
              </w:tc>
              <w:tc>
                <w:tcPr>
                  <w:tcW w:w="1182" w:type="dxa"/>
                  <w:noWrap w:val="0"/>
                  <w:vAlign w:val="center"/>
                </w:tcPr>
                <w:p w14:paraId="7B3DE44F">
                  <w:pPr>
                    <w:adjustRightInd w:val="0"/>
                    <w:jc w:val="center"/>
                    <w:textAlignment w:val="baseline"/>
                    <w:rPr>
                      <w:rFonts w:hint="default" w:ascii="Times New Roman" w:hAnsi="Times New Roman" w:cs="Times New Roman"/>
                      <w:color w:val="auto"/>
                      <w:szCs w:val="21"/>
                      <w:highlight w:val="none"/>
                      <w:lang w:val="en-US"/>
                    </w:rPr>
                  </w:pPr>
                  <w:r>
                    <w:rPr>
                      <w:rFonts w:hint="default" w:ascii="Times New Roman" w:hAnsi="Times New Roman" w:cs="Times New Roman"/>
                      <w:color w:val="auto"/>
                      <w:szCs w:val="21"/>
                      <w:highlight w:val="none"/>
                    </w:rPr>
                    <w:t>检测</w:t>
                  </w:r>
                </w:p>
              </w:tc>
              <w:tc>
                <w:tcPr>
                  <w:tcW w:w="2035" w:type="dxa"/>
                  <w:noWrap w:val="0"/>
                  <w:vAlign w:val="center"/>
                </w:tcPr>
                <w:p w14:paraId="33D08870">
                  <w:pPr>
                    <w:jc w:val="center"/>
                    <w:rPr>
                      <w:rFonts w:hint="default" w:ascii="Times New Roman" w:hAnsi="Times New Roman" w:cs="Times New Roman"/>
                      <w:color w:val="auto"/>
                      <w:szCs w:val="21"/>
                      <w:highlight w:val="none"/>
                      <w:lang w:val="en-US"/>
                    </w:rPr>
                  </w:pPr>
                  <w:r>
                    <w:rPr>
                      <w:rFonts w:hint="default" w:ascii="Times New Roman" w:hAnsi="Times New Roman" w:cs="Times New Roman"/>
                      <w:color w:val="auto"/>
                      <w:szCs w:val="21"/>
                      <w:highlight w:val="none"/>
                    </w:rPr>
                    <w:t>S210</w:t>
                  </w:r>
                </w:p>
              </w:tc>
              <w:tc>
                <w:tcPr>
                  <w:tcW w:w="833" w:type="dxa"/>
                  <w:noWrap w:val="0"/>
                  <w:vAlign w:val="center"/>
                </w:tcPr>
                <w:p w14:paraId="7685E3CF">
                  <w:pPr>
                    <w:jc w:val="center"/>
                    <w:rPr>
                      <w:rFonts w:hint="default" w:ascii="Times New Roman" w:hAnsi="Times New Roman" w:cs="Times New Roman"/>
                      <w:color w:val="auto"/>
                      <w:szCs w:val="21"/>
                      <w:highlight w:val="none"/>
                      <w:lang w:val="en-US"/>
                    </w:rPr>
                  </w:pPr>
                  <w:r>
                    <w:rPr>
                      <w:rFonts w:hint="default" w:ascii="Times New Roman" w:hAnsi="Times New Roman" w:cs="Times New Roman"/>
                      <w:color w:val="auto"/>
                      <w:szCs w:val="21"/>
                      <w:highlight w:val="none"/>
                    </w:rPr>
                    <w:t>用电</w:t>
                  </w:r>
                </w:p>
              </w:tc>
            </w:tr>
            <w:tr w14:paraId="1D8411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8" w:type="dxa"/>
                  <w:noWrap w:val="0"/>
                  <w:vAlign w:val="center"/>
                </w:tcPr>
                <w:p w14:paraId="5FF07C50">
                  <w:pPr>
                    <w:jc w:val="center"/>
                    <w:rPr>
                      <w:rFonts w:hint="eastAsia"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6</w:t>
                  </w:r>
                </w:p>
              </w:tc>
              <w:tc>
                <w:tcPr>
                  <w:tcW w:w="2014" w:type="dxa"/>
                  <w:noWrap w:val="0"/>
                  <w:vAlign w:val="center"/>
                </w:tcPr>
                <w:p w14:paraId="503A96CA">
                  <w:pPr>
                    <w:jc w:val="center"/>
                    <w:rPr>
                      <w:rFonts w:hint="default" w:ascii="Times New Roman" w:hAnsi="Times New Roman" w:cs="Times New Roman"/>
                      <w:color w:val="auto"/>
                      <w:szCs w:val="21"/>
                      <w:highlight w:val="none"/>
                      <w:lang w:val="en-US"/>
                    </w:rPr>
                  </w:pPr>
                  <w:r>
                    <w:rPr>
                      <w:rFonts w:hint="default" w:ascii="Times New Roman" w:hAnsi="Times New Roman" w:cs="Times New Roman"/>
                      <w:color w:val="auto"/>
                      <w:szCs w:val="21"/>
                      <w:highlight w:val="none"/>
                    </w:rPr>
                    <w:t>电导率仪</w:t>
                  </w:r>
                </w:p>
              </w:tc>
              <w:tc>
                <w:tcPr>
                  <w:tcW w:w="744" w:type="dxa"/>
                  <w:noWrap w:val="0"/>
                  <w:vAlign w:val="center"/>
                </w:tcPr>
                <w:p w14:paraId="50833BBE">
                  <w:pPr>
                    <w:jc w:val="center"/>
                    <w:rPr>
                      <w:rFonts w:hint="default" w:ascii="Times New Roman" w:hAnsi="Times New Roman" w:cs="Times New Roman"/>
                      <w:color w:val="auto"/>
                      <w:szCs w:val="21"/>
                      <w:highlight w:val="none"/>
                      <w:lang w:val="en-US"/>
                    </w:rPr>
                  </w:pPr>
                  <w:r>
                    <w:rPr>
                      <w:rFonts w:hint="default" w:ascii="Times New Roman" w:hAnsi="Times New Roman" w:cs="Times New Roman"/>
                      <w:color w:val="auto"/>
                      <w:szCs w:val="21"/>
                      <w:highlight w:val="none"/>
                    </w:rPr>
                    <w:t>1台</w:t>
                  </w:r>
                </w:p>
              </w:tc>
              <w:tc>
                <w:tcPr>
                  <w:tcW w:w="1182" w:type="dxa"/>
                  <w:noWrap w:val="0"/>
                  <w:vAlign w:val="center"/>
                </w:tcPr>
                <w:p w14:paraId="1FFF2696">
                  <w:pPr>
                    <w:adjustRightInd w:val="0"/>
                    <w:jc w:val="center"/>
                    <w:textAlignment w:val="baseline"/>
                    <w:rPr>
                      <w:rFonts w:hint="default" w:ascii="Times New Roman" w:hAnsi="Times New Roman" w:cs="Times New Roman"/>
                      <w:color w:val="auto"/>
                      <w:szCs w:val="21"/>
                      <w:highlight w:val="none"/>
                      <w:lang w:val="en-US"/>
                    </w:rPr>
                  </w:pPr>
                  <w:r>
                    <w:rPr>
                      <w:rFonts w:hint="default" w:ascii="Times New Roman" w:hAnsi="Times New Roman" w:cs="Times New Roman"/>
                      <w:color w:val="auto"/>
                      <w:szCs w:val="21"/>
                      <w:highlight w:val="none"/>
                    </w:rPr>
                    <w:t>检测</w:t>
                  </w:r>
                </w:p>
              </w:tc>
              <w:tc>
                <w:tcPr>
                  <w:tcW w:w="2035" w:type="dxa"/>
                  <w:noWrap w:val="0"/>
                  <w:vAlign w:val="center"/>
                </w:tcPr>
                <w:p w14:paraId="45A5238E">
                  <w:pPr>
                    <w:jc w:val="center"/>
                    <w:rPr>
                      <w:rFonts w:hint="default" w:ascii="Times New Roman" w:hAnsi="Times New Roman" w:cs="Times New Roman"/>
                      <w:color w:val="auto"/>
                      <w:szCs w:val="21"/>
                      <w:highlight w:val="none"/>
                      <w:lang w:val="en-US"/>
                    </w:rPr>
                  </w:pPr>
                  <w:r>
                    <w:rPr>
                      <w:rFonts w:hint="default" w:ascii="Times New Roman" w:hAnsi="Times New Roman" w:cs="Times New Roman"/>
                      <w:color w:val="auto"/>
                      <w:szCs w:val="21"/>
                      <w:highlight w:val="none"/>
                    </w:rPr>
                    <w:t>S230</w:t>
                  </w:r>
                </w:p>
              </w:tc>
              <w:tc>
                <w:tcPr>
                  <w:tcW w:w="833" w:type="dxa"/>
                  <w:noWrap w:val="0"/>
                  <w:vAlign w:val="center"/>
                </w:tcPr>
                <w:p w14:paraId="782CA64B">
                  <w:pPr>
                    <w:jc w:val="center"/>
                    <w:rPr>
                      <w:rFonts w:hint="default" w:ascii="Times New Roman" w:hAnsi="Times New Roman" w:cs="Times New Roman"/>
                      <w:color w:val="auto"/>
                      <w:szCs w:val="21"/>
                      <w:highlight w:val="none"/>
                      <w:lang w:val="en-US"/>
                    </w:rPr>
                  </w:pPr>
                  <w:r>
                    <w:rPr>
                      <w:rFonts w:hint="default" w:ascii="Times New Roman" w:hAnsi="Times New Roman" w:cs="Times New Roman"/>
                      <w:color w:val="auto"/>
                      <w:szCs w:val="21"/>
                      <w:highlight w:val="none"/>
                    </w:rPr>
                    <w:t>用电</w:t>
                  </w:r>
                </w:p>
              </w:tc>
            </w:tr>
            <w:tr w14:paraId="1EA14E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568" w:type="dxa"/>
                  <w:noWrap w:val="0"/>
                  <w:vAlign w:val="center"/>
                </w:tcPr>
                <w:p w14:paraId="0F5B167A">
                  <w:pPr>
                    <w:jc w:val="center"/>
                    <w:rPr>
                      <w:rFonts w:hint="eastAsia"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7</w:t>
                  </w:r>
                </w:p>
              </w:tc>
              <w:tc>
                <w:tcPr>
                  <w:tcW w:w="2014" w:type="dxa"/>
                  <w:noWrap w:val="0"/>
                  <w:vAlign w:val="center"/>
                </w:tcPr>
                <w:p w14:paraId="3EB3CB88">
                  <w:pPr>
                    <w:jc w:val="center"/>
                    <w:rPr>
                      <w:rFonts w:hint="default" w:ascii="Times New Roman" w:hAnsi="Times New Roman" w:cs="Times New Roman"/>
                      <w:color w:val="auto"/>
                      <w:szCs w:val="21"/>
                      <w:highlight w:val="none"/>
                      <w:lang w:val="en-US"/>
                    </w:rPr>
                  </w:pPr>
                  <w:r>
                    <w:rPr>
                      <w:rFonts w:hint="default" w:ascii="Times New Roman" w:hAnsi="Times New Roman" w:cs="Times New Roman"/>
                      <w:color w:val="auto"/>
                      <w:szCs w:val="21"/>
                      <w:highlight w:val="none"/>
                    </w:rPr>
                    <w:t>移液器</w:t>
                  </w:r>
                </w:p>
              </w:tc>
              <w:tc>
                <w:tcPr>
                  <w:tcW w:w="744" w:type="dxa"/>
                  <w:noWrap w:val="0"/>
                  <w:vAlign w:val="center"/>
                </w:tcPr>
                <w:p w14:paraId="04C3939A">
                  <w:pPr>
                    <w:jc w:val="center"/>
                    <w:rPr>
                      <w:rFonts w:hint="default" w:ascii="Times New Roman" w:hAnsi="Times New Roman" w:cs="Times New Roman"/>
                      <w:color w:val="auto"/>
                      <w:szCs w:val="21"/>
                      <w:highlight w:val="none"/>
                      <w:lang w:val="en-US"/>
                    </w:rPr>
                  </w:pPr>
                  <w:r>
                    <w:rPr>
                      <w:rFonts w:hint="default" w:ascii="Times New Roman" w:hAnsi="Times New Roman" w:cs="Times New Roman"/>
                      <w:color w:val="auto"/>
                      <w:szCs w:val="21"/>
                      <w:highlight w:val="none"/>
                    </w:rPr>
                    <w:t>1台</w:t>
                  </w:r>
                </w:p>
              </w:tc>
              <w:tc>
                <w:tcPr>
                  <w:tcW w:w="1182" w:type="dxa"/>
                  <w:noWrap w:val="0"/>
                  <w:vAlign w:val="center"/>
                </w:tcPr>
                <w:p w14:paraId="126F321F">
                  <w:pPr>
                    <w:adjustRightInd w:val="0"/>
                    <w:jc w:val="center"/>
                    <w:textAlignment w:val="baseline"/>
                    <w:rPr>
                      <w:rFonts w:hint="default" w:ascii="Times New Roman" w:hAnsi="Times New Roman" w:cs="Times New Roman"/>
                      <w:color w:val="auto"/>
                      <w:szCs w:val="21"/>
                      <w:highlight w:val="none"/>
                      <w:lang w:val="en-US"/>
                    </w:rPr>
                  </w:pPr>
                  <w:r>
                    <w:rPr>
                      <w:rFonts w:hint="default" w:ascii="Times New Roman" w:hAnsi="Times New Roman" w:cs="Times New Roman"/>
                      <w:color w:val="auto"/>
                      <w:szCs w:val="21"/>
                      <w:highlight w:val="none"/>
                    </w:rPr>
                    <w:t>检测</w:t>
                  </w:r>
                </w:p>
              </w:tc>
              <w:tc>
                <w:tcPr>
                  <w:tcW w:w="2035" w:type="dxa"/>
                  <w:noWrap w:val="0"/>
                  <w:vAlign w:val="center"/>
                </w:tcPr>
                <w:p w14:paraId="7938D3FB">
                  <w:pPr>
                    <w:jc w:val="center"/>
                    <w:rPr>
                      <w:rFonts w:hint="default" w:ascii="Times New Roman" w:hAnsi="Times New Roman" w:cs="Times New Roman"/>
                      <w:color w:val="auto"/>
                      <w:szCs w:val="21"/>
                      <w:highlight w:val="none"/>
                      <w:lang w:val="en-US"/>
                    </w:rPr>
                  </w:pPr>
                  <w:r>
                    <w:rPr>
                      <w:rFonts w:hint="default" w:ascii="Times New Roman" w:hAnsi="Times New Roman" w:cs="Times New Roman"/>
                      <w:color w:val="auto"/>
                      <w:szCs w:val="21"/>
                      <w:highlight w:val="none"/>
                    </w:rPr>
                    <w:t>(5-50)μL</w:t>
                  </w:r>
                </w:p>
              </w:tc>
              <w:tc>
                <w:tcPr>
                  <w:tcW w:w="833" w:type="dxa"/>
                  <w:noWrap w:val="0"/>
                  <w:vAlign w:val="center"/>
                </w:tcPr>
                <w:p w14:paraId="2E6AB118">
                  <w:pPr>
                    <w:jc w:val="center"/>
                    <w:rPr>
                      <w:rFonts w:hint="default" w:ascii="Times New Roman" w:hAnsi="Times New Roman" w:cs="Times New Roman"/>
                      <w:color w:val="auto"/>
                      <w:szCs w:val="21"/>
                      <w:highlight w:val="none"/>
                      <w:lang w:val="en-US"/>
                    </w:rPr>
                  </w:pPr>
                  <w:r>
                    <w:rPr>
                      <w:rFonts w:hint="default" w:ascii="Times New Roman" w:hAnsi="Times New Roman" w:cs="Times New Roman"/>
                      <w:color w:val="auto"/>
                      <w:szCs w:val="21"/>
                      <w:highlight w:val="none"/>
                    </w:rPr>
                    <w:t>用电</w:t>
                  </w:r>
                </w:p>
              </w:tc>
            </w:tr>
            <w:tr w14:paraId="20B24A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8" w:type="dxa"/>
                  <w:noWrap w:val="0"/>
                  <w:vAlign w:val="center"/>
                </w:tcPr>
                <w:p w14:paraId="3D2250D6">
                  <w:pPr>
                    <w:jc w:val="center"/>
                    <w:rPr>
                      <w:rFonts w:hint="eastAsia"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8</w:t>
                  </w:r>
                </w:p>
              </w:tc>
              <w:tc>
                <w:tcPr>
                  <w:tcW w:w="2014" w:type="dxa"/>
                  <w:noWrap w:val="0"/>
                  <w:vAlign w:val="center"/>
                </w:tcPr>
                <w:p w14:paraId="19952AC3">
                  <w:pPr>
                    <w:jc w:val="center"/>
                    <w:rPr>
                      <w:rFonts w:hint="default" w:ascii="Times New Roman" w:hAnsi="Times New Roman" w:cs="Times New Roman"/>
                      <w:color w:val="auto"/>
                      <w:szCs w:val="21"/>
                      <w:highlight w:val="none"/>
                      <w:lang w:val="en-US"/>
                    </w:rPr>
                  </w:pPr>
                  <w:r>
                    <w:rPr>
                      <w:rFonts w:hint="default" w:ascii="Times New Roman" w:hAnsi="Times New Roman" w:cs="Times New Roman"/>
                      <w:color w:val="auto"/>
                      <w:szCs w:val="21"/>
                      <w:highlight w:val="none"/>
                    </w:rPr>
                    <w:t>移液器</w:t>
                  </w:r>
                </w:p>
              </w:tc>
              <w:tc>
                <w:tcPr>
                  <w:tcW w:w="744" w:type="dxa"/>
                  <w:noWrap w:val="0"/>
                  <w:vAlign w:val="center"/>
                </w:tcPr>
                <w:p w14:paraId="454969E3">
                  <w:pPr>
                    <w:jc w:val="center"/>
                    <w:rPr>
                      <w:rFonts w:hint="default" w:ascii="Times New Roman" w:hAnsi="Times New Roman" w:cs="Times New Roman"/>
                      <w:color w:val="auto"/>
                      <w:szCs w:val="21"/>
                      <w:highlight w:val="none"/>
                      <w:lang w:val="en-US"/>
                    </w:rPr>
                  </w:pPr>
                  <w:r>
                    <w:rPr>
                      <w:rFonts w:hint="default" w:ascii="Times New Roman" w:hAnsi="Times New Roman" w:cs="Times New Roman"/>
                      <w:color w:val="auto"/>
                      <w:szCs w:val="21"/>
                      <w:highlight w:val="none"/>
                    </w:rPr>
                    <w:t>1台</w:t>
                  </w:r>
                </w:p>
              </w:tc>
              <w:tc>
                <w:tcPr>
                  <w:tcW w:w="1182" w:type="dxa"/>
                  <w:noWrap w:val="0"/>
                  <w:vAlign w:val="center"/>
                </w:tcPr>
                <w:p w14:paraId="702762C3">
                  <w:pPr>
                    <w:adjustRightInd w:val="0"/>
                    <w:jc w:val="center"/>
                    <w:textAlignment w:val="baseline"/>
                    <w:rPr>
                      <w:rFonts w:hint="default" w:ascii="Times New Roman" w:hAnsi="Times New Roman" w:cs="Times New Roman"/>
                      <w:color w:val="auto"/>
                      <w:szCs w:val="21"/>
                      <w:highlight w:val="none"/>
                      <w:lang w:val="en-US"/>
                    </w:rPr>
                  </w:pPr>
                  <w:r>
                    <w:rPr>
                      <w:rFonts w:hint="default" w:ascii="Times New Roman" w:hAnsi="Times New Roman" w:cs="Times New Roman"/>
                      <w:color w:val="auto"/>
                      <w:szCs w:val="21"/>
                      <w:highlight w:val="none"/>
                    </w:rPr>
                    <w:t>检测</w:t>
                  </w:r>
                </w:p>
              </w:tc>
              <w:tc>
                <w:tcPr>
                  <w:tcW w:w="2035" w:type="dxa"/>
                  <w:noWrap w:val="0"/>
                  <w:vAlign w:val="center"/>
                </w:tcPr>
                <w:p w14:paraId="7C423BF3">
                  <w:pPr>
                    <w:jc w:val="center"/>
                    <w:rPr>
                      <w:rFonts w:hint="default" w:ascii="Times New Roman" w:hAnsi="Times New Roman" w:cs="Times New Roman"/>
                      <w:color w:val="auto"/>
                      <w:szCs w:val="21"/>
                      <w:highlight w:val="none"/>
                      <w:lang w:val="en-US"/>
                    </w:rPr>
                  </w:pPr>
                  <w:r>
                    <w:rPr>
                      <w:rFonts w:hint="default" w:ascii="Times New Roman" w:hAnsi="Times New Roman" w:cs="Times New Roman"/>
                      <w:color w:val="auto"/>
                      <w:szCs w:val="21"/>
                      <w:highlight w:val="none"/>
                    </w:rPr>
                    <w:t>2-20μL</w:t>
                  </w:r>
                </w:p>
              </w:tc>
              <w:tc>
                <w:tcPr>
                  <w:tcW w:w="833" w:type="dxa"/>
                  <w:noWrap w:val="0"/>
                  <w:vAlign w:val="center"/>
                </w:tcPr>
                <w:p w14:paraId="0CBEEECF">
                  <w:pPr>
                    <w:jc w:val="center"/>
                    <w:rPr>
                      <w:rFonts w:hint="default" w:ascii="Times New Roman" w:hAnsi="Times New Roman" w:cs="Times New Roman"/>
                      <w:color w:val="auto"/>
                      <w:szCs w:val="21"/>
                      <w:highlight w:val="none"/>
                      <w:lang w:val="en-US"/>
                    </w:rPr>
                  </w:pPr>
                  <w:r>
                    <w:rPr>
                      <w:rFonts w:hint="default" w:ascii="Times New Roman" w:hAnsi="Times New Roman" w:cs="Times New Roman"/>
                      <w:color w:val="auto"/>
                      <w:szCs w:val="21"/>
                      <w:highlight w:val="none"/>
                    </w:rPr>
                    <w:t>用电</w:t>
                  </w:r>
                </w:p>
              </w:tc>
            </w:tr>
            <w:tr w14:paraId="51B120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8" w:type="dxa"/>
                  <w:noWrap w:val="0"/>
                  <w:vAlign w:val="center"/>
                </w:tcPr>
                <w:p w14:paraId="28841B4C">
                  <w:pPr>
                    <w:jc w:val="center"/>
                    <w:rPr>
                      <w:rFonts w:hint="eastAsia"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9</w:t>
                  </w:r>
                </w:p>
              </w:tc>
              <w:tc>
                <w:tcPr>
                  <w:tcW w:w="2014" w:type="dxa"/>
                  <w:noWrap w:val="0"/>
                  <w:vAlign w:val="center"/>
                </w:tcPr>
                <w:p w14:paraId="61F73D65">
                  <w:pPr>
                    <w:jc w:val="center"/>
                    <w:rPr>
                      <w:rFonts w:hint="default" w:ascii="Times New Roman" w:hAnsi="Times New Roman" w:cs="Times New Roman"/>
                      <w:color w:val="auto"/>
                      <w:szCs w:val="21"/>
                      <w:highlight w:val="none"/>
                      <w:lang w:val="en-US"/>
                    </w:rPr>
                  </w:pPr>
                  <w:r>
                    <w:rPr>
                      <w:rFonts w:hint="default" w:ascii="Times New Roman" w:hAnsi="Times New Roman" w:cs="Times New Roman"/>
                      <w:color w:val="auto"/>
                      <w:szCs w:val="21"/>
                      <w:highlight w:val="none"/>
                    </w:rPr>
                    <w:t>移液器</w:t>
                  </w:r>
                </w:p>
              </w:tc>
              <w:tc>
                <w:tcPr>
                  <w:tcW w:w="744" w:type="dxa"/>
                  <w:noWrap w:val="0"/>
                  <w:vAlign w:val="center"/>
                </w:tcPr>
                <w:p w14:paraId="22EE63F0">
                  <w:pPr>
                    <w:jc w:val="center"/>
                    <w:rPr>
                      <w:rFonts w:hint="default" w:ascii="Times New Roman" w:hAnsi="Times New Roman" w:cs="Times New Roman"/>
                      <w:color w:val="auto"/>
                      <w:szCs w:val="21"/>
                      <w:highlight w:val="none"/>
                      <w:lang w:val="en-US"/>
                    </w:rPr>
                  </w:pPr>
                  <w:r>
                    <w:rPr>
                      <w:rFonts w:hint="default" w:ascii="Times New Roman" w:hAnsi="Times New Roman" w:cs="Times New Roman"/>
                      <w:color w:val="auto"/>
                      <w:szCs w:val="21"/>
                      <w:highlight w:val="none"/>
                    </w:rPr>
                    <w:t>1台</w:t>
                  </w:r>
                </w:p>
              </w:tc>
              <w:tc>
                <w:tcPr>
                  <w:tcW w:w="1182" w:type="dxa"/>
                  <w:noWrap w:val="0"/>
                  <w:vAlign w:val="center"/>
                </w:tcPr>
                <w:p w14:paraId="1D671C57">
                  <w:pPr>
                    <w:adjustRightInd w:val="0"/>
                    <w:jc w:val="center"/>
                    <w:textAlignment w:val="baseline"/>
                    <w:rPr>
                      <w:rFonts w:hint="default" w:ascii="Times New Roman" w:hAnsi="Times New Roman" w:cs="Times New Roman"/>
                      <w:color w:val="auto"/>
                      <w:szCs w:val="21"/>
                      <w:highlight w:val="none"/>
                      <w:lang w:val="en-US"/>
                    </w:rPr>
                  </w:pPr>
                  <w:r>
                    <w:rPr>
                      <w:rFonts w:hint="default" w:ascii="Times New Roman" w:hAnsi="Times New Roman" w:cs="Times New Roman"/>
                      <w:color w:val="auto"/>
                      <w:szCs w:val="21"/>
                      <w:highlight w:val="none"/>
                    </w:rPr>
                    <w:t>检测</w:t>
                  </w:r>
                </w:p>
              </w:tc>
              <w:tc>
                <w:tcPr>
                  <w:tcW w:w="2035" w:type="dxa"/>
                  <w:noWrap w:val="0"/>
                  <w:vAlign w:val="center"/>
                </w:tcPr>
                <w:p w14:paraId="7EB3EFFF">
                  <w:pPr>
                    <w:jc w:val="center"/>
                    <w:rPr>
                      <w:rFonts w:hint="default" w:ascii="Times New Roman" w:hAnsi="Times New Roman" w:cs="Times New Roman"/>
                      <w:color w:val="auto"/>
                      <w:szCs w:val="21"/>
                      <w:highlight w:val="none"/>
                      <w:lang w:val="en-US"/>
                    </w:rPr>
                  </w:pPr>
                  <w:r>
                    <w:rPr>
                      <w:rFonts w:hint="default" w:ascii="Times New Roman" w:hAnsi="Times New Roman" w:cs="Times New Roman"/>
                      <w:color w:val="auto"/>
                      <w:szCs w:val="21"/>
                      <w:highlight w:val="none"/>
                    </w:rPr>
                    <w:t>2-5mL</w:t>
                  </w:r>
                </w:p>
              </w:tc>
              <w:tc>
                <w:tcPr>
                  <w:tcW w:w="833" w:type="dxa"/>
                  <w:noWrap w:val="0"/>
                  <w:vAlign w:val="center"/>
                </w:tcPr>
                <w:p w14:paraId="7C17763F">
                  <w:pPr>
                    <w:jc w:val="center"/>
                    <w:rPr>
                      <w:rFonts w:hint="default" w:ascii="Times New Roman" w:hAnsi="Times New Roman" w:cs="Times New Roman"/>
                      <w:color w:val="auto"/>
                      <w:szCs w:val="21"/>
                      <w:highlight w:val="none"/>
                      <w:lang w:val="en-US"/>
                    </w:rPr>
                  </w:pPr>
                  <w:r>
                    <w:rPr>
                      <w:rFonts w:hint="default" w:ascii="Times New Roman" w:hAnsi="Times New Roman" w:cs="Times New Roman"/>
                      <w:color w:val="auto"/>
                      <w:szCs w:val="21"/>
                      <w:highlight w:val="none"/>
                    </w:rPr>
                    <w:t>用电</w:t>
                  </w:r>
                </w:p>
              </w:tc>
            </w:tr>
            <w:tr w14:paraId="4A3933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8" w:type="dxa"/>
                  <w:noWrap w:val="0"/>
                  <w:vAlign w:val="center"/>
                </w:tcPr>
                <w:p w14:paraId="2EF7B1FD">
                  <w:pPr>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10</w:t>
                  </w:r>
                </w:p>
              </w:tc>
              <w:tc>
                <w:tcPr>
                  <w:tcW w:w="2014" w:type="dxa"/>
                  <w:noWrap w:val="0"/>
                  <w:vAlign w:val="center"/>
                </w:tcPr>
                <w:p w14:paraId="5F630EB3">
                  <w:pPr>
                    <w:jc w:val="center"/>
                    <w:rPr>
                      <w:rFonts w:hint="default" w:ascii="Times New Roman" w:hAnsi="Times New Roman" w:cs="Times New Roman"/>
                      <w:color w:val="auto"/>
                      <w:szCs w:val="21"/>
                      <w:highlight w:val="none"/>
                      <w:lang w:val="en-US"/>
                    </w:rPr>
                  </w:pPr>
                  <w:r>
                    <w:rPr>
                      <w:rFonts w:hint="default" w:ascii="Times New Roman" w:hAnsi="Times New Roman" w:cs="Times New Roman"/>
                      <w:color w:val="auto"/>
                      <w:szCs w:val="21"/>
                      <w:highlight w:val="none"/>
                    </w:rPr>
                    <w:t>凯氏定氮仪</w:t>
                  </w:r>
                </w:p>
              </w:tc>
              <w:tc>
                <w:tcPr>
                  <w:tcW w:w="744" w:type="dxa"/>
                  <w:noWrap w:val="0"/>
                  <w:vAlign w:val="center"/>
                </w:tcPr>
                <w:p w14:paraId="50485EF8">
                  <w:pPr>
                    <w:jc w:val="center"/>
                    <w:rPr>
                      <w:rFonts w:hint="default" w:ascii="Times New Roman" w:hAnsi="Times New Roman" w:cs="Times New Roman"/>
                      <w:color w:val="auto"/>
                      <w:szCs w:val="21"/>
                      <w:highlight w:val="none"/>
                      <w:lang w:val="en-US"/>
                    </w:rPr>
                  </w:pPr>
                  <w:r>
                    <w:rPr>
                      <w:rFonts w:hint="default" w:ascii="Times New Roman" w:hAnsi="Times New Roman" w:cs="Times New Roman"/>
                      <w:color w:val="auto"/>
                      <w:szCs w:val="21"/>
                      <w:highlight w:val="none"/>
                    </w:rPr>
                    <w:t>1台</w:t>
                  </w:r>
                </w:p>
              </w:tc>
              <w:tc>
                <w:tcPr>
                  <w:tcW w:w="1182" w:type="dxa"/>
                  <w:noWrap w:val="0"/>
                  <w:vAlign w:val="center"/>
                </w:tcPr>
                <w:p w14:paraId="5BBC73DF">
                  <w:pPr>
                    <w:adjustRightInd w:val="0"/>
                    <w:jc w:val="center"/>
                    <w:textAlignment w:val="baseline"/>
                    <w:rPr>
                      <w:rFonts w:hint="default" w:ascii="Times New Roman" w:hAnsi="Times New Roman" w:cs="Times New Roman"/>
                      <w:color w:val="auto"/>
                      <w:szCs w:val="21"/>
                      <w:highlight w:val="none"/>
                      <w:lang w:val="en-US"/>
                    </w:rPr>
                  </w:pPr>
                  <w:r>
                    <w:rPr>
                      <w:rFonts w:hint="default" w:ascii="Times New Roman" w:hAnsi="Times New Roman" w:cs="Times New Roman"/>
                      <w:color w:val="auto"/>
                      <w:szCs w:val="21"/>
                      <w:highlight w:val="none"/>
                    </w:rPr>
                    <w:t>检测</w:t>
                  </w:r>
                </w:p>
              </w:tc>
              <w:tc>
                <w:tcPr>
                  <w:tcW w:w="2035" w:type="dxa"/>
                  <w:noWrap w:val="0"/>
                  <w:vAlign w:val="center"/>
                </w:tcPr>
                <w:p w14:paraId="568C1804">
                  <w:pPr>
                    <w:jc w:val="center"/>
                    <w:rPr>
                      <w:rFonts w:hint="default" w:ascii="Times New Roman" w:hAnsi="Times New Roman" w:cs="Times New Roman"/>
                      <w:color w:val="auto"/>
                      <w:szCs w:val="21"/>
                      <w:highlight w:val="none"/>
                      <w:lang w:val="en-US"/>
                    </w:rPr>
                  </w:pPr>
                  <w:r>
                    <w:rPr>
                      <w:rFonts w:hint="default" w:ascii="Times New Roman" w:hAnsi="Times New Roman" w:cs="Times New Roman"/>
                      <w:color w:val="auto"/>
                      <w:szCs w:val="21"/>
                      <w:highlight w:val="none"/>
                    </w:rPr>
                    <w:t>K9840+WD03</w:t>
                  </w:r>
                </w:p>
              </w:tc>
              <w:tc>
                <w:tcPr>
                  <w:tcW w:w="833" w:type="dxa"/>
                  <w:noWrap w:val="0"/>
                  <w:vAlign w:val="center"/>
                </w:tcPr>
                <w:p w14:paraId="18483936">
                  <w:pPr>
                    <w:jc w:val="center"/>
                    <w:rPr>
                      <w:rFonts w:hint="default" w:ascii="Times New Roman" w:hAnsi="Times New Roman" w:cs="Times New Roman"/>
                      <w:color w:val="auto"/>
                      <w:szCs w:val="21"/>
                      <w:highlight w:val="none"/>
                      <w:lang w:val="en-US"/>
                    </w:rPr>
                  </w:pPr>
                  <w:r>
                    <w:rPr>
                      <w:rFonts w:hint="default" w:ascii="Times New Roman" w:hAnsi="Times New Roman" w:cs="Times New Roman"/>
                      <w:color w:val="auto"/>
                      <w:szCs w:val="21"/>
                      <w:highlight w:val="none"/>
                    </w:rPr>
                    <w:t>用电</w:t>
                  </w:r>
                </w:p>
              </w:tc>
            </w:tr>
            <w:tr w14:paraId="5BB84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8" w:type="dxa"/>
                  <w:noWrap w:val="0"/>
                  <w:vAlign w:val="center"/>
                </w:tcPr>
                <w:p w14:paraId="65F0B6C6">
                  <w:pPr>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11</w:t>
                  </w:r>
                </w:p>
              </w:tc>
              <w:tc>
                <w:tcPr>
                  <w:tcW w:w="2014" w:type="dxa"/>
                  <w:noWrap w:val="0"/>
                  <w:vAlign w:val="center"/>
                </w:tcPr>
                <w:p w14:paraId="205C311C">
                  <w:pPr>
                    <w:jc w:val="center"/>
                    <w:rPr>
                      <w:rFonts w:hint="default" w:ascii="Times New Roman" w:hAnsi="Times New Roman" w:cs="Times New Roman"/>
                      <w:color w:val="auto"/>
                      <w:szCs w:val="21"/>
                      <w:highlight w:val="none"/>
                      <w:lang w:val="en-US"/>
                    </w:rPr>
                  </w:pPr>
                  <w:r>
                    <w:rPr>
                      <w:rFonts w:hint="default" w:ascii="Times New Roman" w:hAnsi="Times New Roman" w:cs="Times New Roman"/>
                      <w:color w:val="auto"/>
                      <w:szCs w:val="21"/>
                      <w:highlight w:val="none"/>
                    </w:rPr>
                    <w:t>原子吸收火焰光度计</w:t>
                  </w:r>
                </w:p>
              </w:tc>
              <w:tc>
                <w:tcPr>
                  <w:tcW w:w="744" w:type="dxa"/>
                  <w:noWrap w:val="0"/>
                  <w:vAlign w:val="center"/>
                </w:tcPr>
                <w:p w14:paraId="6F64BF66">
                  <w:pPr>
                    <w:jc w:val="center"/>
                    <w:rPr>
                      <w:rFonts w:hint="default" w:ascii="Times New Roman" w:hAnsi="Times New Roman" w:cs="Times New Roman"/>
                      <w:color w:val="auto"/>
                      <w:szCs w:val="21"/>
                      <w:highlight w:val="none"/>
                      <w:lang w:val="en-US"/>
                    </w:rPr>
                  </w:pPr>
                  <w:r>
                    <w:rPr>
                      <w:rFonts w:hint="default" w:ascii="Times New Roman" w:hAnsi="Times New Roman" w:cs="Times New Roman"/>
                      <w:color w:val="auto"/>
                      <w:szCs w:val="21"/>
                      <w:highlight w:val="none"/>
                    </w:rPr>
                    <w:t>1台</w:t>
                  </w:r>
                </w:p>
              </w:tc>
              <w:tc>
                <w:tcPr>
                  <w:tcW w:w="1182" w:type="dxa"/>
                  <w:noWrap w:val="0"/>
                  <w:vAlign w:val="center"/>
                </w:tcPr>
                <w:p w14:paraId="0511C518">
                  <w:pPr>
                    <w:adjustRightInd w:val="0"/>
                    <w:jc w:val="center"/>
                    <w:textAlignment w:val="baseline"/>
                    <w:rPr>
                      <w:rFonts w:hint="default" w:ascii="Times New Roman" w:hAnsi="Times New Roman" w:cs="Times New Roman"/>
                      <w:color w:val="auto"/>
                      <w:szCs w:val="21"/>
                      <w:highlight w:val="none"/>
                      <w:lang w:val="en-US"/>
                    </w:rPr>
                  </w:pPr>
                  <w:r>
                    <w:rPr>
                      <w:rFonts w:hint="default" w:ascii="Times New Roman" w:hAnsi="Times New Roman" w:cs="Times New Roman"/>
                      <w:color w:val="auto"/>
                      <w:szCs w:val="21"/>
                      <w:highlight w:val="none"/>
                    </w:rPr>
                    <w:t>检测</w:t>
                  </w:r>
                </w:p>
              </w:tc>
              <w:tc>
                <w:tcPr>
                  <w:tcW w:w="2035" w:type="dxa"/>
                  <w:noWrap w:val="0"/>
                  <w:vAlign w:val="center"/>
                </w:tcPr>
                <w:p w14:paraId="470E34E1">
                  <w:pPr>
                    <w:jc w:val="center"/>
                    <w:rPr>
                      <w:rFonts w:hint="default" w:ascii="Times New Roman" w:hAnsi="Times New Roman" w:cs="Times New Roman"/>
                      <w:color w:val="auto"/>
                      <w:szCs w:val="21"/>
                      <w:highlight w:val="none"/>
                      <w:lang w:val="en-US"/>
                    </w:rPr>
                  </w:pPr>
                  <w:r>
                    <w:rPr>
                      <w:rFonts w:hint="default" w:ascii="Times New Roman" w:hAnsi="Times New Roman" w:cs="Times New Roman"/>
                      <w:color w:val="auto"/>
                      <w:szCs w:val="21"/>
                      <w:highlight w:val="none"/>
                    </w:rPr>
                    <w:t>990AFG</w:t>
                  </w:r>
                </w:p>
              </w:tc>
              <w:tc>
                <w:tcPr>
                  <w:tcW w:w="833" w:type="dxa"/>
                  <w:noWrap w:val="0"/>
                  <w:vAlign w:val="center"/>
                </w:tcPr>
                <w:p w14:paraId="2BA44889">
                  <w:pPr>
                    <w:jc w:val="center"/>
                    <w:rPr>
                      <w:rFonts w:hint="default" w:ascii="Times New Roman" w:hAnsi="Times New Roman" w:cs="Times New Roman"/>
                      <w:color w:val="auto"/>
                      <w:szCs w:val="21"/>
                      <w:highlight w:val="none"/>
                      <w:lang w:val="en-US"/>
                    </w:rPr>
                  </w:pPr>
                  <w:r>
                    <w:rPr>
                      <w:rFonts w:hint="default" w:ascii="Times New Roman" w:hAnsi="Times New Roman" w:cs="Times New Roman"/>
                      <w:color w:val="auto"/>
                      <w:szCs w:val="21"/>
                      <w:highlight w:val="none"/>
                    </w:rPr>
                    <w:t>用电</w:t>
                  </w:r>
                </w:p>
              </w:tc>
            </w:tr>
            <w:tr w14:paraId="32E023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8" w:type="dxa"/>
                  <w:noWrap w:val="0"/>
                  <w:vAlign w:val="center"/>
                </w:tcPr>
                <w:p w14:paraId="6796FF00">
                  <w:pPr>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12</w:t>
                  </w:r>
                </w:p>
              </w:tc>
              <w:tc>
                <w:tcPr>
                  <w:tcW w:w="2014" w:type="dxa"/>
                  <w:noWrap w:val="0"/>
                  <w:vAlign w:val="center"/>
                </w:tcPr>
                <w:p w14:paraId="40665E4F">
                  <w:pPr>
                    <w:jc w:val="center"/>
                    <w:rPr>
                      <w:rFonts w:hint="default" w:ascii="Times New Roman" w:hAnsi="Times New Roman" w:cs="Times New Roman"/>
                      <w:color w:val="auto"/>
                      <w:szCs w:val="21"/>
                      <w:highlight w:val="none"/>
                      <w:lang w:val="en-US"/>
                    </w:rPr>
                  </w:pPr>
                  <w:r>
                    <w:rPr>
                      <w:rFonts w:hint="default" w:ascii="Times New Roman" w:hAnsi="Times New Roman" w:cs="Times New Roman"/>
                      <w:color w:val="auto"/>
                      <w:szCs w:val="21"/>
                      <w:highlight w:val="none"/>
                    </w:rPr>
                    <w:t>石墨炉原子分光光度计</w:t>
                  </w:r>
                </w:p>
              </w:tc>
              <w:tc>
                <w:tcPr>
                  <w:tcW w:w="744" w:type="dxa"/>
                  <w:noWrap w:val="0"/>
                  <w:vAlign w:val="center"/>
                </w:tcPr>
                <w:p w14:paraId="1F96A773">
                  <w:pPr>
                    <w:jc w:val="center"/>
                    <w:rPr>
                      <w:rFonts w:hint="default" w:ascii="Times New Roman" w:hAnsi="Times New Roman" w:cs="Times New Roman"/>
                      <w:color w:val="auto"/>
                      <w:szCs w:val="21"/>
                      <w:highlight w:val="none"/>
                      <w:lang w:val="en-US"/>
                    </w:rPr>
                  </w:pPr>
                  <w:r>
                    <w:rPr>
                      <w:rFonts w:hint="default" w:ascii="Times New Roman" w:hAnsi="Times New Roman" w:cs="Times New Roman"/>
                      <w:color w:val="auto"/>
                      <w:szCs w:val="21"/>
                      <w:highlight w:val="none"/>
                    </w:rPr>
                    <w:t>1台</w:t>
                  </w:r>
                </w:p>
              </w:tc>
              <w:tc>
                <w:tcPr>
                  <w:tcW w:w="1182" w:type="dxa"/>
                  <w:noWrap w:val="0"/>
                  <w:vAlign w:val="center"/>
                </w:tcPr>
                <w:p w14:paraId="2B3FA503">
                  <w:pPr>
                    <w:adjustRightInd w:val="0"/>
                    <w:jc w:val="center"/>
                    <w:textAlignment w:val="baseline"/>
                    <w:rPr>
                      <w:rFonts w:hint="default" w:ascii="Times New Roman" w:hAnsi="Times New Roman" w:cs="Times New Roman"/>
                      <w:color w:val="auto"/>
                      <w:szCs w:val="21"/>
                      <w:highlight w:val="none"/>
                      <w:lang w:val="en-US"/>
                    </w:rPr>
                  </w:pPr>
                  <w:r>
                    <w:rPr>
                      <w:rFonts w:hint="default" w:ascii="Times New Roman" w:hAnsi="Times New Roman" w:cs="Times New Roman"/>
                      <w:color w:val="auto"/>
                      <w:szCs w:val="21"/>
                      <w:highlight w:val="none"/>
                    </w:rPr>
                    <w:t>检测</w:t>
                  </w:r>
                </w:p>
              </w:tc>
              <w:tc>
                <w:tcPr>
                  <w:tcW w:w="2035" w:type="dxa"/>
                  <w:noWrap w:val="0"/>
                  <w:vAlign w:val="center"/>
                </w:tcPr>
                <w:p w14:paraId="77209A31">
                  <w:pPr>
                    <w:jc w:val="center"/>
                    <w:rPr>
                      <w:rFonts w:hint="default" w:ascii="Times New Roman" w:hAnsi="Times New Roman" w:cs="Times New Roman"/>
                      <w:color w:val="auto"/>
                      <w:szCs w:val="21"/>
                      <w:highlight w:val="none"/>
                      <w:lang w:val="en-US"/>
                    </w:rPr>
                  </w:pPr>
                  <w:r>
                    <w:rPr>
                      <w:rFonts w:hint="default" w:ascii="Times New Roman" w:hAnsi="Times New Roman" w:cs="Times New Roman"/>
                      <w:color w:val="auto"/>
                      <w:szCs w:val="21"/>
                      <w:highlight w:val="none"/>
                    </w:rPr>
                    <w:t>990AFG</w:t>
                  </w:r>
                </w:p>
              </w:tc>
              <w:tc>
                <w:tcPr>
                  <w:tcW w:w="833" w:type="dxa"/>
                  <w:noWrap w:val="0"/>
                  <w:vAlign w:val="center"/>
                </w:tcPr>
                <w:p w14:paraId="38114311">
                  <w:pPr>
                    <w:jc w:val="center"/>
                    <w:rPr>
                      <w:rFonts w:hint="default" w:ascii="Times New Roman" w:hAnsi="Times New Roman" w:cs="Times New Roman"/>
                      <w:color w:val="auto"/>
                      <w:szCs w:val="21"/>
                      <w:highlight w:val="none"/>
                      <w:lang w:val="en-US"/>
                    </w:rPr>
                  </w:pPr>
                  <w:r>
                    <w:rPr>
                      <w:rFonts w:hint="default" w:ascii="Times New Roman" w:hAnsi="Times New Roman" w:cs="Times New Roman"/>
                      <w:color w:val="auto"/>
                      <w:szCs w:val="21"/>
                      <w:highlight w:val="none"/>
                    </w:rPr>
                    <w:t>用电</w:t>
                  </w:r>
                </w:p>
              </w:tc>
            </w:tr>
            <w:tr w14:paraId="18E521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8" w:type="dxa"/>
                  <w:noWrap w:val="0"/>
                  <w:vAlign w:val="center"/>
                </w:tcPr>
                <w:p w14:paraId="35160937">
                  <w:pPr>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13</w:t>
                  </w:r>
                </w:p>
              </w:tc>
              <w:tc>
                <w:tcPr>
                  <w:tcW w:w="2014" w:type="dxa"/>
                  <w:noWrap w:val="0"/>
                  <w:vAlign w:val="center"/>
                </w:tcPr>
                <w:p w14:paraId="0B5CB053">
                  <w:pPr>
                    <w:jc w:val="center"/>
                    <w:rPr>
                      <w:rFonts w:hint="default" w:ascii="Times New Roman" w:hAnsi="Times New Roman" w:cs="Times New Roman"/>
                      <w:color w:val="auto"/>
                      <w:szCs w:val="21"/>
                      <w:highlight w:val="none"/>
                      <w:lang w:val="en-US"/>
                    </w:rPr>
                  </w:pPr>
                  <w:r>
                    <w:rPr>
                      <w:rFonts w:hint="default" w:ascii="Times New Roman" w:hAnsi="Times New Roman" w:cs="Times New Roman"/>
                      <w:color w:val="auto"/>
                      <w:szCs w:val="21"/>
                      <w:highlight w:val="none"/>
                    </w:rPr>
                    <w:t>电子天平百分之一</w:t>
                  </w:r>
                </w:p>
              </w:tc>
              <w:tc>
                <w:tcPr>
                  <w:tcW w:w="744" w:type="dxa"/>
                  <w:noWrap w:val="0"/>
                  <w:vAlign w:val="center"/>
                </w:tcPr>
                <w:p w14:paraId="518D54CA">
                  <w:pPr>
                    <w:jc w:val="center"/>
                    <w:rPr>
                      <w:rFonts w:hint="default" w:ascii="Times New Roman" w:hAnsi="Times New Roman" w:cs="Times New Roman"/>
                      <w:color w:val="auto"/>
                      <w:szCs w:val="21"/>
                      <w:highlight w:val="none"/>
                      <w:lang w:val="en-US"/>
                    </w:rPr>
                  </w:pPr>
                  <w:r>
                    <w:rPr>
                      <w:rFonts w:hint="default" w:ascii="Times New Roman" w:hAnsi="Times New Roman" w:cs="Times New Roman"/>
                      <w:color w:val="auto"/>
                      <w:szCs w:val="21"/>
                      <w:highlight w:val="none"/>
                    </w:rPr>
                    <w:t>1台</w:t>
                  </w:r>
                </w:p>
              </w:tc>
              <w:tc>
                <w:tcPr>
                  <w:tcW w:w="1182" w:type="dxa"/>
                  <w:noWrap w:val="0"/>
                  <w:vAlign w:val="center"/>
                </w:tcPr>
                <w:p w14:paraId="73D44C0E">
                  <w:pPr>
                    <w:adjustRightInd w:val="0"/>
                    <w:jc w:val="center"/>
                    <w:textAlignment w:val="baseline"/>
                    <w:rPr>
                      <w:rFonts w:hint="default" w:ascii="Times New Roman" w:hAnsi="Times New Roman" w:cs="Times New Roman"/>
                      <w:color w:val="auto"/>
                      <w:szCs w:val="21"/>
                      <w:highlight w:val="none"/>
                      <w:lang w:val="en-US"/>
                    </w:rPr>
                  </w:pPr>
                  <w:r>
                    <w:rPr>
                      <w:rFonts w:hint="default" w:ascii="Times New Roman" w:hAnsi="Times New Roman" w:cs="Times New Roman"/>
                      <w:color w:val="auto"/>
                      <w:szCs w:val="21"/>
                      <w:highlight w:val="none"/>
                    </w:rPr>
                    <w:t>检测</w:t>
                  </w:r>
                </w:p>
              </w:tc>
              <w:tc>
                <w:tcPr>
                  <w:tcW w:w="2035" w:type="dxa"/>
                  <w:noWrap w:val="0"/>
                  <w:vAlign w:val="center"/>
                </w:tcPr>
                <w:p w14:paraId="0C56EFD9">
                  <w:pPr>
                    <w:jc w:val="center"/>
                    <w:rPr>
                      <w:rFonts w:hint="default" w:ascii="Times New Roman" w:hAnsi="Times New Roman" w:cs="Times New Roman"/>
                      <w:color w:val="auto"/>
                      <w:szCs w:val="21"/>
                      <w:highlight w:val="none"/>
                      <w:lang w:val="en-US"/>
                    </w:rPr>
                  </w:pPr>
                  <w:r>
                    <w:rPr>
                      <w:rFonts w:hint="default" w:ascii="Times New Roman" w:hAnsi="Times New Roman" w:cs="Times New Roman"/>
                      <w:color w:val="auto"/>
                      <w:szCs w:val="21"/>
                      <w:highlight w:val="none"/>
                    </w:rPr>
                    <w:t>JJOOOB(1kg,0.01g)</w:t>
                  </w:r>
                </w:p>
              </w:tc>
              <w:tc>
                <w:tcPr>
                  <w:tcW w:w="833" w:type="dxa"/>
                  <w:noWrap w:val="0"/>
                  <w:vAlign w:val="center"/>
                </w:tcPr>
                <w:p w14:paraId="365AC05B">
                  <w:pPr>
                    <w:jc w:val="center"/>
                    <w:rPr>
                      <w:rFonts w:hint="default" w:ascii="Times New Roman" w:hAnsi="Times New Roman" w:cs="Times New Roman"/>
                      <w:color w:val="auto"/>
                      <w:szCs w:val="21"/>
                      <w:highlight w:val="none"/>
                      <w:lang w:val="en-US"/>
                    </w:rPr>
                  </w:pPr>
                  <w:r>
                    <w:rPr>
                      <w:rFonts w:hint="default" w:ascii="Times New Roman" w:hAnsi="Times New Roman" w:cs="Times New Roman"/>
                      <w:color w:val="auto"/>
                      <w:szCs w:val="21"/>
                      <w:highlight w:val="none"/>
                    </w:rPr>
                    <w:t>用电</w:t>
                  </w:r>
                </w:p>
              </w:tc>
            </w:tr>
            <w:tr w14:paraId="1380A3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8" w:type="dxa"/>
                  <w:noWrap w:val="0"/>
                  <w:vAlign w:val="center"/>
                </w:tcPr>
                <w:p w14:paraId="49C014C6">
                  <w:pPr>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14</w:t>
                  </w:r>
                </w:p>
              </w:tc>
              <w:tc>
                <w:tcPr>
                  <w:tcW w:w="2014" w:type="dxa"/>
                  <w:noWrap w:val="0"/>
                  <w:vAlign w:val="center"/>
                </w:tcPr>
                <w:p w14:paraId="01177F03">
                  <w:pPr>
                    <w:jc w:val="center"/>
                    <w:rPr>
                      <w:rFonts w:hint="default" w:ascii="Times New Roman" w:hAnsi="Times New Roman" w:cs="Times New Roman"/>
                      <w:color w:val="auto"/>
                      <w:szCs w:val="21"/>
                      <w:highlight w:val="none"/>
                      <w:lang w:val="en-US"/>
                    </w:rPr>
                  </w:pPr>
                  <w:r>
                    <w:rPr>
                      <w:rFonts w:hint="default" w:ascii="Times New Roman" w:hAnsi="Times New Roman" w:cs="Times New Roman"/>
                      <w:color w:val="auto"/>
                      <w:szCs w:val="21"/>
                      <w:highlight w:val="none"/>
                    </w:rPr>
                    <w:t>电子天平万分之一</w:t>
                  </w:r>
                </w:p>
              </w:tc>
              <w:tc>
                <w:tcPr>
                  <w:tcW w:w="744" w:type="dxa"/>
                  <w:noWrap w:val="0"/>
                  <w:vAlign w:val="center"/>
                </w:tcPr>
                <w:p w14:paraId="108035F3">
                  <w:pPr>
                    <w:jc w:val="center"/>
                    <w:rPr>
                      <w:rFonts w:hint="default" w:ascii="Times New Roman" w:hAnsi="Times New Roman" w:cs="Times New Roman"/>
                      <w:color w:val="auto"/>
                      <w:szCs w:val="21"/>
                      <w:highlight w:val="none"/>
                      <w:lang w:val="en-US"/>
                    </w:rPr>
                  </w:pPr>
                  <w:r>
                    <w:rPr>
                      <w:rFonts w:hint="default" w:ascii="Times New Roman" w:hAnsi="Times New Roman" w:cs="Times New Roman"/>
                      <w:color w:val="auto"/>
                      <w:szCs w:val="21"/>
                      <w:highlight w:val="none"/>
                    </w:rPr>
                    <w:t>1台</w:t>
                  </w:r>
                </w:p>
              </w:tc>
              <w:tc>
                <w:tcPr>
                  <w:tcW w:w="1182" w:type="dxa"/>
                  <w:noWrap w:val="0"/>
                  <w:vAlign w:val="center"/>
                </w:tcPr>
                <w:p w14:paraId="2976435F">
                  <w:pPr>
                    <w:adjustRightInd w:val="0"/>
                    <w:jc w:val="center"/>
                    <w:textAlignment w:val="baseline"/>
                    <w:rPr>
                      <w:rFonts w:hint="default" w:ascii="Times New Roman" w:hAnsi="Times New Roman" w:cs="Times New Roman"/>
                      <w:color w:val="auto"/>
                      <w:szCs w:val="21"/>
                      <w:highlight w:val="none"/>
                      <w:lang w:val="en-US"/>
                    </w:rPr>
                  </w:pPr>
                  <w:r>
                    <w:rPr>
                      <w:rFonts w:hint="default" w:ascii="Times New Roman" w:hAnsi="Times New Roman" w:cs="Times New Roman"/>
                      <w:color w:val="auto"/>
                      <w:szCs w:val="21"/>
                      <w:highlight w:val="none"/>
                    </w:rPr>
                    <w:t>检测</w:t>
                  </w:r>
                </w:p>
              </w:tc>
              <w:tc>
                <w:tcPr>
                  <w:tcW w:w="2035" w:type="dxa"/>
                  <w:noWrap w:val="0"/>
                  <w:vAlign w:val="center"/>
                </w:tcPr>
                <w:p w14:paraId="6ED09E73">
                  <w:pPr>
                    <w:jc w:val="center"/>
                    <w:rPr>
                      <w:rFonts w:hint="default" w:ascii="Times New Roman" w:hAnsi="Times New Roman" w:cs="Times New Roman"/>
                      <w:color w:val="auto"/>
                      <w:szCs w:val="21"/>
                      <w:highlight w:val="none"/>
                      <w:lang w:val="en-US"/>
                    </w:rPr>
                  </w:pPr>
                  <w:r>
                    <w:rPr>
                      <w:rFonts w:hint="default" w:ascii="Times New Roman" w:hAnsi="Times New Roman" w:cs="Times New Roman"/>
                      <w:color w:val="auto"/>
                      <w:szCs w:val="21"/>
                      <w:highlight w:val="none"/>
                    </w:rPr>
                    <w:t>BSA224S</w:t>
                  </w:r>
                </w:p>
              </w:tc>
              <w:tc>
                <w:tcPr>
                  <w:tcW w:w="833" w:type="dxa"/>
                  <w:noWrap w:val="0"/>
                  <w:vAlign w:val="center"/>
                </w:tcPr>
                <w:p w14:paraId="34BAD55E">
                  <w:pPr>
                    <w:jc w:val="center"/>
                    <w:rPr>
                      <w:rFonts w:hint="default" w:ascii="Times New Roman" w:hAnsi="Times New Roman" w:cs="Times New Roman"/>
                      <w:color w:val="auto"/>
                      <w:szCs w:val="21"/>
                      <w:highlight w:val="none"/>
                      <w:lang w:val="en-US"/>
                    </w:rPr>
                  </w:pPr>
                  <w:r>
                    <w:rPr>
                      <w:rFonts w:hint="default" w:ascii="Times New Roman" w:hAnsi="Times New Roman" w:cs="Times New Roman"/>
                      <w:color w:val="auto"/>
                      <w:szCs w:val="21"/>
                      <w:highlight w:val="none"/>
                    </w:rPr>
                    <w:t>用电</w:t>
                  </w:r>
                </w:p>
              </w:tc>
            </w:tr>
            <w:tr w14:paraId="6B86A2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8" w:type="dxa"/>
                  <w:noWrap w:val="0"/>
                  <w:vAlign w:val="center"/>
                </w:tcPr>
                <w:p w14:paraId="13CBFFDD">
                  <w:pPr>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15</w:t>
                  </w:r>
                </w:p>
              </w:tc>
              <w:tc>
                <w:tcPr>
                  <w:tcW w:w="2014" w:type="dxa"/>
                  <w:noWrap w:val="0"/>
                  <w:vAlign w:val="center"/>
                </w:tcPr>
                <w:p w14:paraId="02A66C9D">
                  <w:pPr>
                    <w:jc w:val="center"/>
                    <w:rPr>
                      <w:rFonts w:hint="default" w:ascii="Times New Roman" w:hAnsi="Times New Roman" w:cs="Times New Roman"/>
                      <w:color w:val="auto"/>
                      <w:szCs w:val="21"/>
                      <w:highlight w:val="none"/>
                      <w:lang w:val="en-US"/>
                    </w:rPr>
                  </w:pPr>
                  <w:r>
                    <w:rPr>
                      <w:rFonts w:hint="default" w:ascii="Times New Roman" w:hAnsi="Times New Roman" w:cs="Times New Roman"/>
                      <w:color w:val="auto"/>
                      <w:szCs w:val="21"/>
                      <w:highlight w:val="none"/>
                    </w:rPr>
                    <w:t>分光光度计</w:t>
                  </w:r>
                </w:p>
              </w:tc>
              <w:tc>
                <w:tcPr>
                  <w:tcW w:w="744" w:type="dxa"/>
                  <w:noWrap w:val="0"/>
                  <w:vAlign w:val="center"/>
                </w:tcPr>
                <w:p w14:paraId="2587149D">
                  <w:pPr>
                    <w:jc w:val="center"/>
                    <w:rPr>
                      <w:rFonts w:hint="default" w:ascii="Times New Roman" w:hAnsi="Times New Roman" w:cs="Times New Roman"/>
                      <w:color w:val="auto"/>
                      <w:szCs w:val="21"/>
                      <w:highlight w:val="none"/>
                      <w:lang w:val="en-US"/>
                    </w:rPr>
                  </w:pPr>
                  <w:r>
                    <w:rPr>
                      <w:rFonts w:hint="default" w:ascii="Times New Roman" w:hAnsi="Times New Roman" w:cs="Times New Roman"/>
                      <w:color w:val="auto"/>
                      <w:szCs w:val="21"/>
                      <w:highlight w:val="none"/>
                    </w:rPr>
                    <w:t>1台</w:t>
                  </w:r>
                </w:p>
              </w:tc>
              <w:tc>
                <w:tcPr>
                  <w:tcW w:w="1182" w:type="dxa"/>
                  <w:noWrap w:val="0"/>
                  <w:vAlign w:val="center"/>
                </w:tcPr>
                <w:p w14:paraId="253EBE55">
                  <w:pPr>
                    <w:adjustRightInd w:val="0"/>
                    <w:jc w:val="center"/>
                    <w:textAlignment w:val="baseline"/>
                    <w:rPr>
                      <w:rFonts w:hint="default" w:ascii="Times New Roman" w:hAnsi="Times New Roman" w:cs="Times New Roman"/>
                      <w:color w:val="auto"/>
                      <w:szCs w:val="21"/>
                      <w:highlight w:val="none"/>
                      <w:lang w:val="en-US"/>
                    </w:rPr>
                  </w:pPr>
                  <w:r>
                    <w:rPr>
                      <w:rFonts w:hint="default" w:ascii="Times New Roman" w:hAnsi="Times New Roman" w:cs="Times New Roman"/>
                      <w:color w:val="auto"/>
                      <w:szCs w:val="21"/>
                      <w:highlight w:val="none"/>
                    </w:rPr>
                    <w:t>检测</w:t>
                  </w:r>
                </w:p>
              </w:tc>
              <w:tc>
                <w:tcPr>
                  <w:tcW w:w="2035" w:type="dxa"/>
                  <w:noWrap w:val="0"/>
                  <w:vAlign w:val="center"/>
                </w:tcPr>
                <w:p w14:paraId="7F196A26">
                  <w:pPr>
                    <w:jc w:val="center"/>
                    <w:rPr>
                      <w:rFonts w:hint="default" w:ascii="Times New Roman" w:hAnsi="Times New Roman" w:cs="Times New Roman"/>
                      <w:color w:val="auto"/>
                      <w:szCs w:val="21"/>
                      <w:highlight w:val="none"/>
                      <w:lang w:val="en-US"/>
                    </w:rPr>
                  </w:pPr>
                  <w:r>
                    <w:rPr>
                      <w:rFonts w:hint="default" w:ascii="Times New Roman" w:hAnsi="Times New Roman" w:cs="Times New Roman"/>
                      <w:color w:val="auto"/>
                      <w:szCs w:val="21"/>
                      <w:highlight w:val="none"/>
                    </w:rPr>
                    <w:t>T6</w:t>
                  </w:r>
                </w:p>
              </w:tc>
              <w:tc>
                <w:tcPr>
                  <w:tcW w:w="833" w:type="dxa"/>
                  <w:noWrap w:val="0"/>
                  <w:vAlign w:val="center"/>
                </w:tcPr>
                <w:p w14:paraId="434AC8AA">
                  <w:pPr>
                    <w:jc w:val="center"/>
                    <w:rPr>
                      <w:rFonts w:hint="default" w:ascii="Times New Roman" w:hAnsi="Times New Roman" w:cs="Times New Roman"/>
                      <w:color w:val="auto"/>
                      <w:szCs w:val="21"/>
                      <w:highlight w:val="none"/>
                      <w:lang w:val="en-US"/>
                    </w:rPr>
                  </w:pPr>
                  <w:r>
                    <w:rPr>
                      <w:rFonts w:hint="default" w:ascii="Times New Roman" w:hAnsi="Times New Roman" w:cs="Times New Roman"/>
                      <w:color w:val="auto"/>
                      <w:szCs w:val="21"/>
                      <w:highlight w:val="none"/>
                    </w:rPr>
                    <w:t>用电</w:t>
                  </w:r>
                </w:p>
              </w:tc>
            </w:tr>
            <w:tr w14:paraId="5B0063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568" w:type="dxa"/>
                  <w:noWrap w:val="0"/>
                  <w:vAlign w:val="center"/>
                </w:tcPr>
                <w:p w14:paraId="52B7DDE5">
                  <w:pPr>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16</w:t>
                  </w:r>
                </w:p>
              </w:tc>
              <w:tc>
                <w:tcPr>
                  <w:tcW w:w="2014" w:type="dxa"/>
                  <w:noWrap w:val="0"/>
                  <w:vAlign w:val="center"/>
                </w:tcPr>
                <w:p w14:paraId="055B4984">
                  <w:pPr>
                    <w:jc w:val="center"/>
                    <w:rPr>
                      <w:rFonts w:hint="default" w:ascii="Times New Roman" w:hAnsi="Times New Roman" w:cs="Times New Roman"/>
                      <w:color w:val="auto"/>
                      <w:szCs w:val="21"/>
                      <w:highlight w:val="none"/>
                      <w:lang w:val="en-US"/>
                    </w:rPr>
                  </w:pPr>
                  <w:r>
                    <w:rPr>
                      <w:rFonts w:hint="default" w:ascii="Times New Roman" w:hAnsi="Times New Roman" w:cs="Times New Roman"/>
                      <w:color w:val="auto"/>
                      <w:szCs w:val="21"/>
                      <w:highlight w:val="none"/>
                    </w:rPr>
                    <w:t>紫外可见分光光度计</w:t>
                  </w:r>
                </w:p>
              </w:tc>
              <w:tc>
                <w:tcPr>
                  <w:tcW w:w="744" w:type="dxa"/>
                  <w:noWrap w:val="0"/>
                  <w:vAlign w:val="center"/>
                </w:tcPr>
                <w:p w14:paraId="3EB658C7">
                  <w:pPr>
                    <w:jc w:val="center"/>
                    <w:rPr>
                      <w:rFonts w:hint="default" w:ascii="Times New Roman" w:hAnsi="Times New Roman" w:cs="Times New Roman"/>
                      <w:color w:val="auto"/>
                      <w:szCs w:val="21"/>
                      <w:highlight w:val="none"/>
                      <w:lang w:val="en-US"/>
                    </w:rPr>
                  </w:pPr>
                  <w:r>
                    <w:rPr>
                      <w:rFonts w:hint="default" w:ascii="Times New Roman" w:hAnsi="Times New Roman" w:cs="Times New Roman"/>
                      <w:color w:val="auto"/>
                      <w:szCs w:val="21"/>
                      <w:highlight w:val="none"/>
                    </w:rPr>
                    <w:t>1台</w:t>
                  </w:r>
                </w:p>
              </w:tc>
              <w:tc>
                <w:tcPr>
                  <w:tcW w:w="1182" w:type="dxa"/>
                  <w:noWrap w:val="0"/>
                  <w:vAlign w:val="center"/>
                </w:tcPr>
                <w:p w14:paraId="0E460C0D">
                  <w:pPr>
                    <w:adjustRightInd w:val="0"/>
                    <w:jc w:val="center"/>
                    <w:textAlignment w:val="baseline"/>
                    <w:rPr>
                      <w:rFonts w:hint="default" w:ascii="Times New Roman" w:hAnsi="Times New Roman" w:cs="Times New Roman"/>
                      <w:color w:val="auto"/>
                      <w:szCs w:val="21"/>
                      <w:highlight w:val="none"/>
                      <w:lang w:val="en-US"/>
                    </w:rPr>
                  </w:pPr>
                  <w:r>
                    <w:rPr>
                      <w:rFonts w:hint="default" w:ascii="Times New Roman" w:hAnsi="Times New Roman" w:cs="Times New Roman"/>
                      <w:color w:val="auto"/>
                      <w:szCs w:val="21"/>
                      <w:highlight w:val="none"/>
                    </w:rPr>
                    <w:t>检测</w:t>
                  </w:r>
                </w:p>
              </w:tc>
              <w:tc>
                <w:tcPr>
                  <w:tcW w:w="2035" w:type="dxa"/>
                  <w:noWrap w:val="0"/>
                  <w:vAlign w:val="center"/>
                </w:tcPr>
                <w:p w14:paraId="7CB1D44B">
                  <w:pPr>
                    <w:jc w:val="center"/>
                    <w:rPr>
                      <w:rFonts w:hint="default" w:ascii="Times New Roman" w:hAnsi="Times New Roman" w:cs="Times New Roman"/>
                      <w:color w:val="auto"/>
                      <w:szCs w:val="21"/>
                      <w:highlight w:val="none"/>
                      <w:lang w:val="en-US"/>
                    </w:rPr>
                  </w:pPr>
                  <w:r>
                    <w:rPr>
                      <w:rFonts w:hint="default" w:ascii="Times New Roman" w:hAnsi="Times New Roman" w:cs="Times New Roman"/>
                      <w:color w:val="auto"/>
                      <w:szCs w:val="21"/>
                      <w:highlight w:val="none"/>
                    </w:rPr>
                    <w:t>UV-5200</w:t>
                  </w:r>
                </w:p>
              </w:tc>
              <w:tc>
                <w:tcPr>
                  <w:tcW w:w="833" w:type="dxa"/>
                  <w:noWrap w:val="0"/>
                  <w:vAlign w:val="center"/>
                </w:tcPr>
                <w:p w14:paraId="79652E24">
                  <w:pPr>
                    <w:jc w:val="center"/>
                    <w:rPr>
                      <w:rFonts w:hint="default" w:ascii="Times New Roman" w:hAnsi="Times New Roman" w:cs="Times New Roman"/>
                      <w:color w:val="auto"/>
                      <w:szCs w:val="21"/>
                      <w:highlight w:val="none"/>
                      <w:lang w:val="en-US"/>
                    </w:rPr>
                  </w:pPr>
                  <w:r>
                    <w:rPr>
                      <w:rFonts w:hint="default" w:ascii="Times New Roman" w:hAnsi="Times New Roman" w:cs="Times New Roman"/>
                      <w:color w:val="auto"/>
                      <w:szCs w:val="21"/>
                      <w:highlight w:val="none"/>
                    </w:rPr>
                    <w:t>用电</w:t>
                  </w:r>
                </w:p>
              </w:tc>
            </w:tr>
            <w:tr w14:paraId="236CB7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8" w:type="dxa"/>
                  <w:noWrap w:val="0"/>
                  <w:vAlign w:val="center"/>
                </w:tcPr>
                <w:p w14:paraId="17DB1CEB">
                  <w:pPr>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17</w:t>
                  </w:r>
                </w:p>
              </w:tc>
              <w:tc>
                <w:tcPr>
                  <w:tcW w:w="2014" w:type="dxa"/>
                  <w:noWrap w:val="0"/>
                  <w:vAlign w:val="center"/>
                </w:tcPr>
                <w:p w14:paraId="57984B6D">
                  <w:pPr>
                    <w:jc w:val="center"/>
                    <w:rPr>
                      <w:rFonts w:hint="default" w:ascii="Times New Roman" w:hAnsi="Times New Roman" w:cs="Times New Roman"/>
                      <w:color w:val="auto"/>
                      <w:szCs w:val="21"/>
                      <w:highlight w:val="none"/>
                      <w:lang w:val="en-US"/>
                    </w:rPr>
                  </w:pPr>
                  <w:r>
                    <w:rPr>
                      <w:rFonts w:hint="default" w:ascii="Times New Roman" w:hAnsi="Times New Roman" w:cs="Times New Roman"/>
                      <w:color w:val="auto"/>
                      <w:szCs w:val="21"/>
                      <w:highlight w:val="none"/>
                    </w:rPr>
                    <w:t>离心机</w:t>
                  </w:r>
                </w:p>
              </w:tc>
              <w:tc>
                <w:tcPr>
                  <w:tcW w:w="744" w:type="dxa"/>
                  <w:noWrap w:val="0"/>
                  <w:vAlign w:val="center"/>
                </w:tcPr>
                <w:p w14:paraId="46DAF03C">
                  <w:pPr>
                    <w:jc w:val="center"/>
                    <w:rPr>
                      <w:rFonts w:hint="default" w:ascii="Times New Roman" w:hAnsi="Times New Roman" w:cs="Times New Roman"/>
                      <w:color w:val="auto"/>
                      <w:szCs w:val="21"/>
                      <w:highlight w:val="none"/>
                      <w:lang w:val="en-US"/>
                    </w:rPr>
                  </w:pPr>
                  <w:r>
                    <w:rPr>
                      <w:rFonts w:hint="default" w:ascii="Times New Roman" w:hAnsi="Times New Roman" w:cs="Times New Roman"/>
                      <w:color w:val="auto"/>
                      <w:szCs w:val="21"/>
                      <w:highlight w:val="none"/>
                    </w:rPr>
                    <w:t>1台</w:t>
                  </w:r>
                </w:p>
              </w:tc>
              <w:tc>
                <w:tcPr>
                  <w:tcW w:w="1182" w:type="dxa"/>
                  <w:noWrap w:val="0"/>
                  <w:vAlign w:val="center"/>
                </w:tcPr>
                <w:p w14:paraId="0589D747">
                  <w:pPr>
                    <w:adjustRightInd w:val="0"/>
                    <w:jc w:val="center"/>
                    <w:textAlignment w:val="baseline"/>
                    <w:rPr>
                      <w:rFonts w:hint="default" w:ascii="Times New Roman" w:hAnsi="Times New Roman" w:cs="Times New Roman"/>
                      <w:color w:val="auto"/>
                      <w:szCs w:val="21"/>
                      <w:highlight w:val="none"/>
                      <w:lang w:val="en-US"/>
                    </w:rPr>
                  </w:pPr>
                  <w:r>
                    <w:rPr>
                      <w:rFonts w:hint="default" w:ascii="Times New Roman" w:hAnsi="Times New Roman" w:cs="Times New Roman"/>
                      <w:color w:val="auto"/>
                      <w:szCs w:val="21"/>
                      <w:highlight w:val="none"/>
                    </w:rPr>
                    <w:t>检测</w:t>
                  </w:r>
                </w:p>
              </w:tc>
              <w:tc>
                <w:tcPr>
                  <w:tcW w:w="2035" w:type="dxa"/>
                  <w:noWrap w:val="0"/>
                  <w:vAlign w:val="center"/>
                </w:tcPr>
                <w:p w14:paraId="37C6DAD7">
                  <w:pPr>
                    <w:jc w:val="center"/>
                    <w:rPr>
                      <w:rFonts w:hint="default" w:ascii="Times New Roman" w:hAnsi="Times New Roman" w:cs="Times New Roman"/>
                      <w:color w:val="auto"/>
                      <w:szCs w:val="21"/>
                      <w:highlight w:val="none"/>
                      <w:lang w:val="en-US"/>
                    </w:rPr>
                  </w:pPr>
                  <w:r>
                    <w:rPr>
                      <w:rFonts w:hint="default" w:ascii="Times New Roman" w:hAnsi="Times New Roman" w:cs="Times New Roman"/>
                      <w:color w:val="auto"/>
                      <w:szCs w:val="21"/>
                      <w:highlight w:val="none"/>
                    </w:rPr>
                    <w:t>H1850</w:t>
                  </w:r>
                </w:p>
              </w:tc>
              <w:tc>
                <w:tcPr>
                  <w:tcW w:w="833" w:type="dxa"/>
                  <w:noWrap w:val="0"/>
                  <w:vAlign w:val="center"/>
                </w:tcPr>
                <w:p w14:paraId="3E38A0BE">
                  <w:pPr>
                    <w:jc w:val="center"/>
                    <w:rPr>
                      <w:rFonts w:hint="default" w:ascii="Times New Roman" w:hAnsi="Times New Roman" w:cs="Times New Roman"/>
                      <w:color w:val="auto"/>
                      <w:szCs w:val="21"/>
                      <w:highlight w:val="none"/>
                      <w:lang w:val="en-US"/>
                    </w:rPr>
                  </w:pPr>
                  <w:r>
                    <w:rPr>
                      <w:rFonts w:hint="default" w:ascii="Times New Roman" w:hAnsi="Times New Roman" w:cs="Times New Roman"/>
                      <w:color w:val="auto"/>
                      <w:szCs w:val="21"/>
                      <w:highlight w:val="none"/>
                    </w:rPr>
                    <w:t>用电</w:t>
                  </w:r>
                </w:p>
              </w:tc>
            </w:tr>
            <w:tr w14:paraId="66362F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8" w:type="dxa"/>
                  <w:noWrap w:val="0"/>
                  <w:vAlign w:val="center"/>
                </w:tcPr>
                <w:p w14:paraId="4AFA7A80">
                  <w:pPr>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18</w:t>
                  </w:r>
                </w:p>
              </w:tc>
              <w:tc>
                <w:tcPr>
                  <w:tcW w:w="2014" w:type="dxa"/>
                  <w:noWrap w:val="0"/>
                  <w:vAlign w:val="center"/>
                </w:tcPr>
                <w:p w14:paraId="508D9440">
                  <w:pPr>
                    <w:jc w:val="center"/>
                    <w:rPr>
                      <w:rFonts w:hint="default" w:ascii="Times New Roman" w:hAnsi="Times New Roman" w:cs="Times New Roman"/>
                      <w:color w:val="auto"/>
                      <w:szCs w:val="21"/>
                      <w:highlight w:val="none"/>
                      <w:lang w:val="en-US"/>
                    </w:rPr>
                  </w:pPr>
                  <w:r>
                    <w:rPr>
                      <w:rFonts w:hint="default" w:ascii="Times New Roman" w:hAnsi="Times New Roman" w:cs="Times New Roman"/>
                      <w:color w:val="auto"/>
                      <w:szCs w:val="21"/>
                      <w:highlight w:val="none"/>
                    </w:rPr>
                    <w:t>磁力搅拌器</w:t>
                  </w:r>
                </w:p>
              </w:tc>
              <w:tc>
                <w:tcPr>
                  <w:tcW w:w="744" w:type="dxa"/>
                  <w:noWrap w:val="0"/>
                  <w:vAlign w:val="center"/>
                </w:tcPr>
                <w:p w14:paraId="05AB97BA">
                  <w:pPr>
                    <w:jc w:val="center"/>
                    <w:rPr>
                      <w:rFonts w:hint="default" w:ascii="Times New Roman" w:hAnsi="Times New Roman" w:cs="Times New Roman"/>
                      <w:color w:val="auto"/>
                      <w:szCs w:val="21"/>
                      <w:highlight w:val="none"/>
                      <w:lang w:val="en-US"/>
                    </w:rPr>
                  </w:pPr>
                  <w:r>
                    <w:rPr>
                      <w:rFonts w:hint="default" w:ascii="Times New Roman" w:hAnsi="Times New Roman" w:cs="Times New Roman"/>
                      <w:color w:val="auto"/>
                      <w:szCs w:val="21"/>
                      <w:highlight w:val="none"/>
                    </w:rPr>
                    <w:t>1台</w:t>
                  </w:r>
                </w:p>
              </w:tc>
              <w:tc>
                <w:tcPr>
                  <w:tcW w:w="1182" w:type="dxa"/>
                  <w:noWrap w:val="0"/>
                  <w:vAlign w:val="center"/>
                </w:tcPr>
                <w:p w14:paraId="6E6519EB">
                  <w:pPr>
                    <w:adjustRightInd w:val="0"/>
                    <w:jc w:val="center"/>
                    <w:textAlignment w:val="baseline"/>
                    <w:rPr>
                      <w:rFonts w:hint="default" w:ascii="Times New Roman" w:hAnsi="Times New Roman" w:cs="Times New Roman"/>
                      <w:color w:val="auto"/>
                      <w:szCs w:val="21"/>
                      <w:highlight w:val="none"/>
                      <w:lang w:val="en-US"/>
                    </w:rPr>
                  </w:pPr>
                  <w:r>
                    <w:rPr>
                      <w:rFonts w:hint="default" w:ascii="Times New Roman" w:hAnsi="Times New Roman" w:cs="Times New Roman"/>
                      <w:color w:val="auto"/>
                      <w:szCs w:val="21"/>
                      <w:highlight w:val="none"/>
                    </w:rPr>
                    <w:t>检测</w:t>
                  </w:r>
                </w:p>
              </w:tc>
              <w:tc>
                <w:tcPr>
                  <w:tcW w:w="2035" w:type="dxa"/>
                  <w:noWrap w:val="0"/>
                  <w:vAlign w:val="center"/>
                </w:tcPr>
                <w:p w14:paraId="56845CE1">
                  <w:pPr>
                    <w:jc w:val="center"/>
                    <w:rPr>
                      <w:rFonts w:hint="default" w:ascii="Times New Roman" w:hAnsi="Times New Roman" w:cs="Times New Roman"/>
                      <w:color w:val="auto"/>
                      <w:szCs w:val="21"/>
                      <w:highlight w:val="none"/>
                      <w:lang w:val="en-US"/>
                    </w:rPr>
                  </w:pPr>
                  <w:r>
                    <w:rPr>
                      <w:rFonts w:hint="default" w:ascii="Times New Roman" w:hAnsi="Times New Roman" w:cs="Times New Roman"/>
                      <w:color w:val="auto"/>
                      <w:szCs w:val="21"/>
                      <w:highlight w:val="none"/>
                    </w:rPr>
                    <w:t>JB-3A</w:t>
                  </w:r>
                </w:p>
              </w:tc>
              <w:tc>
                <w:tcPr>
                  <w:tcW w:w="833" w:type="dxa"/>
                  <w:noWrap w:val="0"/>
                  <w:vAlign w:val="center"/>
                </w:tcPr>
                <w:p w14:paraId="64830370">
                  <w:pPr>
                    <w:jc w:val="center"/>
                    <w:rPr>
                      <w:rFonts w:hint="default" w:ascii="Times New Roman" w:hAnsi="Times New Roman" w:cs="Times New Roman"/>
                      <w:color w:val="auto"/>
                      <w:szCs w:val="21"/>
                      <w:highlight w:val="none"/>
                      <w:lang w:val="en-US"/>
                    </w:rPr>
                  </w:pPr>
                  <w:r>
                    <w:rPr>
                      <w:rFonts w:hint="default" w:ascii="Times New Roman" w:hAnsi="Times New Roman" w:cs="Times New Roman"/>
                      <w:color w:val="auto"/>
                      <w:szCs w:val="21"/>
                      <w:highlight w:val="none"/>
                    </w:rPr>
                    <w:t>用电</w:t>
                  </w:r>
                </w:p>
              </w:tc>
            </w:tr>
            <w:tr w14:paraId="02A4D3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568" w:type="dxa"/>
                  <w:noWrap w:val="0"/>
                  <w:vAlign w:val="center"/>
                </w:tcPr>
                <w:p w14:paraId="07D96467">
                  <w:pPr>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19</w:t>
                  </w:r>
                </w:p>
              </w:tc>
              <w:tc>
                <w:tcPr>
                  <w:tcW w:w="2014" w:type="dxa"/>
                  <w:noWrap w:val="0"/>
                  <w:vAlign w:val="center"/>
                </w:tcPr>
                <w:p w14:paraId="7FC831C8">
                  <w:pPr>
                    <w:jc w:val="center"/>
                    <w:rPr>
                      <w:rFonts w:hint="default" w:ascii="Times New Roman" w:hAnsi="Times New Roman" w:cs="Times New Roman"/>
                      <w:color w:val="auto"/>
                      <w:szCs w:val="21"/>
                      <w:highlight w:val="none"/>
                      <w:lang w:val="en-US"/>
                    </w:rPr>
                  </w:pPr>
                  <w:r>
                    <w:rPr>
                      <w:rFonts w:hint="default" w:ascii="Times New Roman" w:hAnsi="Times New Roman" w:cs="Times New Roman"/>
                      <w:color w:val="auto"/>
                      <w:szCs w:val="21"/>
                      <w:highlight w:val="none"/>
                    </w:rPr>
                    <w:t>高温电炉（马弗炉）</w:t>
                  </w:r>
                </w:p>
              </w:tc>
              <w:tc>
                <w:tcPr>
                  <w:tcW w:w="744" w:type="dxa"/>
                  <w:noWrap w:val="0"/>
                  <w:vAlign w:val="center"/>
                </w:tcPr>
                <w:p w14:paraId="0C2BB062">
                  <w:pPr>
                    <w:jc w:val="center"/>
                    <w:rPr>
                      <w:rFonts w:hint="default" w:ascii="Times New Roman" w:hAnsi="Times New Roman" w:cs="Times New Roman"/>
                      <w:color w:val="auto"/>
                      <w:szCs w:val="21"/>
                      <w:highlight w:val="none"/>
                      <w:lang w:val="en-US"/>
                    </w:rPr>
                  </w:pPr>
                  <w:r>
                    <w:rPr>
                      <w:rFonts w:hint="default" w:ascii="Times New Roman" w:hAnsi="Times New Roman" w:cs="Times New Roman"/>
                      <w:color w:val="auto"/>
                      <w:szCs w:val="21"/>
                      <w:highlight w:val="none"/>
                    </w:rPr>
                    <w:t>1台</w:t>
                  </w:r>
                </w:p>
              </w:tc>
              <w:tc>
                <w:tcPr>
                  <w:tcW w:w="1182" w:type="dxa"/>
                  <w:noWrap w:val="0"/>
                  <w:vAlign w:val="center"/>
                </w:tcPr>
                <w:p w14:paraId="39D28429">
                  <w:pPr>
                    <w:adjustRightInd w:val="0"/>
                    <w:jc w:val="center"/>
                    <w:textAlignment w:val="baseline"/>
                    <w:rPr>
                      <w:rFonts w:hint="default" w:ascii="Times New Roman" w:hAnsi="Times New Roman" w:cs="Times New Roman"/>
                      <w:color w:val="auto"/>
                      <w:szCs w:val="21"/>
                      <w:highlight w:val="none"/>
                      <w:lang w:val="en-US"/>
                    </w:rPr>
                  </w:pPr>
                  <w:r>
                    <w:rPr>
                      <w:rFonts w:hint="default" w:ascii="Times New Roman" w:hAnsi="Times New Roman" w:cs="Times New Roman"/>
                      <w:color w:val="auto"/>
                      <w:szCs w:val="21"/>
                      <w:highlight w:val="none"/>
                    </w:rPr>
                    <w:t>检测</w:t>
                  </w:r>
                </w:p>
              </w:tc>
              <w:tc>
                <w:tcPr>
                  <w:tcW w:w="2035" w:type="dxa"/>
                  <w:noWrap w:val="0"/>
                  <w:vAlign w:val="center"/>
                </w:tcPr>
                <w:p w14:paraId="13E28B1B">
                  <w:pPr>
                    <w:jc w:val="center"/>
                    <w:rPr>
                      <w:rFonts w:hint="default" w:ascii="Times New Roman" w:hAnsi="Times New Roman" w:cs="Times New Roman"/>
                      <w:color w:val="auto"/>
                      <w:szCs w:val="21"/>
                      <w:highlight w:val="none"/>
                      <w:lang w:val="en-US"/>
                    </w:rPr>
                  </w:pPr>
                  <w:r>
                    <w:rPr>
                      <w:rFonts w:hint="default" w:ascii="Times New Roman" w:hAnsi="Times New Roman" w:cs="Times New Roman"/>
                      <w:color w:val="auto"/>
                      <w:szCs w:val="21"/>
                      <w:highlight w:val="none"/>
                    </w:rPr>
                    <w:t>SX2-2.5-10TZ</w:t>
                  </w:r>
                </w:p>
              </w:tc>
              <w:tc>
                <w:tcPr>
                  <w:tcW w:w="833" w:type="dxa"/>
                  <w:noWrap w:val="0"/>
                  <w:vAlign w:val="center"/>
                </w:tcPr>
                <w:p w14:paraId="05B5DAA0">
                  <w:pPr>
                    <w:jc w:val="center"/>
                    <w:rPr>
                      <w:rFonts w:hint="default" w:ascii="Times New Roman" w:hAnsi="Times New Roman" w:cs="Times New Roman"/>
                      <w:color w:val="auto"/>
                      <w:szCs w:val="21"/>
                      <w:highlight w:val="none"/>
                      <w:lang w:val="en-US"/>
                    </w:rPr>
                  </w:pPr>
                  <w:r>
                    <w:rPr>
                      <w:rFonts w:hint="default" w:ascii="Times New Roman" w:hAnsi="Times New Roman" w:cs="Times New Roman"/>
                      <w:color w:val="auto"/>
                      <w:szCs w:val="21"/>
                      <w:highlight w:val="none"/>
                    </w:rPr>
                    <w:t>用电</w:t>
                  </w:r>
                </w:p>
              </w:tc>
            </w:tr>
            <w:tr w14:paraId="7F0AAB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8" w:type="dxa"/>
                  <w:noWrap w:val="0"/>
                  <w:vAlign w:val="center"/>
                </w:tcPr>
                <w:p w14:paraId="06506527">
                  <w:pPr>
                    <w:widowControl/>
                    <w:jc w:val="center"/>
                    <w:textAlignment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20</w:t>
                  </w:r>
                </w:p>
              </w:tc>
              <w:tc>
                <w:tcPr>
                  <w:tcW w:w="2014" w:type="dxa"/>
                  <w:noWrap w:val="0"/>
                  <w:vAlign w:val="center"/>
                </w:tcPr>
                <w:p w14:paraId="52AC9B08">
                  <w:pPr>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rPr>
                    <w:t>土壤筛</w:t>
                  </w:r>
                </w:p>
              </w:tc>
              <w:tc>
                <w:tcPr>
                  <w:tcW w:w="744" w:type="dxa"/>
                  <w:noWrap w:val="0"/>
                  <w:vAlign w:val="center"/>
                </w:tcPr>
                <w:p w14:paraId="3C2064A8">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rPr>
                    <w:t>1台</w:t>
                  </w:r>
                </w:p>
              </w:tc>
              <w:tc>
                <w:tcPr>
                  <w:tcW w:w="1182" w:type="dxa"/>
                  <w:noWrap w:val="0"/>
                  <w:vAlign w:val="center"/>
                </w:tcPr>
                <w:p w14:paraId="0E105894">
                  <w:pPr>
                    <w:adjustRightInd w:val="0"/>
                    <w:jc w:val="center"/>
                    <w:textAlignment w:val="baseline"/>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rPr>
                    <w:t>检测</w:t>
                  </w:r>
                </w:p>
              </w:tc>
              <w:tc>
                <w:tcPr>
                  <w:tcW w:w="2035" w:type="dxa"/>
                  <w:noWrap w:val="0"/>
                  <w:vAlign w:val="center"/>
                </w:tcPr>
                <w:p w14:paraId="0E642658">
                  <w:pPr>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rPr>
                    <w:t>18、30、50、60.80、100.150目</w:t>
                  </w:r>
                </w:p>
              </w:tc>
              <w:tc>
                <w:tcPr>
                  <w:tcW w:w="833" w:type="dxa"/>
                  <w:noWrap w:val="0"/>
                  <w:vAlign w:val="center"/>
                </w:tcPr>
                <w:p w14:paraId="3EDD6552">
                  <w:pPr>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rPr>
                    <w:t>用电</w:t>
                  </w:r>
                </w:p>
              </w:tc>
            </w:tr>
            <w:tr w14:paraId="0151E0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8" w:type="dxa"/>
                  <w:noWrap w:val="0"/>
                  <w:vAlign w:val="center"/>
                </w:tcPr>
                <w:p w14:paraId="5E21710F">
                  <w:pPr>
                    <w:widowControl/>
                    <w:jc w:val="center"/>
                    <w:textAlignment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21</w:t>
                  </w:r>
                </w:p>
              </w:tc>
              <w:tc>
                <w:tcPr>
                  <w:tcW w:w="2014" w:type="dxa"/>
                  <w:noWrap w:val="0"/>
                  <w:vAlign w:val="center"/>
                </w:tcPr>
                <w:p w14:paraId="0AF3E828">
                  <w:pPr>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rPr>
                    <w:t>台秤</w:t>
                  </w:r>
                </w:p>
              </w:tc>
              <w:tc>
                <w:tcPr>
                  <w:tcW w:w="744" w:type="dxa"/>
                  <w:noWrap w:val="0"/>
                  <w:vAlign w:val="center"/>
                </w:tcPr>
                <w:p w14:paraId="2783400B">
                  <w:pPr>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rPr>
                    <w:t>1台</w:t>
                  </w:r>
                </w:p>
              </w:tc>
              <w:tc>
                <w:tcPr>
                  <w:tcW w:w="1182" w:type="dxa"/>
                  <w:noWrap w:val="0"/>
                  <w:vAlign w:val="center"/>
                </w:tcPr>
                <w:p w14:paraId="448BA325">
                  <w:pPr>
                    <w:adjustRightInd w:val="0"/>
                    <w:jc w:val="center"/>
                    <w:textAlignment w:val="baseline"/>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rPr>
                    <w:t>检测</w:t>
                  </w:r>
                </w:p>
              </w:tc>
              <w:tc>
                <w:tcPr>
                  <w:tcW w:w="2035" w:type="dxa"/>
                  <w:noWrap w:val="0"/>
                  <w:vAlign w:val="center"/>
                </w:tcPr>
                <w:p w14:paraId="29F60521">
                  <w:pPr>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rPr>
                    <w:t>JJIOKA(10KG,0.1G)</w:t>
                  </w:r>
                </w:p>
              </w:tc>
              <w:tc>
                <w:tcPr>
                  <w:tcW w:w="833" w:type="dxa"/>
                  <w:noWrap w:val="0"/>
                  <w:vAlign w:val="center"/>
                </w:tcPr>
                <w:p w14:paraId="1113BF12">
                  <w:pPr>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rPr>
                    <w:t>用电</w:t>
                  </w:r>
                </w:p>
              </w:tc>
            </w:tr>
            <w:tr w14:paraId="31B4C0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8" w:type="dxa"/>
                  <w:noWrap w:val="0"/>
                  <w:vAlign w:val="center"/>
                </w:tcPr>
                <w:p w14:paraId="4916FD53">
                  <w:pPr>
                    <w:widowControl/>
                    <w:jc w:val="center"/>
                    <w:textAlignment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22</w:t>
                  </w:r>
                </w:p>
              </w:tc>
              <w:tc>
                <w:tcPr>
                  <w:tcW w:w="2014" w:type="dxa"/>
                  <w:noWrap w:val="0"/>
                  <w:vAlign w:val="center"/>
                </w:tcPr>
                <w:p w14:paraId="3B4BF5E0">
                  <w:pPr>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rPr>
                    <w:t>土壤研磨机</w:t>
                  </w:r>
                </w:p>
              </w:tc>
              <w:tc>
                <w:tcPr>
                  <w:tcW w:w="744" w:type="dxa"/>
                  <w:noWrap w:val="0"/>
                  <w:vAlign w:val="center"/>
                </w:tcPr>
                <w:p w14:paraId="5C1FF955">
                  <w:pPr>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rPr>
                    <w:t>1台</w:t>
                  </w:r>
                </w:p>
              </w:tc>
              <w:tc>
                <w:tcPr>
                  <w:tcW w:w="1182" w:type="dxa"/>
                  <w:noWrap w:val="0"/>
                  <w:vAlign w:val="center"/>
                </w:tcPr>
                <w:p w14:paraId="2C7375E7">
                  <w:pPr>
                    <w:adjustRightInd w:val="0"/>
                    <w:jc w:val="center"/>
                    <w:textAlignment w:val="baseline"/>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rPr>
                    <w:t>检测</w:t>
                  </w:r>
                </w:p>
              </w:tc>
              <w:tc>
                <w:tcPr>
                  <w:tcW w:w="2035" w:type="dxa"/>
                  <w:noWrap w:val="0"/>
                  <w:vAlign w:val="center"/>
                </w:tcPr>
                <w:p w14:paraId="4D10657A">
                  <w:pPr>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rPr>
                    <w:t>JX-2G</w:t>
                  </w:r>
                </w:p>
              </w:tc>
              <w:tc>
                <w:tcPr>
                  <w:tcW w:w="833" w:type="dxa"/>
                  <w:noWrap w:val="0"/>
                  <w:vAlign w:val="center"/>
                </w:tcPr>
                <w:p w14:paraId="24C77E60">
                  <w:pPr>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rPr>
                    <w:t>用电</w:t>
                  </w:r>
                </w:p>
              </w:tc>
            </w:tr>
            <w:tr w14:paraId="4B68D6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8" w:type="dxa"/>
                  <w:noWrap w:val="0"/>
                  <w:vAlign w:val="center"/>
                </w:tcPr>
                <w:p w14:paraId="75C567DC">
                  <w:pPr>
                    <w:widowControl/>
                    <w:jc w:val="center"/>
                    <w:textAlignment w:val="bottom"/>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23</w:t>
                  </w:r>
                </w:p>
              </w:tc>
              <w:tc>
                <w:tcPr>
                  <w:tcW w:w="2014" w:type="dxa"/>
                  <w:noWrap w:val="0"/>
                  <w:vAlign w:val="center"/>
                </w:tcPr>
                <w:p w14:paraId="2581372F">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highlight w:val="none"/>
                    </w:rPr>
                    <w:t>高压灭菌锅</w:t>
                  </w:r>
                </w:p>
              </w:tc>
              <w:tc>
                <w:tcPr>
                  <w:tcW w:w="744" w:type="dxa"/>
                  <w:noWrap w:val="0"/>
                  <w:vAlign w:val="center"/>
                </w:tcPr>
                <w:p w14:paraId="12730865">
                  <w:pPr>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rPr>
                    <w:t>1台</w:t>
                  </w:r>
                </w:p>
              </w:tc>
              <w:tc>
                <w:tcPr>
                  <w:tcW w:w="1182" w:type="dxa"/>
                  <w:noWrap w:val="0"/>
                  <w:vAlign w:val="center"/>
                </w:tcPr>
                <w:p w14:paraId="37577945">
                  <w:pPr>
                    <w:adjustRightInd w:val="0"/>
                    <w:jc w:val="center"/>
                    <w:textAlignment w:val="baseline"/>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rPr>
                    <w:t>检测</w:t>
                  </w:r>
                </w:p>
              </w:tc>
              <w:tc>
                <w:tcPr>
                  <w:tcW w:w="2035" w:type="dxa"/>
                  <w:noWrap w:val="0"/>
                  <w:vAlign w:val="center"/>
                </w:tcPr>
                <w:p w14:paraId="4B5B68E2">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highlight w:val="none"/>
                    </w:rPr>
                    <w:t>-</w:t>
                  </w:r>
                </w:p>
              </w:tc>
              <w:tc>
                <w:tcPr>
                  <w:tcW w:w="833" w:type="dxa"/>
                  <w:noWrap w:val="0"/>
                  <w:vAlign w:val="center"/>
                </w:tcPr>
                <w:p w14:paraId="25361463">
                  <w:pPr>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rPr>
                    <w:t>用电</w:t>
                  </w:r>
                </w:p>
              </w:tc>
            </w:tr>
            <w:tr w14:paraId="380DC4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8" w:type="dxa"/>
                  <w:noWrap w:val="0"/>
                  <w:vAlign w:val="center"/>
                </w:tcPr>
                <w:p w14:paraId="6B93C16D">
                  <w:pPr>
                    <w:widowControl/>
                    <w:jc w:val="center"/>
                    <w:textAlignment w:val="bottom"/>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24</w:t>
                  </w:r>
                </w:p>
              </w:tc>
              <w:tc>
                <w:tcPr>
                  <w:tcW w:w="2014" w:type="dxa"/>
                  <w:noWrap w:val="0"/>
                  <w:vAlign w:val="center"/>
                </w:tcPr>
                <w:p w14:paraId="673DFFBE">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highlight w:val="none"/>
                    </w:rPr>
                    <w:t>超声波清洗器</w:t>
                  </w:r>
                </w:p>
              </w:tc>
              <w:tc>
                <w:tcPr>
                  <w:tcW w:w="744" w:type="dxa"/>
                  <w:noWrap w:val="0"/>
                  <w:vAlign w:val="center"/>
                </w:tcPr>
                <w:p w14:paraId="37BDDE8C">
                  <w:pPr>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rPr>
                    <w:t>1台</w:t>
                  </w:r>
                </w:p>
              </w:tc>
              <w:tc>
                <w:tcPr>
                  <w:tcW w:w="1182" w:type="dxa"/>
                  <w:noWrap w:val="0"/>
                  <w:vAlign w:val="center"/>
                </w:tcPr>
                <w:p w14:paraId="7432D207">
                  <w:pPr>
                    <w:adjustRightInd w:val="0"/>
                    <w:jc w:val="center"/>
                    <w:textAlignment w:val="baseline"/>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rPr>
                    <w:t>检测</w:t>
                  </w:r>
                </w:p>
              </w:tc>
              <w:tc>
                <w:tcPr>
                  <w:tcW w:w="2035" w:type="dxa"/>
                  <w:noWrap w:val="0"/>
                  <w:vAlign w:val="center"/>
                </w:tcPr>
                <w:p w14:paraId="492A4CF6">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highlight w:val="none"/>
                    </w:rPr>
                    <w:t>JP-070S</w:t>
                  </w:r>
                </w:p>
              </w:tc>
              <w:tc>
                <w:tcPr>
                  <w:tcW w:w="833" w:type="dxa"/>
                  <w:noWrap w:val="0"/>
                  <w:vAlign w:val="center"/>
                </w:tcPr>
                <w:p w14:paraId="7267E81A">
                  <w:pPr>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rPr>
                    <w:t>用电</w:t>
                  </w:r>
                </w:p>
              </w:tc>
            </w:tr>
            <w:tr w14:paraId="156263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8" w:type="dxa"/>
                  <w:noWrap w:val="0"/>
                  <w:vAlign w:val="center"/>
                </w:tcPr>
                <w:p w14:paraId="3BC79161">
                  <w:pPr>
                    <w:widowControl/>
                    <w:jc w:val="center"/>
                    <w:textAlignment w:val="bottom"/>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25</w:t>
                  </w:r>
                </w:p>
              </w:tc>
              <w:tc>
                <w:tcPr>
                  <w:tcW w:w="2014" w:type="dxa"/>
                  <w:noWrap w:val="0"/>
                  <w:vAlign w:val="center"/>
                </w:tcPr>
                <w:p w14:paraId="7A610BE3">
                  <w:pPr>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highlight w:val="none"/>
                    </w:rPr>
                    <w:t>土壤水分检测仪</w:t>
                  </w:r>
                </w:p>
              </w:tc>
              <w:tc>
                <w:tcPr>
                  <w:tcW w:w="744" w:type="dxa"/>
                  <w:noWrap w:val="0"/>
                  <w:vAlign w:val="center"/>
                </w:tcPr>
                <w:p w14:paraId="055353D1">
                  <w:pPr>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rPr>
                    <w:t>1台</w:t>
                  </w:r>
                </w:p>
              </w:tc>
              <w:tc>
                <w:tcPr>
                  <w:tcW w:w="1182" w:type="dxa"/>
                  <w:noWrap w:val="0"/>
                  <w:vAlign w:val="center"/>
                </w:tcPr>
                <w:p w14:paraId="6ADB0AC9">
                  <w:pPr>
                    <w:adjustRightInd w:val="0"/>
                    <w:jc w:val="center"/>
                    <w:textAlignment w:val="baseline"/>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rPr>
                    <w:t>检测</w:t>
                  </w:r>
                </w:p>
              </w:tc>
              <w:tc>
                <w:tcPr>
                  <w:tcW w:w="2035" w:type="dxa"/>
                  <w:noWrap w:val="0"/>
                  <w:vAlign w:val="center"/>
                </w:tcPr>
                <w:p w14:paraId="2FF045E5">
                  <w:pPr>
                    <w:jc w:val="center"/>
                    <w:rPr>
                      <w:rFonts w:hint="default" w:ascii="Times New Roman" w:hAnsi="Times New Roman" w:cs="Times New Roman"/>
                      <w:i/>
                      <w:iCs/>
                      <w:color w:val="auto"/>
                      <w:kern w:val="0"/>
                      <w:sz w:val="21"/>
                      <w:szCs w:val="21"/>
                      <w:highlight w:val="none"/>
                      <w:lang w:val="en-US" w:eastAsia="zh-CN" w:bidi="ar"/>
                    </w:rPr>
                  </w:pPr>
                  <w:r>
                    <w:rPr>
                      <w:rFonts w:hint="default" w:ascii="Times New Roman" w:hAnsi="Times New Roman" w:cs="Times New Roman"/>
                      <w:color w:val="auto"/>
                      <w:highlight w:val="none"/>
                    </w:rPr>
                    <w:t>JK-100F</w:t>
                  </w:r>
                </w:p>
              </w:tc>
              <w:tc>
                <w:tcPr>
                  <w:tcW w:w="833" w:type="dxa"/>
                  <w:noWrap w:val="0"/>
                  <w:vAlign w:val="center"/>
                </w:tcPr>
                <w:p w14:paraId="5CE5B1A9">
                  <w:pPr>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rPr>
                    <w:t>用电</w:t>
                  </w:r>
                </w:p>
              </w:tc>
            </w:tr>
            <w:tr w14:paraId="22C141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8" w:type="dxa"/>
                  <w:noWrap w:val="0"/>
                  <w:vAlign w:val="center"/>
                </w:tcPr>
                <w:p w14:paraId="402787B1">
                  <w:pPr>
                    <w:widowControl/>
                    <w:jc w:val="center"/>
                    <w:textAlignment w:val="bottom"/>
                    <w:rPr>
                      <w:rFonts w:hint="default" w:ascii="Times New Roman" w:hAnsi="Times New Roman" w:eastAsia="宋体" w:cs="Times New Roman"/>
                      <w:color w:val="auto"/>
                      <w:kern w:val="0"/>
                      <w:szCs w:val="21"/>
                      <w:highlight w:val="none"/>
                      <w:lang w:val="en-US" w:eastAsia="zh-CN" w:bidi="ar"/>
                    </w:rPr>
                  </w:pPr>
                  <w:r>
                    <w:rPr>
                      <w:rFonts w:hint="eastAsia" w:cs="Times New Roman"/>
                      <w:color w:val="auto"/>
                      <w:kern w:val="0"/>
                      <w:szCs w:val="21"/>
                      <w:highlight w:val="none"/>
                      <w:lang w:val="en-US" w:eastAsia="zh-CN" w:bidi="ar"/>
                    </w:rPr>
                    <w:t>26</w:t>
                  </w:r>
                </w:p>
              </w:tc>
              <w:tc>
                <w:tcPr>
                  <w:tcW w:w="2014" w:type="dxa"/>
                  <w:noWrap w:val="0"/>
                  <w:vAlign w:val="center"/>
                </w:tcPr>
                <w:p w14:paraId="7EE5285A">
                  <w:pPr>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气相色谱仪</w:t>
                  </w:r>
                </w:p>
              </w:tc>
              <w:tc>
                <w:tcPr>
                  <w:tcW w:w="744" w:type="dxa"/>
                  <w:noWrap w:val="0"/>
                  <w:vAlign w:val="center"/>
                </w:tcPr>
                <w:p w14:paraId="09A497E3">
                  <w:pPr>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2台</w:t>
                  </w:r>
                </w:p>
              </w:tc>
              <w:tc>
                <w:tcPr>
                  <w:tcW w:w="1182" w:type="dxa"/>
                  <w:noWrap w:val="0"/>
                  <w:vAlign w:val="center"/>
                </w:tcPr>
                <w:p w14:paraId="4C38CC80">
                  <w:pPr>
                    <w:adjustRightInd w:val="0"/>
                    <w:jc w:val="center"/>
                    <w:textAlignment w:val="baseline"/>
                    <w:rPr>
                      <w:rFonts w:hint="eastAsia"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检测</w:t>
                  </w:r>
                </w:p>
              </w:tc>
              <w:tc>
                <w:tcPr>
                  <w:tcW w:w="2035" w:type="dxa"/>
                  <w:noWrap w:val="0"/>
                  <w:vAlign w:val="center"/>
                </w:tcPr>
                <w:p w14:paraId="06031575">
                  <w:pPr>
                    <w:jc w:val="center"/>
                    <w:rPr>
                      <w:rFonts w:hint="eastAsia" w:ascii="Times New Roman" w:hAnsi="Times New Roman" w:eastAsia="宋体" w:cs="Times New Roman"/>
                      <w:color w:val="auto"/>
                      <w:highlight w:val="none"/>
                      <w:lang w:val="en-US" w:eastAsia="zh-CN"/>
                    </w:rPr>
                  </w:pPr>
                  <w:r>
                    <w:rPr>
                      <w:rFonts w:hint="eastAsia" w:cs="Times New Roman"/>
                      <w:color w:val="auto"/>
                      <w:highlight w:val="none"/>
                      <w:lang w:val="en-US" w:eastAsia="zh-CN"/>
                    </w:rPr>
                    <w:t>/</w:t>
                  </w:r>
                </w:p>
              </w:tc>
              <w:tc>
                <w:tcPr>
                  <w:tcW w:w="833" w:type="dxa"/>
                  <w:noWrap w:val="0"/>
                  <w:vAlign w:val="center"/>
                </w:tcPr>
                <w:p w14:paraId="7E9719D3">
                  <w:pPr>
                    <w:jc w:val="center"/>
                    <w:rPr>
                      <w:rFonts w:hint="eastAsia"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用电</w:t>
                  </w:r>
                </w:p>
              </w:tc>
            </w:tr>
            <w:tr w14:paraId="4AF0B8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8" w:type="dxa"/>
                  <w:noWrap w:val="0"/>
                  <w:vAlign w:val="center"/>
                </w:tcPr>
                <w:p w14:paraId="6D994302">
                  <w:pPr>
                    <w:widowControl/>
                    <w:jc w:val="center"/>
                    <w:textAlignment w:val="bottom"/>
                    <w:rPr>
                      <w:rFonts w:hint="default" w:cs="Times New Roman"/>
                      <w:color w:val="auto"/>
                      <w:kern w:val="0"/>
                      <w:szCs w:val="21"/>
                      <w:highlight w:val="none"/>
                      <w:lang w:val="en-US" w:eastAsia="zh-CN" w:bidi="ar"/>
                    </w:rPr>
                  </w:pPr>
                  <w:r>
                    <w:rPr>
                      <w:rFonts w:hint="eastAsia" w:cs="Times New Roman"/>
                      <w:color w:val="auto"/>
                      <w:kern w:val="0"/>
                      <w:szCs w:val="21"/>
                      <w:highlight w:val="none"/>
                      <w:lang w:val="en-US" w:eastAsia="zh-CN" w:bidi="ar"/>
                    </w:rPr>
                    <w:t>27</w:t>
                  </w:r>
                </w:p>
              </w:tc>
              <w:tc>
                <w:tcPr>
                  <w:tcW w:w="2014" w:type="dxa"/>
                  <w:noWrap w:val="0"/>
                  <w:vAlign w:val="center"/>
                </w:tcPr>
                <w:p w14:paraId="56B770E9">
                  <w:pPr>
                    <w:jc w:val="center"/>
                    <w:rPr>
                      <w:rFonts w:hint="default" w:cs="Times New Roman"/>
                      <w:color w:val="auto"/>
                      <w:highlight w:val="none"/>
                      <w:lang w:val="en-US" w:eastAsia="zh-CN"/>
                    </w:rPr>
                  </w:pPr>
                  <w:r>
                    <w:rPr>
                      <w:rFonts w:hint="eastAsia" w:cs="Times New Roman"/>
                      <w:color w:val="auto"/>
                      <w:highlight w:val="none"/>
                      <w:lang w:val="en-US" w:eastAsia="zh-CN"/>
                    </w:rPr>
                    <w:t>纯水机</w:t>
                  </w:r>
                </w:p>
              </w:tc>
              <w:tc>
                <w:tcPr>
                  <w:tcW w:w="744" w:type="dxa"/>
                  <w:noWrap w:val="0"/>
                  <w:vAlign w:val="center"/>
                </w:tcPr>
                <w:p w14:paraId="55ACF7A8">
                  <w:pPr>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1台</w:t>
                  </w:r>
                </w:p>
              </w:tc>
              <w:tc>
                <w:tcPr>
                  <w:tcW w:w="1182" w:type="dxa"/>
                  <w:noWrap w:val="0"/>
                  <w:vAlign w:val="center"/>
                </w:tcPr>
                <w:p w14:paraId="14223A0F">
                  <w:pPr>
                    <w:adjustRightInd w:val="0"/>
                    <w:jc w:val="center"/>
                    <w:textAlignment w:val="baseline"/>
                    <w:rPr>
                      <w:rFonts w:hint="default" w:cs="Times New Roman"/>
                      <w:color w:val="auto"/>
                      <w:szCs w:val="21"/>
                      <w:highlight w:val="none"/>
                      <w:lang w:val="en-US" w:eastAsia="zh-CN"/>
                    </w:rPr>
                  </w:pPr>
                  <w:r>
                    <w:rPr>
                      <w:rFonts w:hint="eastAsia" w:cs="Times New Roman"/>
                      <w:color w:val="auto"/>
                      <w:szCs w:val="21"/>
                      <w:highlight w:val="none"/>
                      <w:lang w:val="en-US" w:eastAsia="zh-CN"/>
                    </w:rPr>
                    <w:t>制纯水</w:t>
                  </w:r>
                </w:p>
              </w:tc>
              <w:tc>
                <w:tcPr>
                  <w:tcW w:w="2035" w:type="dxa"/>
                  <w:noWrap w:val="0"/>
                  <w:vAlign w:val="center"/>
                </w:tcPr>
                <w:p w14:paraId="78C857EA">
                  <w:pPr>
                    <w:jc w:val="center"/>
                    <w:rPr>
                      <w:rFonts w:hint="default" w:cs="Times New Roman"/>
                      <w:color w:val="auto"/>
                      <w:highlight w:val="none"/>
                      <w:lang w:val="en-US" w:eastAsia="zh-CN"/>
                    </w:rPr>
                  </w:pPr>
                  <w:r>
                    <w:rPr>
                      <w:rFonts w:hint="eastAsia"/>
                      <w:color w:val="auto"/>
                      <w:highlight w:val="none"/>
                      <w:lang w:val="en-US" w:eastAsia="zh-CN"/>
                    </w:rPr>
                    <w:t>0.02</w:t>
                  </w:r>
                  <w:r>
                    <w:rPr>
                      <w:rFonts w:hint="eastAsia" w:cs="Times New Roman"/>
                      <w:color w:val="auto"/>
                      <w:highlight w:val="none"/>
                      <w:lang w:val="en-US" w:eastAsia="zh-CN"/>
                    </w:rPr>
                    <w:t>t/h</w:t>
                  </w:r>
                </w:p>
              </w:tc>
              <w:tc>
                <w:tcPr>
                  <w:tcW w:w="833" w:type="dxa"/>
                  <w:noWrap w:val="0"/>
                  <w:vAlign w:val="center"/>
                </w:tcPr>
                <w:p w14:paraId="2A56D449">
                  <w:pPr>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用电</w:t>
                  </w:r>
                </w:p>
              </w:tc>
            </w:tr>
          </w:tbl>
          <w:p w14:paraId="28A24183">
            <w:pPr>
              <w:keepNext w:val="0"/>
              <w:keepLines w:val="0"/>
              <w:pageBreakBefore w:val="0"/>
              <w:widowControl w:val="0"/>
              <w:numPr>
                <w:ilvl w:val="0"/>
                <w:numId w:val="0"/>
              </w:numPr>
              <w:shd w:val="clear"/>
              <w:kinsoku/>
              <w:bidi w:val="0"/>
              <w:adjustRightInd w:val="0"/>
              <w:snapToGrid w:val="0"/>
              <w:spacing w:line="360" w:lineRule="auto"/>
              <w:ind w:right="0" w:firstLine="482" w:firstLineChars="200"/>
              <w:jc w:val="both"/>
              <w:rPr>
                <w:rFonts w:hint="default" w:ascii="Times New Roman" w:hAnsi="Times New Roman" w:eastAsia="宋体" w:cs="Times New Roman"/>
                <w:b/>
                <w:bCs w:val="0"/>
                <w:color w:val="auto"/>
                <w:sz w:val="24"/>
                <w:szCs w:val="24"/>
                <w:highlight w:val="none"/>
                <w:lang w:val="en-US" w:eastAsia="zh-CN"/>
              </w:rPr>
            </w:pPr>
            <w:r>
              <w:rPr>
                <w:rFonts w:hint="default" w:ascii="Times New Roman" w:hAnsi="Times New Roman" w:eastAsia="宋体" w:cs="Times New Roman"/>
                <w:b/>
                <w:bCs w:val="0"/>
                <w:color w:val="auto"/>
                <w:sz w:val="24"/>
                <w:szCs w:val="24"/>
                <w:highlight w:val="none"/>
                <w:lang w:val="en-US" w:eastAsia="zh-CN"/>
              </w:rPr>
              <w:t>5、劳动定员及工作制度</w:t>
            </w:r>
          </w:p>
          <w:p w14:paraId="34AA886E">
            <w:pPr>
              <w:keepNext w:val="0"/>
              <w:keepLines w:val="0"/>
              <w:shd w:val="clear"/>
              <w:spacing w:line="360" w:lineRule="auto"/>
              <w:ind w:firstLine="420" w:firstLineChars="200"/>
              <w:rPr>
                <w:rFonts w:hint="default" w:ascii="Times New Roman" w:hAnsi="Times New Roman" w:eastAsia="宋体" w:cs="Times New Roman"/>
                <w:b/>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项目共设员工</w:t>
            </w:r>
            <w:r>
              <w:rPr>
                <w:rFonts w:hint="eastAsia" w:cs="Times New Roman"/>
                <w:color w:val="auto"/>
                <w:sz w:val="21"/>
                <w:szCs w:val="21"/>
                <w:highlight w:val="none"/>
                <w:lang w:val="en-US" w:eastAsia="zh-CN"/>
              </w:rPr>
              <w:t>10</w:t>
            </w:r>
            <w:r>
              <w:rPr>
                <w:rFonts w:hint="default" w:ascii="Times New Roman" w:hAnsi="Times New Roman" w:eastAsia="宋体" w:cs="Times New Roman"/>
                <w:color w:val="auto"/>
                <w:sz w:val="21"/>
                <w:szCs w:val="21"/>
                <w:highlight w:val="none"/>
              </w:rPr>
              <w:t>人，</w:t>
            </w:r>
            <w:r>
              <w:rPr>
                <w:rFonts w:hint="default" w:ascii="Times New Roman" w:hAnsi="Times New Roman" w:eastAsia="宋体" w:cs="Times New Roman"/>
                <w:color w:val="auto"/>
                <w:sz w:val="21"/>
                <w:szCs w:val="21"/>
                <w:highlight w:val="none"/>
                <w:lang w:val="en-US" w:eastAsia="zh-CN"/>
              </w:rPr>
              <w:t>厂内不设食宿，年工作时间300天。每日</w:t>
            </w:r>
            <w:r>
              <w:rPr>
                <w:rFonts w:hint="default" w:ascii="Times New Roman" w:hAnsi="Times New Roman" w:eastAsia="宋体" w:cs="Times New Roman"/>
                <w:color w:val="auto"/>
                <w:sz w:val="21"/>
                <w:szCs w:val="21"/>
                <w:highlight w:val="none"/>
              </w:rPr>
              <w:t>正常工作时间</w:t>
            </w:r>
            <w:r>
              <w:rPr>
                <w:rFonts w:hint="eastAsia" w:cs="Times New Roman"/>
                <w:color w:val="auto"/>
                <w:sz w:val="21"/>
                <w:szCs w:val="21"/>
                <w:highlight w:val="none"/>
                <w:lang w:val="en-US" w:eastAsia="zh-CN"/>
              </w:rPr>
              <w:t>8</w:t>
            </w:r>
            <w:r>
              <w:rPr>
                <w:rFonts w:hint="default" w:ascii="Times New Roman" w:hAnsi="Times New Roman" w:eastAsia="宋体" w:cs="Times New Roman"/>
                <w:color w:val="auto"/>
                <w:sz w:val="21"/>
                <w:szCs w:val="21"/>
                <w:highlight w:val="none"/>
              </w:rPr>
              <w:t>小时（</w:t>
            </w:r>
            <w:r>
              <w:rPr>
                <w:rFonts w:hint="eastAsia" w:cs="Times New Roman"/>
                <w:color w:val="auto"/>
                <w:sz w:val="21"/>
                <w:szCs w:val="21"/>
                <w:highlight w:val="none"/>
                <w:lang w:val="en-US" w:eastAsia="zh-CN"/>
              </w:rPr>
              <w:t>8</w:t>
            </w:r>
            <w:r>
              <w:rPr>
                <w:rFonts w:hint="default" w:ascii="Times New Roman" w:hAnsi="Times New Roman" w:eastAsia="宋体" w:cs="Times New Roman"/>
                <w:color w:val="auto"/>
                <w:sz w:val="21"/>
                <w:szCs w:val="21"/>
                <w:highlight w:val="none"/>
                <w:lang w:val="en-US" w:eastAsia="zh-CN"/>
              </w:rPr>
              <w:t>:00-</w:t>
            </w:r>
            <w:r>
              <w:rPr>
                <w:rFonts w:hint="default" w:ascii="Times New Roman" w:hAnsi="Times New Roman" w:cs="Times New Roman"/>
                <w:color w:val="auto"/>
                <w:sz w:val="21"/>
                <w:szCs w:val="21"/>
                <w:highlight w:val="none"/>
                <w:lang w:val="en-US" w:eastAsia="zh-CN"/>
              </w:rPr>
              <w:t>1</w:t>
            </w:r>
            <w:r>
              <w:rPr>
                <w:rFonts w:hint="eastAsia" w:cs="Times New Roman"/>
                <w:color w:val="auto"/>
                <w:sz w:val="21"/>
                <w:szCs w:val="21"/>
                <w:highlight w:val="none"/>
                <w:lang w:val="en-US" w:eastAsia="zh-CN"/>
              </w:rPr>
              <w:t>2:00</w:t>
            </w:r>
            <w:r>
              <w:rPr>
                <w:rFonts w:hint="default"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14</w:t>
            </w:r>
            <w:r>
              <w:rPr>
                <w:rFonts w:hint="default"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00</w:t>
            </w:r>
            <w:r>
              <w:rPr>
                <w:rFonts w:hint="default"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18</w:t>
            </w:r>
            <w:r>
              <w:rPr>
                <w:rFonts w:hint="default"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00</w:t>
            </w:r>
            <w:r>
              <w:rPr>
                <w:rFonts w:hint="default" w:ascii="Times New Roman" w:hAnsi="Times New Roman" w:eastAsia="宋体" w:cs="Times New Roman"/>
                <w:color w:val="auto"/>
                <w:sz w:val="21"/>
                <w:szCs w:val="21"/>
                <w:highlight w:val="none"/>
              </w:rPr>
              <w:t>）</w:t>
            </w:r>
            <w:r>
              <w:rPr>
                <w:rFonts w:hint="eastAsia" w:cs="Times New Roman"/>
                <w:color w:val="auto"/>
                <w:sz w:val="21"/>
                <w:szCs w:val="21"/>
                <w:highlight w:val="none"/>
                <w:lang w:eastAsia="zh-CN"/>
              </w:rPr>
              <w:t>，</w:t>
            </w:r>
            <w:r>
              <w:rPr>
                <w:rFonts w:hint="eastAsia" w:cs="Times New Roman"/>
                <w:color w:val="auto"/>
                <w:sz w:val="21"/>
                <w:szCs w:val="21"/>
                <w:highlight w:val="none"/>
                <w:lang w:val="en-US" w:eastAsia="zh-CN"/>
              </w:rPr>
              <w:t>不涉及夜间生产</w:t>
            </w:r>
            <w:r>
              <w:rPr>
                <w:rFonts w:hint="default" w:ascii="Times New Roman" w:hAnsi="Times New Roman" w:eastAsia="宋体" w:cs="Times New Roman"/>
                <w:color w:val="auto"/>
                <w:sz w:val="21"/>
                <w:szCs w:val="21"/>
                <w:highlight w:val="none"/>
                <w:lang w:eastAsia="zh-CN"/>
              </w:rPr>
              <w:t>。</w:t>
            </w:r>
          </w:p>
          <w:p w14:paraId="4CD58A2F">
            <w:pPr>
              <w:keepNext w:val="0"/>
              <w:keepLines w:val="0"/>
              <w:pageBreakBefore w:val="0"/>
              <w:widowControl w:val="0"/>
              <w:numPr>
                <w:ilvl w:val="0"/>
                <w:numId w:val="0"/>
              </w:numPr>
              <w:suppressLineNumbers w:val="0"/>
              <w:shd w:val="clear"/>
              <w:kinsoku/>
              <w:wordWrap/>
              <w:overflowPunct/>
              <w:topLinePunct w:val="0"/>
              <w:autoSpaceDE/>
              <w:autoSpaceDN/>
              <w:bidi w:val="0"/>
              <w:adjustRightInd/>
              <w:snapToGrid/>
              <w:spacing w:before="0" w:beforeAutospacing="0" w:after="0" w:afterAutospacing="0" w:line="360" w:lineRule="auto"/>
              <w:ind w:left="0" w:leftChars="0" w:right="0" w:rightChars="0" w:firstLine="482" w:firstLineChars="200"/>
              <w:jc w:val="both"/>
              <w:textAlignment w:val="baseline"/>
              <w:rPr>
                <w:rFonts w:hint="default" w:ascii="Times New Roman" w:hAnsi="Times New Roman" w:eastAsia="宋体" w:cs="Times New Roman"/>
                <w:b/>
                <w:color w:val="auto"/>
                <w:sz w:val="24"/>
                <w:szCs w:val="24"/>
                <w:highlight w:val="none"/>
                <w:lang w:val="en-US" w:eastAsia="zh-CN"/>
              </w:rPr>
            </w:pPr>
            <w:r>
              <w:rPr>
                <w:rFonts w:hint="default" w:ascii="Times New Roman" w:hAnsi="Times New Roman" w:eastAsia="宋体" w:cs="Times New Roman"/>
                <w:b/>
                <w:color w:val="auto"/>
                <w:kern w:val="2"/>
                <w:sz w:val="24"/>
                <w:szCs w:val="24"/>
                <w:highlight w:val="none"/>
                <w:lang w:val="en-US" w:eastAsia="zh-CN" w:bidi="ar-SA"/>
              </w:rPr>
              <w:t>6、</w:t>
            </w:r>
            <w:r>
              <w:rPr>
                <w:rFonts w:hint="default" w:ascii="Times New Roman" w:hAnsi="Times New Roman" w:eastAsia="宋体" w:cs="Times New Roman"/>
                <w:b/>
                <w:color w:val="auto"/>
                <w:sz w:val="24"/>
                <w:szCs w:val="24"/>
                <w:highlight w:val="none"/>
                <w:lang w:val="en-US" w:eastAsia="zh-CN"/>
              </w:rPr>
              <w:t>给排水情况</w:t>
            </w:r>
          </w:p>
          <w:p w14:paraId="33923DE5">
            <w:pPr>
              <w:keepNext w:val="0"/>
              <w:keepLines w:val="0"/>
              <w:pageBreakBefore w:val="0"/>
              <w:widowControl w:val="0"/>
              <w:shd w:val="clear"/>
              <w:kinsoku/>
              <w:wordWrap/>
              <w:overflowPunct/>
              <w:topLinePunct w:val="0"/>
              <w:autoSpaceDE/>
              <w:autoSpaceDN/>
              <w:bidi w:val="0"/>
              <w:adjustRightInd w:val="0"/>
              <w:snapToGrid w:val="0"/>
              <w:spacing w:line="360" w:lineRule="auto"/>
              <w:ind w:left="0" w:right="0" w:firstLine="422" w:firstLineChars="200"/>
              <w:jc w:val="both"/>
              <w:textAlignment w:val="auto"/>
              <w:rPr>
                <w:rFonts w:hint="eastAsia" w:ascii="Times New Roman" w:hAnsi="Times New Roman" w:eastAsia="宋体" w:cs="Times New Roman"/>
                <w:color w:val="auto"/>
                <w:highlight w:val="none"/>
                <w:lang w:val="en-US" w:eastAsia="zh-CN"/>
              </w:rPr>
            </w:pPr>
            <w:r>
              <w:rPr>
                <w:rFonts w:hint="eastAsia" w:cs="Times New Roman"/>
                <w:b/>
                <w:bCs/>
                <w:color w:val="auto"/>
                <w:sz w:val="21"/>
                <w:szCs w:val="21"/>
                <w:highlight w:val="none"/>
                <w:lang w:val="en-US" w:eastAsia="zh-CN"/>
              </w:rPr>
              <w:t>（1）</w:t>
            </w:r>
            <w:r>
              <w:rPr>
                <w:rFonts w:hint="default" w:ascii="Times New Roman" w:hAnsi="Times New Roman" w:eastAsia="宋体" w:cs="Times New Roman"/>
                <w:b/>
                <w:bCs/>
                <w:color w:val="auto"/>
                <w:sz w:val="21"/>
                <w:szCs w:val="21"/>
                <w:highlight w:val="none"/>
                <w:lang w:val="en-US" w:eastAsia="zh-CN"/>
              </w:rPr>
              <w:t>生活用水</w:t>
            </w:r>
            <w:r>
              <w:rPr>
                <w:rFonts w:hint="default" w:ascii="Times New Roman" w:hAnsi="Times New Roman" w:eastAsia="宋体" w:cs="Times New Roman"/>
                <w:color w:val="auto"/>
                <w:sz w:val="21"/>
                <w:szCs w:val="21"/>
                <w:highlight w:val="none"/>
                <w:lang w:val="en-US" w:eastAsia="zh-CN"/>
              </w:rPr>
              <w:t>：本项目用水由市政自来水管网供给。员工</w:t>
            </w:r>
            <w:r>
              <w:rPr>
                <w:rFonts w:hint="eastAsia" w:cs="Times New Roman"/>
                <w:color w:val="auto"/>
                <w:sz w:val="21"/>
                <w:szCs w:val="21"/>
                <w:highlight w:val="none"/>
                <w:lang w:val="en-US" w:eastAsia="zh-CN"/>
              </w:rPr>
              <w:t>10</w:t>
            </w:r>
            <w:r>
              <w:rPr>
                <w:rFonts w:hint="default" w:ascii="Times New Roman" w:hAnsi="Times New Roman" w:eastAsia="宋体" w:cs="Times New Roman"/>
                <w:color w:val="auto"/>
                <w:sz w:val="21"/>
                <w:szCs w:val="21"/>
                <w:highlight w:val="none"/>
                <w:lang w:val="en-US" w:eastAsia="zh-CN"/>
              </w:rPr>
              <w:t>人，根据《广东省用水定额》（DB44/T1461.3-2021）表A.1服务业用水定额表，员工不在厂内食宿，按照先进值10m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/人·a计，生活用水量约为</w:t>
            </w:r>
            <w:r>
              <w:rPr>
                <w:rFonts w:hint="eastAsia"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lang w:val="en-US" w:eastAsia="zh-CN"/>
              </w:rPr>
              <w:t>0</w:t>
            </w:r>
            <w:r>
              <w:rPr>
                <w:rFonts w:hint="eastAsia" w:cs="Times New Roman"/>
                <w:color w:val="auto"/>
                <w:sz w:val="21"/>
                <w:szCs w:val="21"/>
                <w:highlight w:val="none"/>
                <w:lang w:val="en-US" w:eastAsia="zh-CN"/>
              </w:rPr>
              <w:t>0</w:t>
            </w:r>
            <w:r>
              <w:rPr>
                <w:rFonts w:hint="default" w:ascii="Times New Roman" w:hAnsi="Times New Roman" w:eastAsia="宋体" w:cs="Times New Roman"/>
                <w:color w:val="auto"/>
                <w:sz w:val="21"/>
                <w:szCs w:val="21"/>
                <w:highlight w:val="none"/>
                <w:lang w:val="en-US" w:eastAsia="zh-CN"/>
              </w:rPr>
              <w:t>t/a</w:t>
            </w:r>
            <w:r>
              <w:rPr>
                <w:rFonts w:hint="eastAsia" w:cs="Times New Roman"/>
                <w:color w:val="auto"/>
                <w:sz w:val="21"/>
                <w:szCs w:val="21"/>
                <w:highlight w:val="none"/>
                <w:lang w:val="en-US" w:eastAsia="zh-CN"/>
              </w:rPr>
              <w:t>（</w:t>
            </w:r>
            <w:r>
              <w:rPr>
                <w:rFonts w:hint="default" w:ascii="Times New Roman" w:hAnsi="Times New Roman" w:cs="Times New Roman"/>
                <w:color w:val="auto"/>
                <w:szCs w:val="21"/>
                <w:highlight w:val="none"/>
              </w:rPr>
              <w:t>生活用水量=新鲜用水量+制纯水产生的浓水量</w:t>
            </w:r>
            <w:r>
              <w:rPr>
                <w:rFonts w:hint="eastAsia" w:cs="Times New Roman"/>
                <w:color w:val="auto"/>
                <w:szCs w:val="21"/>
                <w:highlight w:val="none"/>
                <w:lang w:val="en-US" w:eastAsia="zh-CN"/>
              </w:rPr>
              <w:t>+反冲洗产生的废水量</w:t>
            </w:r>
            <w:r>
              <w:rPr>
                <w:rFonts w:hint="default" w:ascii="Times New Roman" w:hAnsi="Times New Roman" w:cs="Times New Roman"/>
                <w:color w:val="auto"/>
                <w:szCs w:val="21"/>
                <w:highlight w:val="none"/>
              </w:rPr>
              <w:t>=</w:t>
            </w:r>
            <w:r>
              <w:rPr>
                <w:rFonts w:hint="eastAsia" w:ascii="Times New Roman" w:hAnsi="Times New Roman" w:cs="Times New Roman"/>
                <w:color w:val="auto"/>
                <w:szCs w:val="21"/>
                <w:highlight w:val="none"/>
                <w:lang w:val="en-US" w:eastAsia="zh-CN"/>
              </w:rPr>
              <w:t>9</w:t>
            </w:r>
            <w:r>
              <w:rPr>
                <w:rFonts w:hint="eastAsia" w:cs="Times New Roman"/>
                <w:color w:val="auto"/>
                <w:szCs w:val="21"/>
                <w:highlight w:val="none"/>
                <w:lang w:val="en-US" w:eastAsia="zh-CN"/>
              </w:rPr>
              <w:t>6.688t</w:t>
            </w:r>
            <w:r>
              <w:rPr>
                <w:rFonts w:hint="default" w:ascii="Times New Roman" w:hAnsi="Times New Roman" w:cs="Times New Roman"/>
                <w:color w:val="auto"/>
                <w:szCs w:val="21"/>
                <w:highlight w:val="none"/>
              </w:rPr>
              <w:t>/a+</w:t>
            </w:r>
            <w:r>
              <w:rPr>
                <w:rFonts w:hint="default" w:ascii="Times New Roman" w:hAnsi="Times New Roman" w:cs="Times New Roman"/>
                <w:color w:val="auto"/>
                <w:szCs w:val="21"/>
                <w:highlight w:val="none"/>
                <w:lang w:val="en-US" w:eastAsia="zh-CN"/>
              </w:rPr>
              <w:t>0.</w:t>
            </w:r>
            <w:r>
              <w:rPr>
                <w:rFonts w:hint="eastAsia" w:cs="Times New Roman"/>
                <w:color w:val="auto"/>
                <w:szCs w:val="21"/>
                <w:highlight w:val="none"/>
                <w:lang w:val="en-US" w:eastAsia="zh-CN"/>
              </w:rPr>
              <w:t>72</w:t>
            </w:r>
            <w:r>
              <w:rPr>
                <w:rFonts w:hint="default" w:ascii="Times New Roman" w:hAnsi="Times New Roman" w:cs="Times New Roman"/>
                <w:color w:val="auto"/>
                <w:szCs w:val="21"/>
                <w:highlight w:val="none"/>
              </w:rPr>
              <w:t>t/a</w:t>
            </w:r>
            <w:r>
              <w:rPr>
                <w:rFonts w:hint="eastAsia" w:cs="Times New Roman"/>
                <w:color w:val="auto"/>
                <w:szCs w:val="21"/>
                <w:highlight w:val="none"/>
                <w:lang w:val="en-US" w:eastAsia="zh-CN"/>
              </w:rPr>
              <w:t>+2.592t/a</w:t>
            </w:r>
            <w:r>
              <w:rPr>
                <w:rFonts w:hint="default" w:ascii="Times New Roman" w:hAnsi="Times New Roman" w:cs="Times New Roman"/>
                <w:color w:val="auto"/>
                <w:szCs w:val="21"/>
                <w:highlight w:val="none"/>
              </w:rPr>
              <w:t>=</w:t>
            </w:r>
            <w:r>
              <w:rPr>
                <w:rFonts w:hint="default" w:ascii="Times New Roman" w:hAnsi="Times New Roman" w:cs="Times New Roman"/>
                <w:color w:val="auto"/>
                <w:szCs w:val="21"/>
                <w:highlight w:val="none"/>
                <w:lang w:val="en-US" w:eastAsia="zh-CN"/>
              </w:rPr>
              <w:t>1</w:t>
            </w:r>
            <w:r>
              <w:rPr>
                <w:rFonts w:hint="eastAsia" w:ascii="Times New Roman" w:hAnsi="Times New Roman" w:cs="Times New Roman"/>
                <w:color w:val="auto"/>
                <w:szCs w:val="21"/>
                <w:highlight w:val="none"/>
                <w:lang w:val="en-US" w:eastAsia="zh-CN"/>
              </w:rPr>
              <w:t>00</w:t>
            </w:r>
            <w:r>
              <w:rPr>
                <w:rFonts w:hint="default" w:ascii="Times New Roman" w:hAnsi="Times New Roman" w:cs="Times New Roman"/>
                <w:color w:val="auto"/>
                <w:szCs w:val="21"/>
                <w:highlight w:val="none"/>
              </w:rPr>
              <w:t>t/a</w:t>
            </w:r>
            <w:r>
              <w:rPr>
                <w:rFonts w:hint="eastAsia"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，生活污水产生率按90%计算，其污水产生排放量约为</w:t>
            </w:r>
            <w:r>
              <w:rPr>
                <w:rFonts w:hint="eastAsia" w:cs="Times New Roman"/>
                <w:color w:val="auto"/>
                <w:sz w:val="21"/>
                <w:szCs w:val="21"/>
                <w:highlight w:val="none"/>
                <w:lang w:val="en-US" w:eastAsia="zh-CN"/>
              </w:rPr>
              <w:t>90</w:t>
            </w:r>
            <w:r>
              <w:rPr>
                <w:rFonts w:hint="default" w:ascii="Times New Roman" w:hAnsi="Times New Roman" w:eastAsia="宋体" w:cs="Times New Roman"/>
                <w:color w:val="auto"/>
                <w:sz w:val="21"/>
                <w:szCs w:val="21"/>
                <w:highlight w:val="none"/>
                <w:lang w:val="en-US" w:eastAsia="zh-CN"/>
              </w:rPr>
              <w:t>t/a。生活污水经三级化粪处理后，通过市政管网排入</w:t>
            </w:r>
            <w:r>
              <w:rPr>
                <w:rFonts w:hint="eastAsia" w:cs="Times New Roman"/>
                <w:color w:val="auto"/>
                <w:sz w:val="21"/>
                <w:szCs w:val="21"/>
                <w:highlight w:val="none"/>
                <w:lang w:val="zh-CN" w:eastAsia="zh-CN"/>
              </w:rPr>
              <w:t>中山市珍家山污水处理有限公司</w:t>
            </w:r>
            <w:r>
              <w:rPr>
                <w:rFonts w:hint="default" w:ascii="Times New Roman" w:hAnsi="Times New Roman" w:eastAsia="宋体" w:cs="Times New Roman"/>
                <w:color w:val="auto"/>
                <w:sz w:val="21"/>
                <w:szCs w:val="21"/>
                <w:highlight w:val="none"/>
              </w:rPr>
              <w:t>进行处理。</w:t>
            </w:r>
            <w:r>
              <w:rPr>
                <w:rFonts w:hint="eastAsia" w:cs="Times New Roman"/>
                <w:color w:val="auto"/>
                <w:sz w:val="21"/>
                <w:szCs w:val="21"/>
                <w:highlight w:val="none"/>
                <w:lang w:eastAsia="zh-CN"/>
              </w:rPr>
              <w:t>（</w:t>
            </w:r>
            <w:r>
              <w:rPr>
                <w:rFonts w:hint="eastAsia" w:cs="Times New Roman"/>
                <w:color w:val="auto"/>
                <w:sz w:val="21"/>
                <w:szCs w:val="21"/>
                <w:highlight w:val="none"/>
                <w:lang w:val="en-US" w:eastAsia="zh-CN"/>
              </w:rPr>
              <w:t>备注：</w:t>
            </w:r>
            <w:r>
              <w:rPr>
                <w:rFonts w:hint="default" w:ascii="Times New Roman" w:hAnsi="Times New Roman" w:eastAsia="宋体" w:cs="Times New Roman"/>
                <w:color w:val="auto"/>
                <w:sz w:val="21"/>
                <w:szCs w:val="21"/>
                <w:highlight w:val="none"/>
                <w:lang w:val="en-US" w:eastAsia="zh-CN"/>
              </w:rPr>
              <w:t>本项目提供中山天青检测技术有限公司的</w:t>
            </w:r>
            <w:r>
              <w:rPr>
                <w:rFonts w:hint="eastAsia" w:cs="Times New Roman"/>
                <w:color w:val="auto"/>
                <w:sz w:val="21"/>
                <w:szCs w:val="21"/>
                <w:highlight w:val="none"/>
                <w:lang w:val="en-US" w:eastAsia="zh-CN"/>
              </w:rPr>
              <w:t>城镇污水排入排水管网许可证</w:t>
            </w:r>
            <w:r>
              <w:rPr>
                <w:rFonts w:hint="default" w:ascii="Times New Roman" w:hAnsi="Times New Roman" w:eastAsia="宋体" w:cs="Times New Roman"/>
                <w:color w:val="auto"/>
                <w:sz w:val="21"/>
                <w:szCs w:val="21"/>
                <w:highlight w:val="none"/>
                <w:lang w:val="en-US" w:eastAsia="zh-CN"/>
              </w:rPr>
              <w:t>证明</w:t>
            </w:r>
            <w:r>
              <w:rPr>
                <w:rFonts w:hint="eastAsia" w:cs="Times New Roman"/>
                <w:color w:val="auto"/>
                <w:sz w:val="21"/>
                <w:szCs w:val="21"/>
                <w:highlight w:val="none"/>
                <w:lang w:val="en-US" w:eastAsia="zh-CN"/>
              </w:rPr>
              <w:t>（详见附件4）</w:t>
            </w:r>
            <w:r>
              <w:rPr>
                <w:rFonts w:hint="default" w:ascii="Times New Roman" w:hAnsi="Times New Roman" w:eastAsia="宋体" w:cs="Times New Roman"/>
                <w:color w:val="auto"/>
                <w:sz w:val="21"/>
                <w:szCs w:val="21"/>
                <w:highlight w:val="none"/>
                <w:lang w:val="en-US" w:eastAsia="zh-CN"/>
              </w:rPr>
              <w:t>，中山天青检测技术有限公司在中山</w:t>
            </w:r>
            <w:r>
              <w:rPr>
                <w:rFonts w:hint="eastAsia" w:cs="Times New Roman"/>
                <w:color w:val="auto"/>
                <w:sz w:val="21"/>
                <w:szCs w:val="21"/>
                <w:highlight w:val="none"/>
                <w:lang w:val="en-US" w:eastAsia="zh-CN"/>
              </w:rPr>
              <w:t>火炬开发区广隆实业有限公司</w:t>
            </w:r>
            <w:r>
              <w:rPr>
                <w:rFonts w:hint="default" w:ascii="Times New Roman" w:hAnsi="Times New Roman" w:eastAsia="宋体" w:cs="Times New Roman"/>
                <w:color w:val="auto"/>
                <w:sz w:val="21"/>
                <w:szCs w:val="21"/>
                <w:highlight w:val="none"/>
                <w:lang w:val="en-US" w:eastAsia="zh-CN"/>
              </w:rPr>
              <w:t>工业园区内，园区统一配套生活污水排水管网，项目产生的生活污水排入该园区管网。</w:t>
            </w:r>
            <w:r>
              <w:rPr>
                <w:rFonts w:hint="eastAsia" w:cs="Times New Roman"/>
                <w:color w:val="auto"/>
                <w:sz w:val="21"/>
                <w:szCs w:val="21"/>
                <w:highlight w:val="none"/>
                <w:lang w:eastAsia="zh-CN"/>
              </w:rPr>
              <w:t>）</w:t>
            </w:r>
          </w:p>
          <w:p w14:paraId="7C189D71">
            <w:pPr>
              <w:keepNext w:val="0"/>
              <w:keepLines w:val="0"/>
              <w:pageBreakBefore w:val="0"/>
              <w:widowControl w:val="0"/>
              <w:kinsoku/>
              <w:wordWrap w:val="0"/>
              <w:overflowPunct/>
              <w:topLinePunct w:val="0"/>
              <w:autoSpaceDE/>
              <w:autoSpaceDN/>
              <w:bidi w:val="0"/>
              <w:adjustRightInd/>
              <w:snapToGrid/>
              <w:spacing w:line="360" w:lineRule="auto"/>
              <w:ind w:firstLine="422" w:firstLineChars="200"/>
              <w:jc w:val="left"/>
              <w:textAlignment w:val="auto"/>
              <w:rPr>
                <w:rFonts w:hint="eastAsia"/>
                <w:color w:val="auto"/>
                <w:highlight w:val="none"/>
                <w:lang w:val="en-US" w:eastAsia="zh-CN"/>
              </w:rPr>
            </w:pPr>
            <w:r>
              <w:rPr>
                <w:rFonts w:hint="eastAsia" w:cs="Times New Roman"/>
                <w:b/>
                <w:bCs/>
                <w:color w:val="auto"/>
                <w:sz w:val="21"/>
                <w:szCs w:val="21"/>
                <w:highlight w:val="none"/>
                <w:lang w:val="en-US" w:eastAsia="zh-CN"/>
              </w:rPr>
              <w:t>（2）超声波</w:t>
            </w:r>
            <w:r>
              <w:rPr>
                <w:rFonts w:hint="default" w:ascii="Times New Roman" w:hAnsi="Times New Roman" w:eastAsia="宋体" w:cs="Times New Roman"/>
                <w:b/>
                <w:bCs/>
                <w:color w:val="auto"/>
                <w:sz w:val="21"/>
                <w:szCs w:val="21"/>
                <w:highlight w:val="none"/>
                <w:lang w:val="en-US" w:eastAsia="zh-CN"/>
              </w:rPr>
              <w:t>用水：</w:t>
            </w:r>
            <w:r>
              <w:rPr>
                <w:rFonts w:hint="default" w:ascii="Times New Roman" w:hAnsi="Times New Roman" w:cs="Times New Roman"/>
                <w:color w:val="auto"/>
                <w:szCs w:val="21"/>
                <w:highlight w:val="none"/>
              </w:rPr>
              <w:t>项目实验室设有</w:t>
            </w:r>
            <w:r>
              <w:rPr>
                <w:rFonts w:hint="eastAsia" w:cs="Times New Roman"/>
                <w:color w:val="auto"/>
                <w:szCs w:val="21"/>
                <w:highlight w:val="none"/>
                <w:lang w:val="en-US" w:eastAsia="zh-CN"/>
              </w:rPr>
              <w:t>2</w:t>
            </w:r>
            <w:r>
              <w:rPr>
                <w:rFonts w:hint="default" w:ascii="Times New Roman" w:hAnsi="Times New Roman" w:cs="Times New Roman"/>
                <w:color w:val="auto"/>
                <w:szCs w:val="21"/>
                <w:highlight w:val="none"/>
              </w:rPr>
              <w:t>台超声波清洗器</w:t>
            </w:r>
            <w:r>
              <w:rPr>
                <w:rFonts w:hint="default" w:ascii="Times New Roman" w:hAnsi="Times New Roman" w:cs="Times New Roman"/>
                <w:color w:val="auto"/>
                <w:szCs w:val="21"/>
                <w:highlight w:val="none"/>
                <w:lang w:val="en-US" w:eastAsia="zh-CN"/>
              </w:rPr>
              <w:t>对装有溶剂的试管进行超声波</w:t>
            </w:r>
            <w:r>
              <w:rPr>
                <w:rFonts w:hint="eastAsia" w:ascii="Times New Roman" w:hAnsi="Times New Roman" w:cs="Times New Roman"/>
                <w:color w:val="auto"/>
                <w:szCs w:val="21"/>
                <w:highlight w:val="none"/>
                <w:lang w:val="en-US" w:eastAsia="zh-CN"/>
              </w:rPr>
              <w:t>振荡</w:t>
            </w:r>
            <w:r>
              <w:rPr>
                <w:rFonts w:hint="default" w:ascii="Times New Roman" w:hAnsi="Times New Roman" w:cs="Times New Roman"/>
                <w:color w:val="auto"/>
                <w:szCs w:val="21"/>
                <w:highlight w:val="none"/>
                <w:lang w:val="en-US" w:eastAsia="zh-CN"/>
              </w:rPr>
              <w:t>处理（混匀试剂作用），超声波过程不会与试剂或者样品进行接触，只接触到试剂管等实验器皿外表面，</w:t>
            </w:r>
            <w:r>
              <w:rPr>
                <w:rFonts w:hint="default" w:ascii="Times New Roman" w:hAnsi="Times New Roman" w:cs="Times New Roman"/>
                <w:color w:val="auto"/>
                <w:szCs w:val="21"/>
                <w:highlight w:val="none"/>
              </w:rPr>
              <w:t>每台超声波清洗器设有一个水槽，水槽实际尺寸为</w:t>
            </w:r>
            <w:r>
              <w:rPr>
                <w:rFonts w:hint="eastAsia" w:cs="Times New Roman"/>
                <w:color w:val="auto"/>
                <w:szCs w:val="21"/>
                <w:highlight w:val="none"/>
                <w:lang w:val="en-US" w:eastAsia="zh-CN"/>
              </w:rPr>
              <w:t>0.5</w:t>
            </w:r>
            <w:r>
              <w:rPr>
                <w:rFonts w:hint="default" w:ascii="Times New Roman" w:hAnsi="Times New Roman" w:cs="Times New Roman"/>
                <w:color w:val="auto"/>
                <w:szCs w:val="21"/>
                <w:highlight w:val="none"/>
              </w:rPr>
              <w:t>m*</w:t>
            </w:r>
            <w:r>
              <w:rPr>
                <w:rFonts w:hint="eastAsia" w:cs="Times New Roman"/>
                <w:color w:val="auto"/>
                <w:szCs w:val="21"/>
                <w:highlight w:val="none"/>
                <w:lang w:val="en-US" w:eastAsia="zh-CN"/>
              </w:rPr>
              <w:t>0.3</w:t>
            </w:r>
            <w:r>
              <w:rPr>
                <w:rFonts w:hint="default" w:ascii="Times New Roman" w:hAnsi="Times New Roman" w:cs="Times New Roman"/>
                <w:color w:val="auto"/>
                <w:szCs w:val="21"/>
                <w:highlight w:val="none"/>
              </w:rPr>
              <w:t>m*</w:t>
            </w:r>
            <w:r>
              <w:rPr>
                <w:rFonts w:hint="eastAsia" w:cs="Times New Roman"/>
                <w:color w:val="auto"/>
                <w:szCs w:val="21"/>
                <w:highlight w:val="none"/>
                <w:lang w:val="en-US" w:eastAsia="zh-CN"/>
              </w:rPr>
              <w:t>0.35</w:t>
            </w:r>
            <w:r>
              <w:rPr>
                <w:rFonts w:hint="default" w:ascii="Times New Roman" w:hAnsi="Times New Roman" w:cs="Times New Roman"/>
                <w:color w:val="auto"/>
                <w:szCs w:val="21"/>
                <w:highlight w:val="none"/>
              </w:rPr>
              <w:t>m，</w:t>
            </w:r>
            <w:r>
              <w:rPr>
                <w:rFonts w:hint="eastAsia" w:cs="Times New Roman"/>
                <w:color w:val="auto"/>
                <w:szCs w:val="21"/>
                <w:highlight w:val="none"/>
                <w:lang w:val="en-US" w:eastAsia="zh-CN"/>
              </w:rPr>
              <w:t>有效高度为0.25m。</w:t>
            </w:r>
            <w:r>
              <w:rPr>
                <w:rFonts w:hint="default" w:ascii="Times New Roman" w:hAnsi="Times New Roman" w:cs="Times New Roman"/>
                <w:color w:val="auto"/>
                <w:szCs w:val="21"/>
                <w:highlight w:val="none"/>
              </w:rPr>
              <w:t>每次换水量按水槽有效体积，每</w:t>
            </w:r>
            <w:r>
              <w:rPr>
                <w:rFonts w:hint="default" w:ascii="Times New Roman" w:hAnsi="Times New Roman" w:cs="Times New Roman"/>
                <w:color w:val="auto"/>
                <w:szCs w:val="21"/>
                <w:highlight w:val="none"/>
                <w:lang w:val="en-US" w:eastAsia="zh-CN"/>
              </w:rPr>
              <w:t>周</w:t>
            </w:r>
            <w:r>
              <w:rPr>
                <w:rFonts w:hint="default" w:ascii="Times New Roman" w:hAnsi="Times New Roman" w:cs="Times New Roman"/>
                <w:color w:val="auto"/>
                <w:szCs w:val="21"/>
                <w:highlight w:val="none"/>
              </w:rPr>
              <w:t>更换</w:t>
            </w:r>
            <w:r>
              <w:rPr>
                <w:rFonts w:hint="default" w:ascii="Times New Roman" w:hAnsi="Times New Roman" w:cs="Times New Roman"/>
                <w:color w:val="auto"/>
                <w:szCs w:val="21"/>
                <w:highlight w:val="none"/>
                <w:lang w:val="en-US" w:eastAsia="zh-CN"/>
              </w:rPr>
              <w:t>1次</w:t>
            </w:r>
            <w:r>
              <w:rPr>
                <w:rFonts w:hint="default" w:ascii="Times New Roman" w:hAnsi="Times New Roman" w:cs="Times New Roman"/>
                <w:color w:val="auto"/>
                <w:szCs w:val="21"/>
                <w:highlight w:val="none"/>
              </w:rPr>
              <w:t>，单次更换水量=</w:t>
            </w:r>
            <w:r>
              <w:rPr>
                <w:rFonts w:hint="eastAsia" w:cs="Times New Roman"/>
                <w:color w:val="auto"/>
                <w:szCs w:val="21"/>
                <w:highlight w:val="none"/>
                <w:lang w:val="en-US" w:eastAsia="zh-CN"/>
              </w:rPr>
              <w:t>有效</w:t>
            </w:r>
            <w:r>
              <w:rPr>
                <w:rFonts w:hint="default" w:ascii="Times New Roman" w:hAnsi="Times New Roman" w:cs="Times New Roman"/>
                <w:color w:val="auto"/>
                <w:szCs w:val="21"/>
                <w:highlight w:val="none"/>
              </w:rPr>
              <w:t>体积*水槽数量=</w:t>
            </w:r>
            <w:r>
              <w:rPr>
                <w:rFonts w:hint="default" w:ascii="Times New Roman" w:hAnsi="Times New Roman" w:cs="Times New Roman"/>
                <w:color w:val="auto"/>
                <w:szCs w:val="21"/>
                <w:highlight w:val="none"/>
                <w:lang w:val="en-US" w:eastAsia="zh-CN"/>
              </w:rPr>
              <w:t>0.5</w:t>
            </w:r>
            <w:r>
              <w:rPr>
                <w:rFonts w:hint="default" w:ascii="Times New Roman" w:hAnsi="Times New Roman" w:cs="Times New Roman"/>
                <w:color w:val="auto"/>
                <w:szCs w:val="21"/>
                <w:highlight w:val="none"/>
              </w:rPr>
              <w:t>m*</w:t>
            </w:r>
            <w:r>
              <w:rPr>
                <w:rFonts w:hint="default" w:ascii="Times New Roman" w:hAnsi="Times New Roman" w:cs="Times New Roman"/>
                <w:color w:val="auto"/>
                <w:szCs w:val="21"/>
                <w:highlight w:val="none"/>
                <w:lang w:val="en-US" w:eastAsia="zh-CN"/>
              </w:rPr>
              <w:t>0.3</w:t>
            </w:r>
            <w:r>
              <w:rPr>
                <w:rFonts w:hint="default" w:ascii="Times New Roman" w:hAnsi="Times New Roman" w:cs="Times New Roman"/>
                <w:color w:val="auto"/>
                <w:szCs w:val="21"/>
                <w:highlight w:val="none"/>
              </w:rPr>
              <w:t>m*</w:t>
            </w:r>
            <w:r>
              <w:rPr>
                <w:rFonts w:hint="default" w:ascii="Times New Roman" w:hAnsi="Times New Roman" w:cs="Times New Roman"/>
                <w:color w:val="auto"/>
                <w:szCs w:val="21"/>
                <w:highlight w:val="none"/>
                <w:lang w:val="en-US" w:eastAsia="zh-CN"/>
              </w:rPr>
              <w:t>0.</w:t>
            </w:r>
            <w:r>
              <w:rPr>
                <w:rFonts w:hint="eastAsia" w:cs="Times New Roman"/>
                <w:color w:val="auto"/>
                <w:szCs w:val="21"/>
                <w:highlight w:val="none"/>
                <w:lang w:val="en-US" w:eastAsia="zh-CN"/>
              </w:rPr>
              <w:t>2</w:t>
            </w:r>
            <w:r>
              <w:rPr>
                <w:rFonts w:hint="default" w:ascii="Times New Roman" w:hAnsi="Times New Roman" w:cs="Times New Roman"/>
                <w:color w:val="auto"/>
                <w:szCs w:val="21"/>
                <w:highlight w:val="none"/>
                <w:lang w:val="en-US" w:eastAsia="zh-CN"/>
              </w:rPr>
              <w:t>5</w:t>
            </w:r>
            <w:r>
              <w:rPr>
                <w:rFonts w:hint="default" w:ascii="Times New Roman" w:hAnsi="Times New Roman" w:cs="Times New Roman"/>
                <w:color w:val="auto"/>
                <w:szCs w:val="21"/>
                <w:highlight w:val="none"/>
              </w:rPr>
              <w:t>m*</w:t>
            </w:r>
            <w:r>
              <w:rPr>
                <w:rFonts w:hint="eastAsia" w:cs="Times New Roman"/>
                <w:color w:val="auto"/>
                <w:szCs w:val="21"/>
                <w:highlight w:val="none"/>
                <w:lang w:val="en-US" w:eastAsia="zh-CN"/>
              </w:rPr>
              <w:t>2</w:t>
            </w:r>
            <w:r>
              <w:rPr>
                <w:rFonts w:hint="default" w:ascii="Times New Roman" w:hAnsi="Times New Roman" w:cs="Times New Roman"/>
                <w:color w:val="auto"/>
                <w:szCs w:val="21"/>
                <w:highlight w:val="none"/>
              </w:rPr>
              <w:t>个槽</w:t>
            </w:r>
            <w:r>
              <w:rPr>
                <w:rFonts w:hint="eastAsia" w:cs="Times New Roman"/>
                <w:color w:val="auto"/>
                <w:szCs w:val="21"/>
                <w:highlight w:val="none"/>
                <w:lang w:val="en-US" w:eastAsia="zh-CN"/>
              </w:rPr>
              <w:t>=</w:t>
            </w:r>
            <w:r>
              <w:rPr>
                <w:rFonts w:hint="default" w:ascii="Times New Roman" w:hAnsi="Times New Roman" w:cs="Times New Roman"/>
                <w:color w:val="auto"/>
                <w:szCs w:val="21"/>
                <w:highlight w:val="none"/>
              </w:rPr>
              <w:t>0.0</w:t>
            </w:r>
            <w:r>
              <w:rPr>
                <w:rFonts w:hint="eastAsia" w:cs="Times New Roman"/>
                <w:color w:val="auto"/>
                <w:szCs w:val="21"/>
                <w:highlight w:val="none"/>
                <w:lang w:val="en-US" w:eastAsia="zh-CN"/>
              </w:rPr>
              <w:t>7</w:t>
            </w:r>
            <w:r>
              <w:rPr>
                <w:rFonts w:hint="default" w:ascii="Times New Roman" w:hAnsi="Times New Roman" w:cs="Times New Roman"/>
                <w:color w:val="auto"/>
                <w:szCs w:val="21"/>
                <w:highlight w:val="none"/>
                <w:lang w:val="en-US" w:eastAsia="zh-CN"/>
              </w:rPr>
              <w:t>5</w:t>
            </w:r>
            <w:r>
              <w:rPr>
                <w:rFonts w:hint="default" w:ascii="Times New Roman" w:hAnsi="Times New Roman" w:cs="Times New Roman"/>
                <w:color w:val="auto"/>
                <w:szCs w:val="21"/>
                <w:highlight w:val="none"/>
              </w:rPr>
              <w:t>t，</w:t>
            </w:r>
            <w:r>
              <w:rPr>
                <w:rFonts w:hint="default" w:ascii="Times New Roman" w:hAnsi="Times New Roman" w:cs="Times New Roman"/>
                <w:color w:val="auto"/>
                <w:szCs w:val="21"/>
                <w:highlight w:val="none"/>
                <w:lang w:val="en-US" w:eastAsia="zh-CN"/>
              </w:rPr>
              <w:t>每年约52周</w:t>
            </w:r>
            <w:r>
              <w:rPr>
                <w:rFonts w:hint="default" w:ascii="Times New Roman" w:hAnsi="Times New Roman" w:cs="Times New Roman"/>
                <w:color w:val="auto"/>
                <w:szCs w:val="21"/>
                <w:highlight w:val="none"/>
              </w:rPr>
              <w:t>，年更换</w:t>
            </w:r>
            <w:r>
              <w:rPr>
                <w:rFonts w:hint="default" w:ascii="Times New Roman" w:hAnsi="Times New Roman" w:cs="Times New Roman"/>
                <w:color w:val="auto"/>
                <w:szCs w:val="21"/>
                <w:highlight w:val="none"/>
                <w:lang w:val="en-US" w:eastAsia="zh-CN"/>
              </w:rPr>
              <w:t>52</w:t>
            </w:r>
            <w:r>
              <w:rPr>
                <w:rFonts w:hint="default" w:ascii="Times New Roman" w:hAnsi="Times New Roman" w:cs="Times New Roman"/>
                <w:color w:val="auto"/>
                <w:szCs w:val="21"/>
                <w:highlight w:val="none"/>
              </w:rPr>
              <w:t>次，年更换水量约为</w:t>
            </w:r>
            <w:r>
              <w:rPr>
                <w:rFonts w:hint="eastAsia" w:cs="Times New Roman"/>
                <w:color w:val="auto"/>
                <w:szCs w:val="21"/>
                <w:highlight w:val="none"/>
                <w:lang w:val="en-US" w:eastAsia="zh-CN"/>
              </w:rPr>
              <w:t>3.9</w:t>
            </w:r>
            <w:r>
              <w:rPr>
                <w:rFonts w:hint="default" w:ascii="Times New Roman" w:hAnsi="Times New Roman" w:cs="Times New Roman"/>
                <w:color w:val="auto"/>
                <w:szCs w:val="21"/>
                <w:highlight w:val="none"/>
              </w:rPr>
              <w:t>吨，产生超声波清洗废水约为</w:t>
            </w:r>
            <w:r>
              <w:rPr>
                <w:rFonts w:hint="eastAsia" w:cs="Times New Roman"/>
                <w:color w:val="auto"/>
                <w:szCs w:val="21"/>
                <w:highlight w:val="none"/>
                <w:lang w:val="en-US" w:eastAsia="zh-CN"/>
              </w:rPr>
              <w:t>3.9</w:t>
            </w:r>
            <w:r>
              <w:rPr>
                <w:rFonts w:hint="default" w:ascii="Times New Roman" w:hAnsi="Times New Roman" w:cs="Times New Roman"/>
                <w:color w:val="auto"/>
                <w:szCs w:val="21"/>
                <w:highlight w:val="none"/>
              </w:rPr>
              <w:t>t/a；日常补充用水按照水箱有效容积的10%进行计算，则每天补充用水量=</w:t>
            </w:r>
            <w:r>
              <w:rPr>
                <w:rFonts w:hint="default" w:ascii="Times New Roman" w:hAnsi="Times New Roman" w:cs="Times New Roman"/>
                <w:color w:val="auto"/>
                <w:szCs w:val="21"/>
                <w:highlight w:val="none"/>
                <w:lang w:val="en-US" w:eastAsia="zh-CN"/>
              </w:rPr>
              <w:t>0.0</w:t>
            </w:r>
            <w:r>
              <w:rPr>
                <w:rFonts w:hint="eastAsia" w:cs="Times New Roman"/>
                <w:color w:val="auto"/>
                <w:szCs w:val="21"/>
                <w:highlight w:val="none"/>
                <w:lang w:val="en-US" w:eastAsia="zh-CN"/>
              </w:rPr>
              <w:t>375</w:t>
            </w:r>
            <w:r>
              <w:rPr>
                <w:rFonts w:hint="default" w:ascii="Times New Roman" w:hAnsi="Times New Roman" w:cs="Times New Roman"/>
                <w:color w:val="auto"/>
                <w:szCs w:val="21"/>
                <w:highlight w:val="none"/>
              </w:rPr>
              <w:t>m</w:t>
            </w:r>
            <w:r>
              <w:rPr>
                <w:rFonts w:hint="default" w:ascii="Times New Roman" w:hAnsi="Times New Roman" w:cs="Times New Roman"/>
                <w:color w:val="auto"/>
                <w:szCs w:val="21"/>
                <w:highlight w:val="none"/>
                <w:vertAlign w:val="superscript"/>
              </w:rPr>
              <w:t>3</w:t>
            </w:r>
            <w:r>
              <w:rPr>
                <w:rFonts w:hint="default" w:ascii="Times New Roman" w:hAnsi="Times New Roman" w:cs="Times New Roman"/>
                <w:color w:val="auto"/>
                <w:szCs w:val="21"/>
                <w:highlight w:val="none"/>
              </w:rPr>
              <w:t>*10%</w:t>
            </w:r>
            <w:r>
              <w:rPr>
                <w:rFonts w:hint="eastAsia" w:cs="Times New Roman"/>
                <w:color w:val="auto"/>
                <w:szCs w:val="21"/>
                <w:highlight w:val="none"/>
                <w:lang w:val="en-US" w:eastAsia="zh-CN"/>
              </w:rPr>
              <w:t>*2</w:t>
            </w:r>
            <w:r>
              <w:rPr>
                <w:rFonts w:hint="default" w:ascii="Times New Roman" w:hAnsi="Times New Roman" w:cs="Times New Roman"/>
                <w:color w:val="auto"/>
                <w:szCs w:val="21"/>
                <w:highlight w:val="none"/>
              </w:rPr>
              <w:t>≈0.0</w:t>
            </w:r>
            <w:r>
              <w:rPr>
                <w:rFonts w:hint="default" w:ascii="Times New Roman" w:hAnsi="Times New Roman" w:cs="Times New Roman"/>
                <w:color w:val="auto"/>
                <w:szCs w:val="21"/>
                <w:highlight w:val="none"/>
                <w:lang w:val="en-US" w:eastAsia="zh-CN"/>
              </w:rPr>
              <w:t>0</w:t>
            </w:r>
            <w:r>
              <w:rPr>
                <w:rFonts w:hint="eastAsia" w:cs="Times New Roman"/>
                <w:color w:val="auto"/>
                <w:szCs w:val="21"/>
                <w:highlight w:val="none"/>
                <w:lang w:val="en-US" w:eastAsia="zh-CN"/>
              </w:rPr>
              <w:t>7</w:t>
            </w:r>
            <w:r>
              <w:rPr>
                <w:rFonts w:hint="default" w:ascii="Times New Roman" w:hAnsi="Times New Roman" w:cs="Times New Roman"/>
                <w:color w:val="auto"/>
                <w:szCs w:val="21"/>
                <w:highlight w:val="none"/>
                <w:lang w:val="en-US" w:eastAsia="zh-CN"/>
              </w:rPr>
              <w:t>5</w:t>
            </w:r>
            <w:r>
              <w:rPr>
                <w:rFonts w:hint="default" w:ascii="Times New Roman" w:hAnsi="Times New Roman" w:cs="Times New Roman"/>
                <w:color w:val="auto"/>
                <w:szCs w:val="21"/>
                <w:highlight w:val="none"/>
              </w:rPr>
              <w:t>m</w:t>
            </w:r>
            <w:r>
              <w:rPr>
                <w:rFonts w:hint="default" w:ascii="Times New Roman" w:hAnsi="Times New Roman" w:cs="Times New Roman"/>
                <w:color w:val="auto"/>
                <w:szCs w:val="21"/>
                <w:highlight w:val="none"/>
                <w:vertAlign w:val="superscript"/>
              </w:rPr>
              <w:t>3</w:t>
            </w:r>
            <w:r>
              <w:rPr>
                <w:rFonts w:hint="default" w:ascii="Times New Roman" w:hAnsi="Times New Roman" w:cs="Times New Roman"/>
                <w:color w:val="auto"/>
                <w:szCs w:val="21"/>
                <w:highlight w:val="none"/>
              </w:rPr>
              <w:t>，</w:t>
            </w:r>
            <w:r>
              <w:rPr>
                <w:rFonts w:hint="default" w:ascii="Times New Roman" w:hAnsi="Times New Roman" w:cs="Times New Roman"/>
                <w:color w:val="auto"/>
                <w:szCs w:val="21"/>
                <w:highlight w:val="none"/>
                <w:lang w:val="en-US" w:eastAsia="zh-CN"/>
              </w:rPr>
              <w:t>年工作300天，</w:t>
            </w:r>
            <w:r>
              <w:rPr>
                <w:rFonts w:hint="default" w:ascii="Times New Roman" w:hAnsi="Times New Roman" w:cs="Times New Roman"/>
                <w:color w:val="auto"/>
                <w:szCs w:val="21"/>
                <w:highlight w:val="none"/>
              </w:rPr>
              <w:t>每年补充用水量=0.00</w:t>
            </w:r>
            <w:r>
              <w:rPr>
                <w:rFonts w:hint="eastAsia" w:cs="Times New Roman"/>
                <w:color w:val="auto"/>
                <w:szCs w:val="21"/>
                <w:highlight w:val="none"/>
                <w:lang w:val="en-US" w:eastAsia="zh-CN"/>
              </w:rPr>
              <w:t>7</w:t>
            </w:r>
            <w:r>
              <w:rPr>
                <w:rFonts w:hint="default" w:ascii="Times New Roman" w:hAnsi="Times New Roman" w:cs="Times New Roman"/>
                <w:color w:val="auto"/>
                <w:szCs w:val="21"/>
                <w:highlight w:val="none"/>
              </w:rPr>
              <w:t>5m</w:t>
            </w:r>
            <w:r>
              <w:rPr>
                <w:rFonts w:hint="default" w:ascii="Times New Roman" w:hAnsi="Times New Roman" w:cs="Times New Roman"/>
                <w:color w:val="auto"/>
                <w:szCs w:val="21"/>
                <w:highlight w:val="none"/>
                <w:vertAlign w:val="superscript"/>
              </w:rPr>
              <w:t>3</w:t>
            </w:r>
            <w:r>
              <w:rPr>
                <w:rFonts w:hint="default" w:ascii="Times New Roman" w:hAnsi="Times New Roman" w:cs="Times New Roman"/>
                <w:color w:val="auto"/>
                <w:szCs w:val="21"/>
                <w:highlight w:val="none"/>
              </w:rPr>
              <w:t>/d*</w:t>
            </w:r>
            <w:r>
              <w:rPr>
                <w:rFonts w:hint="default" w:ascii="Times New Roman" w:hAnsi="Times New Roman" w:cs="Times New Roman"/>
                <w:color w:val="auto"/>
                <w:szCs w:val="21"/>
                <w:highlight w:val="none"/>
                <w:lang w:val="en-US" w:eastAsia="zh-CN"/>
              </w:rPr>
              <w:t>300</w:t>
            </w:r>
            <w:r>
              <w:rPr>
                <w:rFonts w:hint="default" w:ascii="Times New Roman" w:hAnsi="Times New Roman" w:cs="Times New Roman"/>
                <w:color w:val="auto"/>
                <w:szCs w:val="21"/>
                <w:highlight w:val="none"/>
              </w:rPr>
              <w:t>d/a=</w:t>
            </w:r>
            <w:r>
              <w:rPr>
                <w:rFonts w:hint="eastAsia" w:cs="Times New Roman"/>
                <w:color w:val="auto"/>
                <w:szCs w:val="21"/>
                <w:highlight w:val="none"/>
                <w:lang w:val="en-US" w:eastAsia="zh-CN"/>
              </w:rPr>
              <w:t>2.25</w:t>
            </w:r>
            <w:r>
              <w:rPr>
                <w:rFonts w:hint="default" w:ascii="Times New Roman" w:hAnsi="Times New Roman" w:cs="Times New Roman"/>
                <w:color w:val="auto"/>
                <w:szCs w:val="21"/>
                <w:highlight w:val="none"/>
              </w:rPr>
              <w:t>m</w:t>
            </w:r>
            <w:r>
              <w:rPr>
                <w:rFonts w:hint="default" w:ascii="Times New Roman" w:hAnsi="Times New Roman" w:cs="Times New Roman"/>
                <w:color w:val="auto"/>
                <w:szCs w:val="21"/>
                <w:highlight w:val="none"/>
                <w:vertAlign w:val="superscript"/>
              </w:rPr>
              <w:t>3</w:t>
            </w:r>
            <w:r>
              <w:rPr>
                <w:rFonts w:hint="default" w:ascii="Times New Roman" w:hAnsi="Times New Roman" w:cs="Times New Roman"/>
                <w:color w:val="auto"/>
                <w:szCs w:val="21"/>
                <w:highlight w:val="none"/>
              </w:rPr>
              <w:t>/a。</w:t>
            </w:r>
            <w:r>
              <w:rPr>
                <w:rFonts w:hint="eastAsia"/>
                <w:color w:val="auto"/>
                <w:highlight w:val="none"/>
                <w:lang w:val="en-US" w:eastAsia="zh-CN"/>
              </w:rPr>
              <w:t>年总用水量=年更换水量3.9t+年补充用水量2.25t=6.15t。</w:t>
            </w:r>
          </w:p>
          <w:p w14:paraId="1F6A9F2E">
            <w:pPr>
              <w:keepNext w:val="0"/>
              <w:keepLines w:val="0"/>
              <w:pageBreakBefore w:val="0"/>
              <w:widowControl w:val="0"/>
              <w:kinsoku/>
              <w:wordWrap w:val="0"/>
              <w:overflowPunct/>
              <w:topLinePunct w:val="0"/>
              <w:autoSpaceDE/>
              <w:autoSpaceDN/>
              <w:bidi w:val="0"/>
              <w:adjustRightInd/>
              <w:snapToGrid/>
              <w:spacing w:line="360" w:lineRule="auto"/>
              <w:ind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项目产生超声波废水（</w:t>
            </w:r>
            <w:r>
              <w:rPr>
                <w:rFonts w:hint="eastAsia" w:cs="Times New Roman"/>
                <w:color w:val="auto"/>
                <w:sz w:val="21"/>
                <w:szCs w:val="21"/>
                <w:highlight w:val="none"/>
                <w:lang w:val="en-US" w:eastAsia="zh-CN"/>
              </w:rPr>
              <w:t>3.9</w:t>
            </w:r>
            <w:r>
              <w:rPr>
                <w:rFonts w:hint="default" w:ascii="Times New Roman" w:hAnsi="Times New Roman" w:cs="Times New Roman"/>
                <w:color w:val="auto"/>
                <w:sz w:val="21"/>
                <w:szCs w:val="21"/>
                <w:highlight w:val="none"/>
              </w:rPr>
              <w:t>t/a）交由有废水处理能力的单位转移处理。</w:t>
            </w:r>
          </w:p>
          <w:p w14:paraId="52F6CBFD">
            <w:pPr>
              <w:keepNext w:val="0"/>
              <w:keepLines w:val="0"/>
              <w:pageBreakBefore w:val="0"/>
              <w:widowControl w:val="0"/>
              <w:kinsoku/>
              <w:wordWrap w:val="0"/>
              <w:overflowPunct/>
              <w:topLinePunct w:val="0"/>
              <w:autoSpaceDE/>
              <w:autoSpaceDN/>
              <w:bidi w:val="0"/>
              <w:adjustRightInd/>
              <w:snapToGrid/>
              <w:spacing w:line="360" w:lineRule="auto"/>
              <w:ind w:firstLine="446" w:firstLineChars="200"/>
              <w:jc w:val="left"/>
              <w:textAlignment w:val="auto"/>
              <w:rPr>
                <w:rFonts w:hint="default" w:ascii="Times New Roman" w:hAnsi="Times New Roman" w:cs="Times New Roman"/>
                <w:color w:val="auto"/>
                <w:sz w:val="21"/>
                <w:szCs w:val="21"/>
                <w:highlight w:val="none"/>
              </w:rPr>
            </w:pPr>
            <w:r>
              <w:rPr>
                <w:rFonts w:hint="eastAsia" w:ascii="Times New Roman" w:hAnsi="Times New Roman" w:eastAsia="宋体" w:cs="Times New Roman"/>
                <w:b/>
                <w:bCs/>
                <w:color w:val="auto"/>
                <w:spacing w:val="6"/>
                <w:kern w:val="0"/>
                <w:sz w:val="21"/>
                <w:szCs w:val="21"/>
                <w:highlight w:val="none"/>
                <w:lang w:val="en-US" w:eastAsia="zh-CN" w:bidi="ar"/>
              </w:rPr>
              <w:t>（3）</w:t>
            </w:r>
            <w:r>
              <w:rPr>
                <w:rFonts w:hint="default" w:ascii="Times New Roman" w:hAnsi="Times New Roman" w:eastAsia="宋体" w:cs="Times New Roman"/>
                <w:b/>
                <w:bCs/>
                <w:color w:val="auto"/>
                <w:spacing w:val="6"/>
                <w:kern w:val="0"/>
                <w:sz w:val="21"/>
                <w:szCs w:val="21"/>
                <w:highlight w:val="none"/>
                <w:lang w:val="en-US" w:eastAsia="zh-CN" w:bidi="ar"/>
              </w:rPr>
              <w:t>水样废水</w:t>
            </w:r>
            <w:r>
              <w:rPr>
                <w:rFonts w:hint="eastAsia" w:cs="Times New Roman"/>
                <w:b/>
                <w:bCs/>
                <w:color w:val="auto"/>
                <w:spacing w:val="6"/>
                <w:kern w:val="0"/>
                <w:sz w:val="21"/>
                <w:szCs w:val="21"/>
                <w:highlight w:val="none"/>
                <w:lang w:val="en-US" w:eastAsia="zh-CN" w:bidi="ar"/>
              </w:rPr>
              <w:t>:</w:t>
            </w:r>
            <w:r>
              <w:rPr>
                <w:rFonts w:hint="default" w:ascii="Times New Roman" w:hAnsi="Times New Roman" w:eastAsia="宋体" w:cs="Times New Roman"/>
                <w:color w:val="auto"/>
                <w:spacing w:val="6"/>
                <w:kern w:val="0"/>
                <w:sz w:val="21"/>
                <w:szCs w:val="21"/>
                <w:highlight w:val="none"/>
                <w:lang w:val="en-US" w:eastAsia="zh-CN" w:bidi="ar"/>
              </w:rPr>
              <w:t>项目部分监测指标需采集水样，</w:t>
            </w:r>
            <w:r>
              <w:rPr>
                <w:rFonts w:hint="eastAsia" w:cs="Times New Roman"/>
                <w:color w:val="auto"/>
                <w:spacing w:val="6"/>
                <w:kern w:val="0"/>
                <w:sz w:val="21"/>
                <w:szCs w:val="21"/>
                <w:highlight w:val="none"/>
                <w:lang w:val="en-US" w:eastAsia="zh-CN" w:bidi="ar"/>
              </w:rPr>
              <w:t>项目年检测</w:t>
            </w:r>
            <w:r>
              <w:rPr>
                <w:rFonts w:hint="eastAsia" w:ascii="Times New Roman" w:cs="Times New Roman"/>
                <w:color w:val="auto"/>
                <w:sz w:val="21"/>
                <w:szCs w:val="21"/>
                <w:highlight w:val="none"/>
                <w:lang w:val="en-US" w:eastAsia="zh-CN"/>
              </w:rPr>
              <w:t>地下水</w:t>
            </w:r>
            <w:r>
              <w:rPr>
                <w:rFonts w:hint="eastAsia" w:cs="Times New Roman"/>
                <w:color w:val="auto"/>
                <w:sz w:val="21"/>
                <w:szCs w:val="21"/>
                <w:highlight w:val="none"/>
                <w:lang w:val="en-US" w:eastAsia="zh-CN"/>
              </w:rPr>
              <w:t>2</w:t>
            </w:r>
            <w:r>
              <w:rPr>
                <w:rFonts w:hint="eastAsia" w:ascii="Times New Roman" w:cs="Times New Roman"/>
                <w:color w:val="auto"/>
                <w:sz w:val="21"/>
                <w:szCs w:val="21"/>
                <w:highlight w:val="none"/>
                <w:lang w:val="en-US" w:eastAsia="zh-CN"/>
              </w:rPr>
              <w:t>40份</w:t>
            </w:r>
            <w:r>
              <w:rPr>
                <w:rFonts w:hint="default" w:ascii="Times New Roman" w:hAnsi="Times New Roman" w:cs="Times New Roman"/>
                <w:color w:val="auto"/>
                <w:sz w:val="21"/>
                <w:szCs w:val="21"/>
                <w:highlight w:val="none"/>
                <w:lang w:val="en-US" w:eastAsia="zh-CN"/>
              </w:rPr>
              <w:t>、</w:t>
            </w:r>
            <w:r>
              <w:rPr>
                <w:rFonts w:hint="eastAsia" w:ascii="Times New Roman" w:cs="Times New Roman"/>
                <w:color w:val="auto"/>
                <w:sz w:val="21"/>
                <w:szCs w:val="21"/>
                <w:highlight w:val="none"/>
                <w:lang w:val="en-US" w:eastAsia="zh-CN"/>
              </w:rPr>
              <w:t>地表水</w:t>
            </w:r>
            <w:r>
              <w:rPr>
                <w:rFonts w:hint="eastAsia" w:cs="Times New Roman"/>
                <w:color w:val="auto"/>
                <w:sz w:val="21"/>
                <w:szCs w:val="21"/>
                <w:highlight w:val="none"/>
                <w:lang w:val="en-US" w:eastAsia="zh-CN"/>
              </w:rPr>
              <w:t>160</w:t>
            </w:r>
            <w:r>
              <w:rPr>
                <w:rFonts w:hint="eastAsia" w:ascii="Times New Roman" w:cs="Times New Roman"/>
                <w:color w:val="auto"/>
                <w:sz w:val="21"/>
                <w:szCs w:val="21"/>
                <w:highlight w:val="none"/>
                <w:lang w:val="en-US" w:eastAsia="zh-CN"/>
              </w:rPr>
              <w:t>份</w:t>
            </w:r>
            <w:r>
              <w:rPr>
                <w:rFonts w:hint="eastAsia" w:cs="Times New Roman"/>
                <w:color w:val="auto"/>
                <w:sz w:val="21"/>
                <w:szCs w:val="21"/>
                <w:highlight w:val="none"/>
                <w:lang w:val="en-US" w:eastAsia="zh-CN"/>
              </w:rPr>
              <w:t>，</w:t>
            </w:r>
            <w:r>
              <w:rPr>
                <w:rFonts w:hint="default" w:ascii="Times New Roman" w:hAnsi="Times New Roman" w:eastAsia="宋体" w:cs="Times New Roman"/>
                <w:color w:val="auto"/>
                <w:spacing w:val="6"/>
                <w:kern w:val="0"/>
                <w:sz w:val="21"/>
                <w:szCs w:val="21"/>
                <w:highlight w:val="none"/>
                <w:lang w:val="en-US" w:eastAsia="zh-CN" w:bidi="ar"/>
              </w:rPr>
              <w:t>预计年待测水样</w:t>
            </w:r>
            <w:r>
              <w:rPr>
                <w:rFonts w:hint="eastAsia" w:cs="Times New Roman"/>
                <w:color w:val="auto"/>
                <w:spacing w:val="6"/>
                <w:kern w:val="0"/>
                <w:sz w:val="21"/>
                <w:szCs w:val="21"/>
                <w:highlight w:val="none"/>
                <w:lang w:val="en-US" w:eastAsia="zh-CN" w:bidi="ar"/>
              </w:rPr>
              <w:t>400</w:t>
            </w:r>
            <w:r>
              <w:rPr>
                <w:rFonts w:hint="default" w:ascii="Times New Roman" w:hAnsi="Times New Roman" w:eastAsia="宋体" w:cs="Times New Roman"/>
                <w:color w:val="auto"/>
                <w:spacing w:val="6"/>
                <w:kern w:val="0"/>
                <w:sz w:val="21"/>
                <w:szCs w:val="21"/>
                <w:highlight w:val="none"/>
                <w:lang w:val="en-US" w:eastAsia="zh-CN" w:bidi="ar"/>
              </w:rPr>
              <w:t>个</w:t>
            </w:r>
            <w:r>
              <w:rPr>
                <w:rFonts w:hint="default" w:ascii="Times New Roman" w:hAnsi="Times New Roman" w:eastAsia="宋体" w:cs="Times New Roman"/>
                <w:color w:val="auto"/>
                <w:spacing w:val="6"/>
                <w:kern w:val="0"/>
                <w:sz w:val="21"/>
                <w:szCs w:val="21"/>
                <w:highlight w:val="none"/>
                <w:lang w:val="en-US" w:eastAsia="zh-CN" w:bidi="ar"/>
              </w:rPr>
              <w:t>（</w:t>
            </w:r>
            <w:r>
              <w:rPr>
                <w:rFonts w:hint="default" w:ascii="Times New Roman" w:hAnsi="Times New Roman" w:eastAsia="宋体" w:cs="Times New Roman"/>
                <w:color w:val="auto"/>
                <w:spacing w:val="6"/>
                <w:kern w:val="0"/>
                <w:sz w:val="21"/>
                <w:szCs w:val="21"/>
                <w:highlight w:val="none"/>
                <w:lang w:val="en-US" w:eastAsia="zh-CN" w:bidi="ar"/>
              </w:rPr>
              <w:t>水样是采集的江海、河流等地表水体或地下水水样），每个水样约500-1500mL，水样取均值1000mL，则年待测水量约为</w:t>
            </w:r>
            <w:r>
              <w:rPr>
                <w:rFonts w:hint="default" w:ascii="Times New Roman" w:hAnsi="Times New Roman" w:eastAsia="宋体" w:cs="Times New Roman"/>
                <w:color w:val="auto"/>
                <w:spacing w:val="6"/>
                <w:kern w:val="0"/>
                <w:sz w:val="21"/>
                <w:szCs w:val="21"/>
                <w:highlight w:val="none"/>
                <w:lang w:val="en-US" w:eastAsia="zh-CN" w:bidi="ar"/>
              </w:rPr>
              <w:t>0.</w:t>
            </w:r>
            <w:r>
              <w:rPr>
                <w:rFonts w:hint="eastAsia" w:cs="Times New Roman"/>
                <w:color w:val="auto"/>
                <w:spacing w:val="6"/>
                <w:kern w:val="0"/>
                <w:sz w:val="21"/>
                <w:szCs w:val="21"/>
                <w:highlight w:val="none"/>
                <w:lang w:val="en-US" w:eastAsia="zh-CN" w:bidi="ar"/>
              </w:rPr>
              <w:t>4</w:t>
            </w:r>
            <w:r>
              <w:rPr>
                <w:rFonts w:hint="default" w:ascii="Times New Roman" w:hAnsi="Times New Roman" w:eastAsia="宋体" w:cs="Times New Roman"/>
                <w:color w:val="auto"/>
                <w:spacing w:val="6"/>
                <w:kern w:val="0"/>
                <w:sz w:val="21"/>
                <w:szCs w:val="21"/>
                <w:highlight w:val="none"/>
                <w:lang w:val="en-US" w:eastAsia="zh-CN" w:bidi="ar"/>
              </w:rPr>
              <w:t>t/a</w:t>
            </w:r>
            <w:r>
              <w:rPr>
                <w:rFonts w:hint="default" w:ascii="Times New Roman" w:hAnsi="Times New Roman" w:eastAsia="宋体" w:cs="Times New Roman"/>
                <w:color w:val="auto"/>
                <w:spacing w:val="6"/>
                <w:kern w:val="0"/>
                <w:sz w:val="21"/>
                <w:szCs w:val="21"/>
                <w:highlight w:val="none"/>
                <w:lang w:val="en-US" w:eastAsia="zh-CN" w:bidi="ar"/>
              </w:rPr>
              <w:t>，实际用于实验分析水样约占取水样的40%，实际用于实验分析水样</w:t>
            </w:r>
            <w:r>
              <w:rPr>
                <w:rFonts w:hint="default" w:ascii="Times New Roman" w:hAnsi="Times New Roman" w:eastAsia="宋体" w:cs="Times New Roman"/>
                <w:color w:val="auto"/>
                <w:spacing w:val="6"/>
                <w:kern w:val="0"/>
                <w:sz w:val="21"/>
                <w:szCs w:val="21"/>
                <w:highlight w:val="none"/>
                <w:lang w:val="en-US" w:eastAsia="zh-CN" w:bidi="ar"/>
              </w:rPr>
              <w:t>为0.</w:t>
            </w:r>
            <w:r>
              <w:rPr>
                <w:rFonts w:hint="eastAsia" w:cs="Times New Roman"/>
                <w:color w:val="auto"/>
                <w:spacing w:val="6"/>
                <w:kern w:val="0"/>
                <w:sz w:val="21"/>
                <w:szCs w:val="21"/>
                <w:highlight w:val="none"/>
                <w:lang w:val="en-US" w:eastAsia="zh-CN" w:bidi="ar"/>
              </w:rPr>
              <w:t>16</w:t>
            </w:r>
            <w:r>
              <w:rPr>
                <w:rFonts w:hint="default" w:ascii="Times New Roman" w:hAnsi="Times New Roman" w:eastAsia="宋体" w:cs="Times New Roman"/>
                <w:color w:val="auto"/>
                <w:spacing w:val="6"/>
                <w:kern w:val="0"/>
                <w:sz w:val="21"/>
                <w:szCs w:val="21"/>
                <w:highlight w:val="none"/>
                <w:lang w:val="en-US" w:eastAsia="zh-CN" w:bidi="ar"/>
              </w:rPr>
              <w:t>t/a，剩余水样约0.</w:t>
            </w:r>
            <w:r>
              <w:rPr>
                <w:rFonts w:hint="eastAsia" w:cs="Times New Roman"/>
                <w:color w:val="auto"/>
                <w:spacing w:val="6"/>
                <w:kern w:val="0"/>
                <w:sz w:val="21"/>
                <w:szCs w:val="21"/>
                <w:highlight w:val="none"/>
                <w:lang w:val="en-US" w:eastAsia="zh-CN" w:bidi="ar"/>
              </w:rPr>
              <w:t>24</w:t>
            </w:r>
            <w:r>
              <w:rPr>
                <w:rFonts w:hint="default" w:ascii="Times New Roman" w:hAnsi="Times New Roman" w:eastAsia="宋体" w:cs="Times New Roman"/>
                <w:color w:val="auto"/>
                <w:spacing w:val="6"/>
                <w:kern w:val="0"/>
                <w:sz w:val="21"/>
                <w:szCs w:val="21"/>
                <w:highlight w:val="none"/>
                <w:lang w:val="en-US" w:eastAsia="zh-CN" w:bidi="ar"/>
              </w:rPr>
              <w:t>t/a。</w:t>
            </w:r>
            <w:r>
              <w:rPr>
                <w:rFonts w:hint="default" w:ascii="Times New Roman" w:hAnsi="Times New Roman" w:eastAsia="宋体" w:cs="Times New Roman"/>
                <w:color w:val="auto"/>
                <w:spacing w:val="6"/>
                <w:kern w:val="0"/>
                <w:sz w:val="21"/>
                <w:szCs w:val="21"/>
                <w:highlight w:val="none"/>
                <w:lang w:val="en-US" w:eastAsia="zh-CN" w:bidi="ar"/>
              </w:rPr>
              <w:t>剩余水样</w:t>
            </w:r>
            <w:r>
              <w:rPr>
                <w:rFonts w:hint="default" w:ascii="Times New Roman" w:hAnsi="Times New Roman" w:eastAsia="宋体" w:cs="Times New Roman"/>
                <w:color w:val="auto"/>
                <w:kern w:val="0"/>
                <w:sz w:val="21"/>
                <w:szCs w:val="21"/>
                <w:highlight w:val="none"/>
                <w:lang w:val="en-US" w:eastAsia="zh-CN" w:bidi="ar"/>
              </w:rPr>
              <w:t>收集后交由有处理能力的废水机构转移处理。</w:t>
            </w:r>
          </w:p>
          <w:p w14:paraId="0D617D44">
            <w:pPr>
              <w:keepNext w:val="0"/>
              <w:keepLines w:val="0"/>
              <w:pageBreakBefore w:val="0"/>
              <w:widowControl/>
              <w:suppressLineNumbers w:val="0"/>
              <w:kinsoku/>
              <w:wordWrap/>
              <w:overflowPunct/>
              <w:topLinePunct w:val="0"/>
              <w:autoSpaceDE/>
              <w:autoSpaceDN/>
              <w:bidi w:val="0"/>
              <w:adjustRightInd/>
              <w:snapToGrid/>
              <w:spacing w:line="360" w:lineRule="auto"/>
              <w:ind w:firstLine="446" w:firstLineChars="200"/>
              <w:jc w:val="left"/>
              <w:textAlignment w:val="auto"/>
              <w:rPr>
                <w:rFonts w:hint="default" w:ascii="Times New Roman" w:hAnsi="Times New Roman" w:eastAsia="宋体" w:cs="Times New Roman"/>
                <w:color w:val="auto"/>
                <w:spacing w:val="6"/>
                <w:kern w:val="0"/>
                <w:sz w:val="21"/>
                <w:szCs w:val="21"/>
                <w:highlight w:val="none"/>
                <w:lang w:val="en-US" w:eastAsia="zh-CN" w:bidi="ar"/>
              </w:rPr>
            </w:pPr>
            <w:r>
              <w:rPr>
                <w:rFonts w:hint="eastAsia" w:cs="Times New Roman"/>
                <w:b/>
                <w:bCs/>
                <w:color w:val="auto"/>
                <w:spacing w:val="6"/>
                <w:kern w:val="0"/>
                <w:sz w:val="21"/>
                <w:szCs w:val="21"/>
                <w:highlight w:val="none"/>
                <w:lang w:val="en-US" w:eastAsia="zh-CN" w:bidi="ar"/>
              </w:rPr>
              <w:t>（4）</w:t>
            </w:r>
            <w:r>
              <w:rPr>
                <w:rFonts w:hint="default" w:ascii="Times New Roman" w:hAnsi="Times New Roman" w:eastAsia="宋体" w:cs="Times New Roman"/>
                <w:b/>
                <w:bCs/>
                <w:color w:val="auto"/>
                <w:spacing w:val="6"/>
                <w:kern w:val="0"/>
                <w:sz w:val="21"/>
                <w:szCs w:val="21"/>
                <w:highlight w:val="none"/>
                <w:lang w:val="en-US" w:eastAsia="zh-CN" w:bidi="ar"/>
              </w:rPr>
              <w:t>实验检测用水和检测废水</w:t>
            </w:r>
            <w:r>
              <w:rPr>
                <w:rFonts w:hint="eastAsia" w:cs="Times New Roman"/>
                <w:b/>
                <w:bCs/>
                <w:color w:val="auto"/>
                <w:spacing w:val="6"/>
                <w:kern w:val="0"/>
                <w:sz w:val="21"/>
                <w:szCs w:val="21"/>
                <w:highlight w:val="none"/>
                <w:lang w:val="en-US" w:eastAsia="zh-CN" w:bidi="ar"/>
              </w:rPr>
              <w:t>：</w:t>
            </w:r>
            <w:r>
              <w:rPr>
                <w:rFonts w:hint="default" w:ascii="Times New Roman" w:hAnsi="Times New Roman" w:eastAsia="宋体" w:cs="Times New Roman"/>
                <w:color w:val="auto"/>
                <w:spacing w:val="6"/>
                <w:kern w:val="0"/>
                <w:sz w:val="21"/>
                <w:szCs w:val="21"/>
                <w:highlight w:val="none"/>
                <w:lang w:val="en-US" w:eastAsia="zh-CN" w:bidi="ar"/>
              </w:rPr>
              <w:t>根据实验需要，需要对试剂进行配制后，才用于实验检测操作。</w:t>
            </w:r>
            <w:r>
              <w:rPr>
                <w:rFonts w:hint="default" w:ascii="Times New Roman" w:hAnsi="Times New Roman" w:eastAsia="宋体" w:cs="Times New Roman"/>
                <w:color w:val="auto"/>
                <w:spacing w:val="6"/>
                <w:kern w:val="0"/>
                <w:sz w:val="21"/>
                <w:szCs w:val="21"/>
                <w:highlight w:val="none"/>
                <w:lang w:val="en-US" w:eastAsia="zh-CN" w:bidi="ar"/>
              </w:rPr>
              <w:t>项</w:t>
            </w:r>
            <w:r>
              <w:rPr>
                <w:rFonts w:hint="default" w:ascii="Times New Roman" w:hAnsi="Times New Roman" w:eastAsia="宋体" w:cs="Times New Roman"/>
                <w:color w:val="auto"/>
                <w:spacing w:val="6"/>
                <w:kern w:val="0"/>
                <w:sz w:val="21"/>
                <w:szCs w:val="21"/>
                <w:highlight w:val="none"/>
                <w:lang w:val="en-US" w:eastAsia="zh-CN" w:bidi="ar"/>
              </w:rPr>
              <w:t>目地下水</w:t>
            </w:r>
            <w:r>
              <w:rPr>
                <w:rFonts w:hint="eastAsia" w:cs="Times New Roman"/>
                <w:color w:val="auto"/>
                <w:spacing w:val="6"/>
                <w:kern w:val="0"/>
                <w:sz w:val="21"/>
                <w:szCs w:val="21"/>
                <w:highlight w:val="none"/>
                <w:lang w:val="en-US" w:eastAsia="zh-CN" w:bidi="ar"/>
              </w:rPr>
              <w:t>样品检</w:t>
            </w:r>
            <w:r>
              <w:rPr>
                <w:rFonts w:hint="default" w:ascii="Times New Roman" w:hAnsi="Times New Roman" w:eastAsia="宋体" w:cs="Times New Roman"/>
                <w:color w:val="auto"/>
                <w:spacing w:val="6"/>
                <w:kern w:val="0"/>
                <w:sz w:val="21"/>
                <w:szCs w:val="21"/>
                <w:highlight w:val="none"/>
                <w:lang w:val="en-US" w:eastAsia="zh-CN" w:bidi="ar"/>
              </w:rPr>
              <w:t>测</w:t>
            </w:r>
            <w:r>
              <w:rPr>
                <w:rFonts w:hint="eastAsia" w:cs="Times New Roman"/>
                <w:color w:val="auto"/>
                <w:spacing w:val="6"/>
                <w:kern w:val="0"/>
                <w:sz w:val="21"/>
                <w:szCs w:val="21"/>
                <w:highlight w:val="none"/>
                <w:lang w:val="en-US" w:eastAsia="zh-CN" w:bidi="ar"/>
              </w:rPr>
              <w:t>240</w:t>
            </w:r>
            <w:r>
              <w:rPr>
                <w:rFonts w:hint="default" w:ascii="Times New Roman" w:hAnsi="Times New Roman" w:eastAsia="宋体" w:cs="Times New Roman"/>
                <w:color w:val="auto"/>
                <w:spacing w:val="6"/>
                <w:kern w:val="0"/>
                <w:sz w:val="21"/>
                <w:szCs w:val="21"/>
                <w:highlight w:val="none"/>
                <w:lang w:val="en-US" w:eastAsia="zh-CN" w:bidi="ar"/>
              </w:rPr>
              <w:t>份、地表水</w:t>
            </w:r>
            <w:r>
              <w:rPr>
                <w:rFonts w:hint="eastAsia" w:cs="Times New Roman"/>
                <w:color w:val="auto"/>
                <w:spacing w:val="6"/>
                <w:kern w:val="0"/>
                <w:sz w:val="21"/>
                <w:szCs w:val="21"/>
                <w:highlight w:val="none"/>
                <w:lang w:val="en-US" w:eastAsia="zh-CN" w:bidi="ar"/>
              </w:rPr>
              <w:t>样品</w:t>
            </w:r>
            <w:r>
              <w:rPr>
                <w:rFonts w:hint="default" w:ascii="Times New Roman" w:hAnsi="Times New Roman" w:eastAsia="宋体" w:cs="Times New Roman"/>
                <w:color w:val="auto"/>
                <w:spacing w:val="6"/>
                <w:kern w:val="0"/>
                <w:sz w:val="21"/>
                <w:szCs w:val="21"/>
                <w:highlight w:val="none"/>
                <w:lang w:val="en-US" w:eastAsia="zh-CN" w:bidi="ar"/>
              </w:rPr>
              <w:t>检测</w:t>
            </w:r>
            <w:r>
              <w:rPr>
                <w:rFonts w:hint="eastAsia" w:cs="Times New Roman"/>
                <w:color w:val="auto"/>
                <w:spacing w:val="6"/>
                <w:kern w:val="0"/>
                <w:sz w:val="21"/>
                <w:szCs w:val="21"/>
                <w:highlight w:val="none"/>
                <w:lang w:val="en-US" w:eastAsia="zh-CN" w:bidi="ar"/>
              </w:rPr>
              <w:t>160</w:t>
            </w:r>
            <w:r>
              <w:rPr>
                <w:rFonts w:hint="default" w:ascii="Times New Roman" w:hAnsi="Times New Roman" w:eastAsia="宋体" w:cs="Times New Roman"/>
                <w:color w:val="auto"/>
                <w:spacing w:val="6"/>
                <w:kern w:val="0"/>
                <w:sz w:val="21"/>
                <w:szCs w:val="21"/>
                <w:highlight w:val="none"/>
                <w:lang w:val="en-US" w:eastAsia="zh-CN" w:bidi="ar"/>
              </w:rPr>
              <w:t>份、土壤</w:t>
            </w:r>
            <w:r>
              <w:rPr>
                <w:rFonts w:hint="eastAsia" w:cs="Times New Roman"/>
                <w:color w:val="auto"/>
                <w:spacing w:val="6"/>
                <w:kern w:val="0"/>
                <w:sz w:val="21"/>
                <w:szCs w:val="21"/>
                <w:highlight w:val="none"/>
                <w:lang w:val="en-US" w:eastAsia="zh-CN" w:bidi="ar"/>
              </w:rPr>
              <w:t>样品</w:t>
            </w:r>
            <w:r>
              <w:rPr>
                <w:rFonts w:hint="default" w:ascii="Times New Roman" w:hAnsi="Times New Roman" w:eastAsia="宋体" w:cs="Times New Roman"/>
                <w:color w:val="auto"/>
                <w:spacing w:val="6"/>
                <w:kern w:val="0"/>
                <w:sz w:val="21"/>
                <w:szCs w:val="21"/>
                <w:highlight w:val="none"/>
                <w:lang w:val="en-US" w:eastAsia="zh-CN" w:bidi="ar"/>
              </w:rPr>
              <w:t>检测</w:t>
            </w:r>
            <w:r>
              <w:rPr>
                <w:rFonts w:hint="eastAsia" w:cs="Times New Roman"/>
                <w:color w:val="auto"/>
                <w:spacing w:val="6"/>
                <w:kern w:val="0"/>
                <w:sz w:val="21"/>
                <w:szCs w:val="21"/>
                <w:highlight w:val="none"/>
                <w:lang w:val="en-US" w:eastAsia="zh-CN" w:bidi="ar"/>
              </w:rPr>
              <w:t>40</w:t>
            </w:r>
            <w:r>
              <w:rPr>
                <w:rFonts w:hint="default" w:ascii="Times New Roman" w:hAnsi="Times New Roman" w:eastAsia="宋体" w:cs="Times New Roman"/>
                <w:color w:val="auto"/>
                <w:spacing w:val="6"/>
                <w:kern w:val="0"/>
                <w:sz w:val="21"/>
                <w:szCs w:val="21"/>
                <w:highlight w:val="none"/>
                <w:lang w:val="en-US" w:eastAsia="zh-CN" w:bidi="ar"/>
              </w:rPr>
              <w:t>0份、固体废物</w:t>
            </w:r>
            <w:r>
              <w:rPr>
                <w:rFonts w:hint="eastAsia" w:cs="Times New Roman"/>
                <w:color w:val="auto"/>
                <w:spacing w:val="6"/>
                <w:kern w:val="0"/>
                <w:sz w:val="21"/>
                <w:szCs w:val="21"/>
                <w:highlight w:val="none"/>
                <w:lang w:val="en-US" w:eastAsia="zh-CN" w:bidi="ar"/>
              </w:rPr>
              <w:t>样品</w:t>
            </w:r>
            <w:r>
              <w:rPr>
                <w:rFonts w:hint="default" w:ascii="Times New Roman" w:hAnsi="Times New Roman" w:eastAsia="宋体" w:cs="Times New Roman"/>
                <w:color w:val="auto"/>
                <w:spacing w:val="6"/>
                <w:kern w:val="0"/>
                <w:sz w:val="21"/>
                <w:szCs w:val="21"/>
                <w:highlight w:val="none"/>
                <w:lang w:val="en-US" w:eastAsia="zh-CN" w:bidi="ar"/>
              </w:rPr>
              <w:t>检测</w:t>
            </w:r>
            <w:r>
              <w:rPr>
                <w:rFonts w:hint="eastAsia" w:cs="Times New Roman"/>
                <w:color w:val="auto"/>
                <w:spacing w:val="6"/>
                <w:kern w:val="0"/>
                <w:sz w:val="21"/>
                <w:szCs w:val="21"/>
                <w:highlight w:val="none"/>
                <w:lang w:val="en-US" w:eastAsia="zh-CN" w:bidi="ar"/>
              </w:rPr>
              <w:t>40</w:t>
            </w:r>
            <w:r>
              <w:rPr>
                <w:rFonts w:hint="default" w:ascii="Times New Roman" w:hAnsi="Times New Roman" w:eastAsia="宋体" w:cs="Times New Roman"/>
                <w:color w:val="auto"/>
                <w:spacing w:val="6"/>
                <w:kern w:val="0"/>
                <w:sz w:val="21"/>
                <w:szCs w:val="21"/>
                <w:highlight w:val="none"/>
                <w:lang w:val="en-US" w:eastAsia="zh-CN" w:bidi="ar"/>
              </w:rPr>
              <w:t>0份</w:t>
            </w:r>
            <w:r>
              <w:rPr>
                <w:rFonts w:hint="eastAsia" w:cs="Times New Roman"/>
                <w:color w:val="auto"/>
                <w:spacing w:val="6"/>
                <w:kern w:val="0"/>
                <w:sz w:val="21"/>
                <w:szCs w:val="21"/>
                <w:highlight w:val="none"/>
                <w:lang w:val="en-US" w:eastAsia="zh-CN" w:bidi="ar"/>
              </w:rPr>
              <w:t>，废气（环境空气）样品检测600份</w:t>
            </w:r>
            <w:r>
              <w:rPr>
                <w:rFonts w:hint="default" w:ascii="Times New Roman" w:hAnsi="Times New Roman" w:eastAsia="宋体" w:cs="Times New Roman"/>
                <w:color w:val="auto"/>
                <w:spacing w:val="6"/>
                <w:kern w:val="0"/>
                <w:sz w:val="21"/>
                <w:szCs w:val="21"/>
                <w:highlight w:val="none"/>
                <w:lang w:val="en-US" w:eastAsia="zh-CN" w:bidi="ar"/>
              </w:rPr>
              <w:t>。根据建设单位提供资料，每个</w:t>
            </w:r>
            <w:r>
              <w:rPr>
                <w:rFonts w:hint="eastAsia" w:cs="Times New Roman"/>
                <w:color w:val="auto"/>
                <w:spacing w:val="6"/>
                <w:kern w:val="0"/>
                <w:sz w:val="21"/>
                <w:szCs w:val="21"/>
                <w:highlight w:val="none"/>
                <w:lang w:val="en-US" w:eastAsia="zh-CN" w:bidi="ar"/>
              </w:rPr>
              <w:t>地下水、地表水、</w:t>
            </w:r>
            <w:r>
              <w:rPr>
                <w:rFonts w:hint="default" w:ascii="Times New Roman" w:hAnsi="Times New Roman" w:eastAsia="宋体" w:cs="Times New Roman"/>
                <w:color w:val="auto"/>
                <w:spacing w:val="6"/>
                <w:kern w:val="0"/>
                <w:sz w:val="21"/>
                <w:szCs w:val="21"/>
                <w:highlight w:val="none"/>
                <w:lang w:val="en-US" w:eastAsia="zh-CN" w:bidi="ar"/>
              </w:rPr>
              <w:t>土壤</w:t>
            </w:r>
            <w:r>
              <w:rPr>
                <w:rFonts w:hint="eastAsia" w:cs="Times New Roman"/>
                <w:color w:val="auto"/>
                <w:spacing w:val="6"/>
                <w:kern w:val="0"/>
                <w:sz w:val="21"/>
                <w:szCs w:val="21"/>
                <w:highlight w:val="none"/>
                <w:lang w:val="en-US" w:eastAsia="zh-CN" w:bidi="ar"/>
              </w:rPr>
              <w:t>、固体废物、废气（环境空气）</w:t>
            </w:r>
            <w:r>
              <w:rPr>
                <w:rFonts w:hint="default" w:ascii="Times New Roman" w:hAnsi="Times New Roman" w:eastAsia="宋体" w:cs="Times New Roman"/>
                <w:color w:val="auto"/>
                <w:spacing w:val="6"/>
                <w:kern w:val="0"/>
                <w:sz w:val="21"/>
                <w:szCs w:val="21"/>
                <w:highlight w:val="none"/>
                <w:lang w:val="en-US" w:eastAsia="zh-CN" w:bidi="ar"/>
              </w:rPr>
              <w:t>样品约进行5项指标</w:t>
            </w:r>
            <w:r>
              <w:rPr>
                <w:rFonts w:hint="eastAsia" w:ascii="Times New Roman" w:hAnsi="Times New Roman" w:eastAsia="宋体" w:cs="Times New Roman"/>
                <w:color w:val="auto"/>
                <w:spacing w:val="6"/>
                <w:kern w:val="0"/>
                <w:sz w:val="21"/>
                <w:szCs w:val="21"/>
                <w:highlight w:val="none"/>
                <w:lang w:val="en-US" w:eastAsia="zh-CN" w:bidi="ar"/>
              </w:rPr>
              <w:t>检测</w:t>
            </w:r>
            <w:r>
              <w:rPr>
                <w:rFonts w:hint="default" w:ascii="Times New Roman" w:hAnsi="Times New Roman" w:eastAsia="宋体" w:cs="Times New Roman"/>
                <w:color w:val="auto"/>
                <w:spacing w:val="6"/>
                <w:kern w:val="0"/>
                <w:sz w:val="21"/>
                <w:szCs w:val="21"/>
                <w:highlight w:val="none"/>
                <w:lang w:val="en-US" w:eastAsia="zh-CN" w:bidi="ar"/>
              </w:rPr>
              <w:t>，且每个指标设置3个平行样品</w:t>
            </w:r>
            <w:r>
              <w:rPr>
                <w:rFonts w:hint="default" w:ascii="Times New Roman" w:hAnsi="Times New Roman" w:eastAsia="宋体" w:cs="Times New Roman"/>
                <w:color w:val="auto"/>
                <w:spacing w:val="6"/>
                <w:kern w:val="0"/>
                <w:sz w:val="21"/>
                <w:szCs w:val="21"/>
                <w:highlight w:val="none"/>
                <w:lang w:val="en-US" w:eastAsia="zh-CN" w:bidi="ar"/>
              </w:rPr>
              <w:t>，则年需要进行检测的样品个数有</w:t>
            </w:r>
            <w:r>
              <w:rPr>
                <w:rFonts w:hint="eastAsia" w:cs="Times New Roman"/>
                <w:color w:val="auto"/>
                <w:spacing w:val="6"/>
                <w:kern w:val="0"/>
                <w:sz w:val="21"/>
                <w:szCs w:val="21"/>
                <w:highlight w:val="none"/>
                <w:lang w:val="en-US" w:eastAsia="zh-CN" w:bidi="ar"/>
              </w:rPr>
              <w:t>27000</w:t>
            </w:r>
            <w:r>
              <w:rPr>
                <w:rFonts w:hint="default" w:ascii="Times New Roman" w:hAnsi="Times New Roman" w:eastAsia="宋体" w:cs="Times New Roman"/>
                <w:color w:val="auto"/>
                <w:spacing w:val="6"/>
                <w:kern w:val="0"/>
                <w:sz w:val="21"/>
                <w:szCs w:val="21"/>
                <w:highlight w:val="none"/>
                <w:lang w:val="en-US" w:eastAsia="zh-CN" w:bidi="ar"/>
              </w:rPr>
              <w:t>个。按照每个样品监测的各个指标采取的预处理措施均不相同，按照每个样品单个监测指标中的每个平行样消耗约20mL</w:t>
            </w:r>
            <w:r>
              <w:rPr>
                <w:rFonts w:hint="eastAsia"/>
                <w:color w:val="auto"/>
                <w:highlight w:val="none"/>
                <w:lang w:val="en-US" w:eastAsia="zh-CN"/>
              </w:rPr>
              <w:t>水</w:t>
            </w:r>
            <w:r>
              <w:rPr>
                <w:rFonts w:hint="default" w:ascii="Times New Roman" w:hAnsi="Times New Roman" w:eastAsia="宋体" w:cs="Times New Roman"/>
                <w:color w:val="auto"/>
                <w:spacing w:val="6"/>
                <w:kern w:val="0"/>
                <w:sz w:val="21"/>
                <w:szCs w:val="21"/>
                <w:highlight w:val="none"/>
                <w:lang w:val="en-US" w:eastAsia="zh-CN" w:bidi="ar"/>
              </w:rPr>
              <w:t>配制试剂，则实验溶剂配制消耗纯水量约为</w:t>
            </w:r>
            <w:r>
              <w:rPr>
                <w:rFonts w:hint="eastAsia" w:cs="Times New Roman"/>
                <w:color w:val="auto"/>
                <w:spacing w:val="6"/>
                <w:kern w:val="0"/>
                <w:sz w:val="21"/>
                <w:szCs w:val="21"/>
                <w:highlight w:val="none"/>
                <w:lang w:val="en-US" w:eastAsia="zh-CN" w:bidi="ar"/>
              </w:rPr>
              <w:t>270</w:t>
            </w:r>
            <w:r>
              <w:rPr>
                <w:rFonts w:hint="default" w:ascii="Times New Roman" w:hAnsi="Times New Roman" w:eastAsia="宋体" w:cs="Times New Roman"/>
                <w:color w:val="auto"/>
                <w:spacing w:val="6"/>
                <w:kern w:val="0"/>
                <w:sz w:val="21"/>
                <w:szCs w:val="21"/>
                <w:highlight w:val="none"/>
                <w:lang w:val="en-US" w:eastAsia="zh-CN" w:bidi="ar"/>
              </w:rPr>
              <w:t>00×20÷1000000=0.</w:t>
            </w:r>
            <w:r>
              <w:rPr>
                <w:rFonts w:hint="eastAsia" w:cs="Times New Roman"/>
                <w:color w:val="auto"/>
                <w:spacing w:val="6"/>
                <w:kern w:val="0"/>
                <w:sz w:val="21"/>
                <w:szCs w:val="21"/>
                <w:highlight w:val="none"/>
                <w:lang w:val="en-US" w:eastAsia="zh-CN" w:bidi="ar"/>
              </w:rPr>
              <w:t>54</w:t>
            </w:r>
            <w:r>
              <w:rPr>
                <w:rFonts w:hint="default" w:ascii="Times New Roman" w:hAnsi="Times New Roman" w:eastAsia="宋体" w:cs="Times New Roman"/>
                <w:color w:val="auto"/>
                <w:spacing w:val="6"/>
                <w:kern w:val="0"/>
                <w:sz w:val="21"/>
                <w:szCs w:val="21"/>
                <w:highlight w:val="none"/>
                <w:lang w:val="en-US" w:eastAsia="zh-CN" w:bidi="ar"/>
              </w:rPr>
              <w:t>t/a。</w:t>
            </w:r>
          </w:p>
          <w:p w14:paraId="59FD5B83">
            <w:pPr>
              <w:keepNext w:val="0"/>
              <w:keepLines w:val="0"/>
              <w:pageBreakBefore w:val="0"/>
              <w:widowControl/>
              <w:suppressLineNumbers w:val="0"/>
              <w:kinsoku/>
              <w:wordWrap/>
              <w:overflowPunct/>
              <w:topLinePunct w:val="0"/>
              <w:autoSpaceDE/>
              <w:autoSpaceDN/>
              <w:bidi w:val="0"/>
              <w:adjustRightInd/>
              <w:snapToGrid/>
              <w:spacing w:line="360" w:lineRule="auto"/>
              <w:ind w:firstLine="444" w:firstLineChars="200"/>
              <w:jc w:val="left"/>
              <w:textAlignment w:val="auto"/>
              <w:rPr>
                <w:rFonts w:hint="default" w:ascii="Times New Roman" w:hAnsi="Times New Roman" w:eastAsia="宋体" w:cs="Times New Roman"/>
                <w:color w:val="auto"/>
                <w:spacing w:val="6"/>
                <w:kern w:val="0"/>
                <w:sz w:val="21"/>
                <w:szCs w:val="21"/>
                <w:highlight w:val="none"/>
                <w:lang w:val="en-US" w:eastAsia="zh-CN" w:bidi="ar"/>
              </w:rPr>
            </w:pPr>
            <w:r>
              <w:rPr>
                <w:rFonts w:hint="default" w:ascii="Times New Roman" w:hAnsi="Times New Roman" w:eastAsia="宋体" w:cs="Times New Roman"/>
                <w:color w:val="auto"/>
                <w:spacing w:val="6"/>
                <w:kern w:val="0"/>
                <w:sz w:val="21"/>
                <w:szCs w:val="21"/>
                <w:highlight w:val="none"/>
                <w:lang w:val="en-US" w:eastAsia="zh-CN" w:bidi="ar"/>
              </w:rPr>
              <w:t>根据项目原辅材料用量可知，项目液态无机化学试剂、有机溶剂年用量约为</w:t>
            </w:r>
            <w:r>
              <w:rPr>
                <w:rFonts w:hint="default" w:ascii="Times New Roman" w:hAnsi="Times New Roman" w:eastAsia="宋体" w:cs="Times New Roman"/>
                <w:color w:val="auto"/>
                <w:spacing w:val="6"/>
                <w:kern w:val="0"/>
                <w:sz w:val="21"/>
                <w:szCs w:val="21"/>
                <w:highlight w:val="none"/>
                <w:lang w:val="en-US" w:eastAsia="zh-CN" w:bidi="ar"/>
              </w:rPr>
              <w:t>0.0</w:t>
            </w:r>
            <w:r>
              <w:rPr>
                <w:rFonts w:hint="eastAsia" w:cs="Times New Roman"/>
                <w:color w:val="auto"/>
                <w:spacing w:val="6"/>
                <w:kern w:val="0"/>
                <w:sz w:val="21"/>
                <w:szCs w:val="21"/>
                <w:highlight w:val="none"/>
                <w:lang w:val="en-US" w:eastAsia="zh-CN" w:bidi="ar"/>
              </w:rPr>
              <w:t>68</w:t>
            </w:r>
            <w:r>
              <w:rPr>
                <w:rFonts w:hint="default" w:ascii="Times New Roman" w:hAnsi="Times New Roman" w:eastAsia="宋体" w:cs="Times New Roman"/>
                <w:color w:val="auto"/>
                <w:spacing w:val="6"/>
                <w:kern w:val="0"/>
                <w:sz w:val="21"/>
                <w:szCs w:val="21"/>
                <w:highlight w:val="none"/>
                <w:lang w:val="en-US" w:eastAsia="zh-CN" w:bidi="ar"/>
              </w:rPr>
              <w:t>t/a。根据前文水样废水分析，项目预计年待测水</w:t>
            </w:r>
            <w:r>
              <w:rPr>
                <w:rFonts w:hint="default" w:ascii="Times New Roman" w:hAnsi="Times New Roman" w:eastAsia="宋体" w:cs="Times New Roman"/>
                <w:color w:val="auto"/>
                <w:spacing w:val="6"/>
                <w:kern w:val="0"/>
                <w:sz w:val="21"/>
                <w:szCs w:val="21"/>
                <w:highlight w:val="none"/>
                <w:lang w:val="en-US" w:eastAsia="zh-CN" w:bidi="ar"/>
              </w:rPr>
              <w:t>样0.</w:t>
            </w:r>
            <w:r>
              <w:rPr>
                <w:rFonts w:hint="eastAsia" w:cs="Times New Roman"/>
                <w:color w:val="auto"/>
                <w:spacing w:val="6"/>
                <w:kern w:val="0"/>
                <w:sz w:val="21"/>
                <w:szCs w:val="21"/>
                <w:highlight w:val="none"/>
                <w:lang w:val="en-US" w:eastAsia="zh-CN" w:bidi="ar"/>
              </w:rPr>
              <w:t>4</w:t>
            </w:r>
            <w:r>
              <w:rPr>
                <w:rFonts w:hint="default" w:ascii="Times New Roman" w:hAnsi="Times New Roman" w:eastAsia="宋体" w:cs="Times New Roman"/>
                <w:color w:val="auto"/>
                <w:spacing w:val="6"/>
                <w:kern w:val="0"/>
                <w:sz w:val="21"/>
                <w:szCs w:val="21"/>
                <w:highlight w:val="none"/>
                <w:lang w:val="en-US" w:eastAsia="zh-CN" w:bidi="ar"/>
              </w:rPr>
              <w:t>t/a</w:t>
            </w:r>
            <w:r>
              <w:rPr>
                <w:rFonts w:hint="default" w:ascii="Times New Roman" w:hAnsi="Times New Roman" w:eastAsia="宋体" w:cs="Times New Roman"/>
                <w:color w:val="auto"/>
                <w:spacing w:val="6"/>
                <w:kern w:val="0"/>
                <w:sz w:val="21"/>
                <w:szCs w:val="21"/>
                <w:highlight w:val="none"/>
                <w:lang w:val="en-US" w:eastAsia="zh-CN" w:bidi="ar"/>
              </w:rPr>
              <w:t>，实际试验分析水样使用量约</w:t>
            </w:r>
            <w:r>
              <w:rPr>
                <w:rFonts w:hint="eastAsia" w:cs="Times New Roman"/>
                <w:color w:val="auto"/>
                <w:spacing w:val="6"/>
                <w:kern w:val="0"/>
                <w:sz w:val="21"/>
                <w:szCs w:val="21"/>
                <w:highlight w:val="none"/>
                <w:u w:val="none"/>
                <w:lang w:val="en-US" w:eastAsia="zh-CN" w:bidi="ar"/>
              </w:rPr>
              <w:t>0.16</w:t>
            </w:r>
            <w:r>
              <w:rPr>
                <w:rFonts w:hint="default" w:ascii="Times New Roman" w:hAnsi="Times New Roman" w:eastAsia="宋体" w:cs="Times New Roman"/>
                <w:color w:val="auto"/>
                <w:spacing w:val="6"/>
                <w:kern w:val="0"/>
                <w:sz w:val="21"/>
                <w:szCs w:val="21"/>
                <w:highlight w:val="none"/>
                <w:u w:val="none"/>
                <w:lang w:val="en-US" w:eastAsia="zh-CN" w:bidi="ar"/>
              </w:rPr>
              <w:t>t/a</w:t>
            </w:r>
            <w:r>
              <w:rPr>
                <w:rFonts w:hint="default" w:ascii="Times New Roman" w:hAnsi="Times New Roman" w:eastAsia="宋体" w:cs="Times New Roman"/>
                <w:color w:val="auto"/>
                <w:spacing w:val="6"/>
                <w:kern w:val="0"/>
                <w:sz w:val="21"/>
                <w:szCs w:val="21"/>
                <w:highlight w:val="none"/>
                <w:u w:val="none"/>
                <w:lang w:val="en-US" w:eastAsia="zh-CN" w:bidi="ar"/>
              </w:rPr>
              <w:t>，</w:t>
            </w:r>
            <w:r>
              <w:rPr>
                <w:rFonts w:hint="default" w:ascii="Times New Roman" w:hAnsi="Times New Roman" w:eastAsia="宋体" w:cs="Times New Roman"/>
                <w:color w:val="auto"/>
                <w:spacing w:val="6"/>
                <w:kern w:val="0"/>
                <w:sz w:val="21"/>
                <w:szCs w:val="21"/>
                <w:highlight w:val="none"/>
                <w:lang w:val="en-US" w:eastAsia="zh-CN" w:bidi="ar"/>
              </w:rPr>
              <w:t>其中约70%（由设备供应商提供）的水分</w:t>
            </w:r>
            <w:r>
              <w:rPr>
                <w:rFonts w:hint="default" w:ascii="Times New Roman" w:hAnsi="Times New Roman" w:eastAsia="宋体" w:cs="Times New Roman"/>
                <w:color w:val="auto"/>
                <w:spacing w:val="6"/>
                <w:kern w:val="0"/>
                <w:sz w:val="21"/>
                <w:szCs w:val="21"/>
                <w:highlight w:val="none"/>
                <w:lang w:val="en-US" w:eastAsia="zh-CN" w:bidi="ar"/>
              </w:rPr>
              <w:t>（0</w:t>
            </w:r>
            <w:r>
              <w:rPr>
                <w:rFonts w:hint="eastAsia" w:cs="Times New Roman"/>
                <w:color w:val="auto"/>
                <w:spacing w:val="6"/>
                <w:kern w:val="0"/>
                <w:sz w:val="21"/>
                <w:szCs w:val="21"/>
                <w:highlight w:val="none"/>
                <w:lang w:val="en-US" w:eastAsia="zh-CN" w:bidi="ar"/>
              </w:rPr>
              <w:t>.112</w:t>
            </w:r>
            <w:r>
              <w:rPr>
                <w:rFonts w:hint="default" w:ascii="Times New Roman" w:hAnsi="Times New Roman" w:eastAsia="宋体" w:cs="Times New Roman"/>
                <w:color w:val="auto"/>
                <w:spacing w:val="6"/>
                <w:kern w:val="0"/>
                <w:sz w:val="21"/>
                <w:szCs w:val="21"/>
                <w:highlight w:val="none"/>
                <w:lang w:val="en-US" w:eastAsia="zh-CN" w:bidi="ar"/>
              </w:rPr>
              <w:t>t/a）</w:t>
            </w:r>
            <w:r>
              <w:rPr>
                <w:rFonts w:hint="default" w:ascii="Times New Roman" w:hAnsi="Times New Roman" w:eastAsia="宋体" w:cs="Times New Roman"/>
                <w:color w:val="auto"/>
                <w:spacing w:val="6"/>
                <w:kern w:val="0"/>
                <w:sz w:val="21"/>
                <w:szCs w:val="21"/>
                <w:highlight w:val="none"/>
                <w:lang w:val="en-US" w:eastAsia="zh-CN" w:bidi="ar"/>
              </w:rPr>
              <w:t>在加热消解过程中会被消耗，剩余30%的水</w:t>
            </w:r>
            <w:r>
              <w:rPr>
                <w:rFonts w:hint="default" w:ascii="Times New Roman" w:hAnsi="Times New Roman" w:eastAsia="宋体" w:cs="Times New Roman"/>
                <w:color w:val="auto"/>
                <w:spacing w:val="6"/>
                <w:kern w:val="0"/>
                <w:sz w:val="21"/>
                <w:szCs w:val="21"/>
                <w:highlight w:val="none"/>
                <w:lang w:val="en-US" w:eastAsia="zh-CN" w:bidi="ar"/>
              </w:rPr>
              <w:t>（0.0</w:t>
            </w:r>
            <w:r>
              <w:rPr>
                <w:rFonts w:hint="eastAsia" w:cs="Times New Roman"/>
                <w:color w:val="auto"/>
                <w:spacing w:val="6"/>
                <w:kern w:val="0"/>
                <w:sz w:val="21"/>
                <w:szCs w:val="21"/>
                <w:highlight w:val="none"/>
                <w:lang w:val="en-US" w:eastAsia="zh-CN" w:bidi="ar"/>
              </w:rPr>
              <w:t>48</w:t>
            </w:r>
            <w:r>
              <w:rPr>
                <w:rFonts w:hint="default" w:ascii="Times New Roman" w:hAnsi="Times New Roman" w:eastAsia="宋体" w:cs="Times New Roman"/>
                <w:color w:val="auto"/>
                <w:spacing w:val="6"/>
                <w:kern w:val="0"/>
                <w:sz w:val="21"/>
                <w:szCs w:val="21"/>
                <w:highlight w:val="none"/>
                <w:lang w:val="en-US" w:eastAsia="zh-CN" w:bidi="ar"/>
              </w:rPr>
              <w:t>t/a</w:t>
            </w:r>
            <w:r>
              <w:rPr>
                <w:rFonts w:hint="default" w:ascii="Times New Roman" w:hAnsi="Times New Roman" w:eastAsia="宋体" w:cs="Times New Roman"/>
                <w:color w:val="auto"/>
                <w:spacing w:val="6"/>
                <w:kern w:val="0"/>
                <w:sz w:val="21"/>
                <w:szCs w:val="21"/>
                <w:highlight w:val="none"/>
                <w:lang w:val="en-US" w:eastAsia="zh-CN" w:bidi="ar"/>
              </w:rPr>
              <w:t>）与样品或各种化学试剂混合（包括配置的试剂溶液及液态无机化学试剂、有机溶剂），形成实验检测水样，则实验检测水样用量约为</w:t>
            </w:r>
            <w:r>
              <w:rPr>
                <w:rFonts w:hint="eastAsia" w:cs="Times New Roman"/>
                <w:color w:val="auto"/>
                <w:spacing w:val="6"/>
                <w:kern w:val="0"/>
                <w:sz w:val="21"/>
                <w:szCs w:val="21"/>
                <w:highlight w:val="none"/>
                <w:lang w:val="en-US" w:eastAsia="zh-CN" w:bidi="ar"/>
              </w:rPr>
              <w:t>0.54</w:t>
            </w:r>
            <w:r>
              <w:rPr>
                <w:rFonts w:hint="default" w:ascii="Times New Roman" w:hAnsi="Times New Roman" w:eastAsia="宋体" w:cs="Times New Roman"/>
                <w:color w:val="auto"/>
                <w:spacing w:val="6"/>
                <w:kern w:val="0"/>
                <w:sz w:val="21"/>
                <w:szCs w:val="21"/>
                <w:highlight w:val="none"/>
                <w:lang w:val="en-US" w:eastAsia="zh-CN" w:bidi="ar"/>
              </w:rPr>
              <w:t>+0.0</w:t>
            </w:r>
            <w:r>
              <w:rPr>
                <w:rFonts w:hint="eastAsia" w:cs="Times New Roman"/>
                <w:color w:val="auto"/>
                <w:spacing w:val="6"/>
                <w:kern w:val="0"/>
                <w:sz w:val="21"/>
                <w:szCs w:val="21"/>
                <w:highlight w:val="none"/>
                <w:lang w:val="en-US" w:eastAsia="zh-CN" w:bidi="ar"/>
              </w:rPr>
              <w:t>68</w:t>
            </w:r>
            <w:r>
              <w:rPr>
                <w:rFonts w:hint="default" w:ascii="Times New Roman" w:hAnsi="Times New Roman" w:eastAsia="宋体" w:cs="Times New Roman"/>
                <w:color w:val="auto"/>
                <w:spacing w:val="6"/>
                <w:kern w:val="0"/>
                <w:sz w:val="21"/>
                <w:szCs w:val="21"/>
                <w:highlight w:val="none"/>
                <w:lang w:val="en-US" w:eastAsia="zh-CN" w:bidi="ar"/>
              </w:rPr>
              <w:t>+</w:t>
            </w:r>
            <w:r>
              <w:rPr>
                <w:rFonts w:hint="eastAsia" w:cs="Times New Roman"/>
                <w:color w:val="auto"/>
                <w:spacing w:val="6"/>
                <w:kern w:val="0"/>
                <w:sz w:val="21"/>
                <w:szCs w:val="21"/>
                <w:highlight w:val="none"/>
                <w:lang w:val="en-US" w:eastAsia="zh-CN" w:bidi="ar"/>
              </w:rPr>
              <w:t>0.16</w:t>
            </w:r>
            <w:r>
              <w:rPr>
                <w:rFonts w:hint="default" w:ascii="Times New Roman" w:hAnsi="Times New Roman" w:eastAsia="宋体" w:cs="Times New Roman"/>
                <w:color w:val="auto"/>
                <w:spacing w:val="6"/>
                <w:kern w:val="0"/>
                <w:sz w:val="21"/>
                <w:szCs w:val="21"/>
                <w:highlight w:val="none"/>
                <w:lang w:val="en-US" w:eastAsia="zh-CN" w:bidi="ar"/>
              </w:rPr>
              <w:t>=</w:t>
            </w:r>
            <w:r>
              <w:rPr>
                <w:rFonts w:hint="default" w:ascii="Times New Roman" w:hAnsi="Times New Roman" w:eastAsia="宋体" w:cs="Times New Roman"/>
                <w:color w:val="auto"/>
                <w:spacing w:val="6"/>
                <w:kern w:val="0"/>
                <w:sz w:val="21"/>
                <w:szCs w:val="21"/>
                <w:highlight w:val="none"/>
                <w:u w:val="none"/>
                <w:lang w:val="en-US" w:eastAsia="zh-CN" w:bidi="ar"/>
              </w:rPr>
              <w:t>0.</w:t>
            </w:r>
            <w:r>
              <w:rPr>
                <w:rFonts w:hint="eastAsia" w:cs="Times New Roman"/>
                <w:color w:val="auto"/>
                <w:spacing w:val="6"/>
                <w:kern w:val="0"/>
                <w:sz w:val="21"/>
                <w:szCs w:val="21"/>
                <w:highlight w:val="none"/>
                <w:u w:val="none"/>
                <w:lang w:val="en-US" w:eastAsia="zh-CN" w:bidi="ar"/>
              </w:rPr>
              <w:t>768</w:t>
            </w:r>
            <w:r>
              <w:rPr>
                <w:rFonts w:hint="default" w:ascii="Times New Roman" w:hAnsi="Times New Roman" w:eastAsia="宋体" w:cs="Times New Roman"/>
                <w:color w:val="auto"/>
                <w:spacing w:val="6"/>
                <w:kern w:val="0"/>
                <w:sz w:val="21"/>
                <w:szCs w:val="21"/>
                <w:highlight w:val="none"/>
                <w:u w:val="none"/>
                <w:lang w:val="en-US" w:eastAsia="zh-CN" w:bidi="ar"/>
              </w:rPr>
              <w:t>t/a</w:t>
            </w:r>
            <w:r>
              <w:rPr>
                <w:rFonts w:hint="default" w:ascii="Times New Roman" w:hAnsi="Times New Roman" w:eastAsia="宋体" w:cs="Times New Roman"/>
                <w:color w:val="auto"/>
                <w:spacing w:val="6"/>
                <w:kern w:val="0"/>
                <w:sz w:val="21"/>
                <w:szCs w:val="21"/>
                <w:highlight w:val="none"/>
                <w:lang w:val="en-US" w:eastAsia="zh-CN" w:bidi="ar"/>
              </w:rPr>
              <w:t>，加热消解损耗为</w:t>
            </w:r>
            <w:r>
              <w:rPr>
                <w:rFonts w:hint="eastAsia" w:cs="Times New Roman"/>
                <w:color w:val="auto"/>
                <w:spacing w:val="6"/>
                <w:kern w:val="0"/>
                <w:sz w:val="21"/>
                <w:szCs w:val="21"/>
                <w:highlight w:val="none"/>
                <w:lang w:val="en-US" w:eastAsia="zh-CN" w:bidi="ar"/>
              </w:rPr>
              <w:t>0.16</w:t>
            </w:r>
            <w:r>
              <w:rPr>
                <w:rFonts w:hint="default" w:ascii="Times New Roman" w:hAnsi="Times New Roman" w:eastAsia="宋体" w:cs="Times New Roman"/>
                <w:color w:val="auto"/>
                <w:spacing w:val="6"/>
                <w:kern w:val="0"/>
                <w:sz w:val="21"/>
                <w:szCs w:val="21"/>
                <w:highlight w:val="none"/>
                <w:lang w:val="en-US" w:eastAsia="zh-CN" w:bidi="ar"/>
              </w:rPr>
              <w:t>*0.7=0.</w:t>
            </w:r>
            <w:r>
              <w:rPr>
                <w:rFonts w:hint="eastAsia" w:cs="Times New Roman"/>
                <w:color w:val="auto"/>
                <w:spacing w:val="6"/>
                <w:kern w:val="0"/>
                <w:sz w:val="21"/>
                <w:szCs w:val="21"/>
                <w:highlight w:val="none"/>
                <w:lang w:val="en-US" w:eastAsia="zh-CN" w:bidi="ar"/>
              </w:rPr>
              <w:t>112</w:t>
            </w:r>
            <w:r>
              <w:rPr>
                <w:rFonts w:hint="default" w:ascii="Times New Roman" w:hAnsi="Times New Roman" w:eastAsia="宋体" w:cs="Times New Roman"/>
                <w:color w:val="auto"/>
                <w:spacing w:val="6"/>
                <w:kern w:val="0"/>
                <w:sz w:val="21"/>
                <w:szCs w:val="21"/>
                <w:highlight w:val="none"/>
                <w:lang w:val="en-US" w:eastAsia="zh-CN" w:bidi="ar"/>
              </w:rPr>
              <w:t>t/a</w:t>
            </w:r>
            <w:r>
              <w:rPr>
                <w:rFonts w:hint="default" w:ascii="Times New Roman" w:hAnsi="Times New Roman" w:eastAsia="宋体" w:cs="Times New Roman"/>
                <w:color w:val="auto"/>
                <w:spacing w:val="6"/>
                <w:kern w:val="0"/>
                <w:sz w:val="21"/>
                <w:szCs w:val="21"/>
                <w:highlight w:val="none"/>
                <w:lang w:val="en-US" w:eastAsia="zh-CN" w:bidi="ar"/>
              </w:rPr>
              <w:t>，则实验室废液产生量为</w:t>
            </w:r>
            <w:r>
              <w:rPr>
                <w:rFonts w:hint="default" w:ascii="Times New Roman" w:hAnsi="Times New Roman" w:eastAsia="宋体" w:cs="Times New Roman"/>
                <w:color w:val="auto"/>
                <w:spacing w:val="6"/>
                <w:kern w:val="0"/>
                <w:sz w:val="21"/>
                <w:szCs w:val="21"/>
                <w:highlight w:val="none"/>
                <w:lang w:val="en-US" w:eastAsia="zh-CN" w:bidi="ar"/>
              </w:rPr>
              <w:t>0.</w:t>
            </w:r>
            <w:r>
              <w:rPr>
                <w:rFonts w:hint="eastAsia" w:cs="Times New Roman"/>
                <w:color w:val="auto"/>
                <w:spacing w:val="6"/>
                <w:kern w:val="0"/>
                <w:sz w:val="21"/>
                <w:szCs w:val="21"/>
                <w:highlight w:val="none"/>
                <w:lang w:val="en-US" w:eastAsia="zh-CN" w:bidi="ar"/>
              </w:rPr>
              <w:t>656</w:t>
            </w:r>
            <w:r>
              <w:rPr>
                <w:rFonts w:hint="default" w:ascii="Times New Roman" w:hAnsi="Times New Roman" w:eastAsia="宋体" w:cs="Times New Roman"/>
                <w:color w:val="auto"/>
                <w:spacing w:val="6"/>
                <w:kern w:val="0"/>
                <w:sz w:val="21"/>
                <w:szCs w:val="21"/>
                <w:highlight w:val="none"/>
                <w:lang w:val="en-US" w:eastAsia="zh-CN" w:bidi="ar"/>
              </w:rPr>
              <w:t>t/a（0.</w:t>
            </w:r>
            <w:r>
              <w:rPr>
                <w:rFonts w:hint="eastAsia" w:cs="Times New Roman"/>
                <w:color w:val="auto"/>
                <w:spacing w:val="6"/>
                <w:kern w:val="0"/>
                <w:sz w:val="21"/>
                <w:szCs w:val="21"/>
                <w:highlight w:val="none"/>
                <w:lang w:val="en-US" w:eastAsia="zh-CN" w:bidi="ar"/>
              </w:rPr>
              <w:t>768</w:t>
            </w:r>
            <w:r>
              <w:rPr>
                <w:rFonts w:hint="default" w:ascii="Times New Roman" w:hAnsi="Times New Roman" w:eastAsia="宋体" w:cs="Times New Roman"/>
                <w:color w:val="auto"/>
                <w:spacing w:val="6"/>
                <w:kern w:val="0"/>
                <w:sz w:val="21"/>
                <w:szCs w:val="21"/>
                <w:highlight w:val="none"/>
                <w:lang w:val="en-US" w:eastAsia="zh-CN" w:bidi="ar"/>
              </w:rPr>
              <w:t>-0.</w:t>
            </w:r>
            <w:r>
              <w:rPr>
                <w:rFonts w:hint="eastAsia" w:cs="Times New Roman"/>
                <w:color w:val="auto"/>
                <w:spacing w:val="6"/>
                <w:kern w:val="0"/>
                <w:sz w:val="21"/>
                <w:szCs w:val="21"/>
                <w:highlight w:val="none"/>
                <w:lang w:val="en-US" w:eastAsia="zh-CN" w:bidi="ar"/>
              </w:rPr>
              <w:t>112=</w:t>
            </w:r>
            <w:r>
              <w:rPr>
                <w:rFonts w:hint="default" w:ascii="Times New Roman" w:hAnsi="Times New Roman" w:eastAsia="宋体" w:cs="Times New Roman"/>
                <w:color w:val="auto"/>
                <w:spacing w:val="6"/>
                <w:kern w:val="0"/>
                <w:sz w:val="21"/>
                <w:szCs w:val="21"/>
                <w:highlight w:val="none"/>
                <w:lang w:val="en-US" w:eastAsia="zh-CN" w:bidi="ar"/>
              </w:rPr>
              <w:t>0.</w:t>
            </w:r>
            <w:r>
              <w:rPr>
                <w:rFonts w:hint="eastAsia" w:cs="Times New Roman"/>
                <w:color w:val="auto"/>
                <w:spacing w:val="6"/>
                <w:kern w:val="0"/>
                <w:sz w:val="21"/>
                <w:szCs w:val="21"/>
                <w:highlight w:val="none"/>
                <w:lang w:val="en-US" w:eastAsia="zh-CN" w:bidi="ar"/>
              </w:rPr>
              <w:t>656</w:t>
            </w:r>
            <w:r>
              <w:rPr>
                <w:rFonts w:hint="default" w:ascii="Times New Roman" w:hAnsi="Times New Roman" w:eastAsia="宋体" w:cs="Times New Roman"/>
                <w:color w:val="auto"/>
                <w:spacing w:val="6"/>
                <w:kern w:val="0"/>
                <w:sz w:val="21"/>
                <w:szCs w:val="21"/>
                <w:highlight w:val="none"/>
                <w:lang w:val="en-US" w:eastAsia="zh-CN" w:bidi="ar"/>
              </w:rPr>
              <w:t>）</w:t>
            </w:r>
            <w:r>
              <w:rPr>
                <w:rFonts w:hint="default" w:ascii="Times New Roman" w:hAnsi="Times New Roman" w:eastAsia="宋体" w:cs="Times New Roman"/>
                <w:color w:val="auto"/>
                <w:spacing w:val="6"/>
                <w:kern w:val="0"/>
                <w:sz w:val="21"/>
                <w:szCs w:val="21"/>
                <w:highlight w:val="none"/>
                <w:lang w:val="en-US" w:eastAsia="zh-CN" w:bidi="ar"/>
              </w:rPr>
              <w:t>。实验检测废液收集后交由具有相关危险废物经营许可证的单位处理。</w:t>
            </w:r>
          </w:p>
          <w:p w14:paraId="7AF3DD9F">
            <w:pPr>
              <w:keepNext w:val="0"/>
              <w:keepLines w:val="0"/>
              <w:pageBreakBefore w:val="0"/>
              <w:widowControl/>
              <w:suppressLineNumbers w:val="0"/>
              <w:kinsoku/>
              <w:wordWrap/>
              <w:overflowPunct/>
              <w:topLinePunct w:val="0"/>
              <w:autoSpaceDE/>
              <w:autoSpaceDN/>
              <w:bidi w:val="0"/>
              <w:adjustRightInd/>
              <w:snapToGrid/>
              <w:spacing w:line="360" w:lineRule="auto"/>
              <w:ind w:firstLine="422" w:firstLineChars="200"/>
              <w:jc w:val="left"/>
              <w:textAlignment w:val="auto"/>
              <w:rPr>
                <w:rFonts w:hint="default" w:ascii="Times New Roman" w:hAnsi="Times New Roman" w:eastAsia="宋体" w:cs="Times New Roman"/>
                <w:color w:val="auto"/>
                <w:spacing w:val="6"/>
                <w:kern w:val="0"/>
                <w:sz w:val="21"/>
                <w:szCs w:val="21"/>
                <w:highlight w:val="none"/>
                <w:lang w:val="en-US" w:eastAsia="zh-CN" w:bidi="ar"/>
              </w:rPr>
            </w:pPr>
            <w:r>
              <w:rPr>
                <w:rFonts w:hint="eastAsia" w:eastAsia="宋体" w:cs="Times New Roman"/>
                <w:b/>
                <w:bCs/>
                <w:color w:val="auto"/>
                <w:sz w:val="21"/>
                <w:szCs w:val="21"/>
                <w:highlight w:val="none"/>
                <w:lang w:eastAsia="zh-CN"/>
              </w:rPr>
              <w:t>（</w:t>
            </w:r>
            <w:r>
              <w:rPr>
                <w:rFonts w:hint="eastAsia" w:eastAsia="宋体" w:cs="Times New Roman"/>
                <w:b/>
                <w:bCs/>
                <w:color w:val="auto"/>
                <w:sz w:val="21"/>
                <w:szCs w:val="21"/>
                <w:highlight w:val="none"/>
                <w:lang w:val="en-US" w:eastAsia="zh-CN"/>
              </w:rPr>
              <w:t>5</w:t>
            </w:r>
            <w:r>
              <w:rPr>
                <w:rFonts w:hint="eastAsia" w:eastAsia="宋体" w:cs="Times New Roman"/>
                <w:b/>
                <w:bCs/>
                <w:color w:val="auto"/>
                <w:sz w:val="21"/>
                <w:szCs w:val="21"/>
                <w:highlight w:val="none"/>
                <w:lang w:eastAsia="zh-CN"/>
              </w:rPr>
              <w:t>）</w:t>
            </w:r>
            <w:r>
              <w:rPr>
                <w:rFonts w:hint="default" w:ascii="Times New Roman" w:hAnsi="Times New Roman" w:eastAsia="宋体" w:cs="Times New Roman"/>
                <w:b/>
                <w:bCs/>
                <w:color w:val="auto"/>
                <w:sz w:val="21"/>
                <w:szCs w:val="21"/>
                <w:highlight w:val="none"/>
              </w:rPr>
              <w:t>手工</w:t>
            </w:r>
            <w:r>
              <w:rPr>
                <w:rFonts w:hint="default" w:ascii="Times New Roman" w:hAnsi="Times New Roman" w:eastAsia="宋体" w:cs="Times New Roman"/>
                <w:b/>
                <w:bCs/>
                <w:color w:val="auto"/>
                <w:sz w:val="21"/>
                <w:szCs w:val="21"/>
                <w:highlight w:val="none"/>
              </w:rPr>
              <w:t>清洗用水</w:t>
            </w:r>
            <w:r>
              <w:rPr>
                <w:rFonts w:hint="eastAsia" w:eastAsia="宋体" w:cs="Times New Roman"/>
                <w:b/>
                <w:bCs/>
                <w:color w:val="auto"/>
                <w:sz w:val="21"/>
                <w:szCs w:val="21"/>
                <w:highlight w:val="none"/>
                <w:lang w:eastAsia="zh-CN"/>
              </w:rPr>
              <w:t>：</w:t>
            </w:r>
            <w:r>
              <w:rPr>
                <w:rFonts w:hint="default" w:ascii="Times New Roman" w:hAnsi="Times New Roman" w:eastAsia="宋体" w:cs="Times New Roman"/>
                <w:color w:val="auto"/>
                <w:spacing w:val="6"/>
                <w:kern w:val="0"/>
                <w:sz w:val="21"/>
                <w:szCs w:val="21"/>
                <w:highlight w:val="none"/>
                <w:lang w:val="en-US" w:eastAsia="zh-CN" w:bidi="ar"/>
              </w:rPr>
              <w:t>项目实验结束后需对实验器皿进行清洗，对实验器皿的清洗包括润洗（自来水）、后续洗和纯水洗。其中润洗为采用水洗瓶盛放自来水对实验器皿进行首次冲洗，此时实验后的器皿上沾有实验检测剩余液体，润洗废液经废液盆盛装后再转移到废液暂存桶进行存放；后续洗是指在润洗之后，采用自来水对实验器皿进行自来水清洗，清洗次数为1次；纯水洗是指实验器皿在采用自来水后续洗以后，采用纯水过水清洗，清洗次数为1次。</w:t>
            </w:r>
          </w:p>
          <w:p w14:paraId="5B90EC99">
            <w:pPr>
              <w:keepNext w:val="0"/>
              <w:keepLines w:val="0"/>
              <w:pageBreakBefore w:val="0"/>
              <w:widowControl/>
              <w:suppressLineNumbers w:val="0"/>
              <w:kinsoku/>
              <w:wordWrap/>
              <w:overflowPunct/>
              <w:topLinePunct w:val="0"/>
              <w:autoSpaceDE/>
              <w:autoSpaceDN/>
              <w:bidi w:val="0"/>
              <w:adjustRightInd/>
              <w:snapToGrid/>
              <w:spacing w:line="360" w:lineRule="auto"/>
              <w:ind w:firstLine="444" w:firstLineChars="200"/>
              <w:jc w:val="left"/>
              <w:textAlignment w:val="auto"/>
              <w:rPr>
                <w:rFonts w:hint="default" w:ascii="Times New Roman" w:hAnsi="Times New Roman" w:eastAsia="宋体" w:cs="Times New Roman"/>
                <w:color w:val="auto"/>
                <w:spacing w:val="6"/>
                <w:kern w:val="0"/>
                <w:sz w:val="21"/>
                <w:szCs w:val="21"/>
                <w:highlight w:val="none"/>
                <w:lang w:val="en-US" w:eastAsia="zh-CN" w:bidi="ar"/>
              </w:rPr>
            </w:pPr>
            <w:r>
              <w:rPr>
                <w:rFonts w:hint="default" w:ascii="Times New Roman" w:hAnsi="Times New Roman" w:eastAsia="宋体" w:cs="Times New Roman"/>
                <w:color w:val="auto"/>
                <w:spacing w:val="6"/>
                <w:kern w:val="0"/>
                <w:sz w:val="21"/>
                <w:szCs w:val="21"/>
                <w:highlight w:val="none"/>
                <w:lang w:val="en-US" w:eastAsia="zh-CN" w:bidi="ar"/>
              </w:rPr>
              <w:t>根据建设单位提供资料，项目每年约有</w:t>
            </w:r>
            <w:r>
              <w:rPr>
                <w:rFonts w:hint="eastAsia" w:ascii="Times New Roman" w:hAnsi="Times New Roman" w:eastAsia="宋体" w:cs="Times New Roman"/>
                <w:color w:val="auto"/>
                <w:spacing w:val="6"/>
                <w:kern w:val="0"/>
                <w:sz w:val="21"/>
                <w:szCs w:val="21"/>
                <w:highlight w:val="none"/>
                <w:lang w:val="en-US" w:eastAsia="zh-CN" w:bidi="ar"/>
              </w:rPr>
              <w:t>地</w:t>
            </w:r>
            <w:r>
              <w:rPr>
                <w:rFonts w:hint="eastAsia" w:ascii="Times New Roman" w:hAnsi="Times New Roman" w:eastAsia="宋体" w:cs="Times New Roman"/>
                <w:color w:val="auto"/>
                <w:spacing w:val="6"/>
                <w:kern w:val="0"/>
                <w:sz w:val="21"/>
                <w:szCs w:val="21"/>
                <w:highlight w:val="none"/>
                <w:lang w:val="en-US" w:eastAsia="zh-CN" w:bidi="ar"/>
              </w:rPr>
              <w:t>下水样品</w:t>
            </w:r>
            <w:r>
              <w:rPr>
                <w:rFonts w:hint="eastAsia" w:cs="Times New Roman"/>
                <w:color w:val="auto"/>
                <w:spacing w:val="6"/>
                <w:kern w:val="0"/>
                <w:sz w:val="21"/>
                <w:szCs w:val="21"/>
                <w:highlight w:val="none"/>
                <w:lang w:val="en-US" w:eastAsia="zh-CN" w:bidi="ar"/>
              </w:rPr>
              <w:t>2</w:t>
            </w:r>
            <w:r>
              <w:rPr>
                <w:rFonts w:hint="eastAsia" w:ascii="Times New Roman" w:hAnsi="Times New Roman" w:eastAsia="宋体" w:cs="Times New Roman"/>
                <w:color w:val="auto"/>
                <w:spacing w:val="6"/>
                <w:kern w:val="0"/>
                <w:sz w:val="21"/>
                <w:szCs w:val="21"/>
                <w:highlight w:val="none"/>
                <w:lang w:val="en-US" w:eastAsia="zh-CN" w:bidi="ar"/>
              </w:rPr>
              <w:t>40</w:t>
            </w:r>
            <w:r>
              <w:rPr>
                <w:rFonts w:hint="eastAsia" w:cs="Times New Roman"/>
                <w:color w:val="auto"/>
                <w:spacing w:val="6"/>
                <w:kern w:val="0"/>
                <w:sz w:val="21"/>
                <w:szCs w:val="21"/>
                <w:highlight w:val="none"/>
                <w:lang w:val="en-US" w:eastAsia="zh-CN" w:bidi="ar"/>
              </w:rPr>
              <w:t>份</w:t>
            </w:r>
            <w:r>
              <w:rPr>
                <w:rFonts w:hint="eastAsia" w:ascii="Times New Roman" w:hAnsi="Times New Roman" w:eastAsia="宋体" w:cs="Times New Roman"/>
                <w:color w:val="auto"/>
                <w:spacing w:val="6"/>
                <w:kern w:val="0"/>
                <w:sz w:val="21"/>
                <w:szCs w:val="21"/>
                <w:highlight w:val="none"/>
                <w:lang w:val="en-US" w:eastAsia="zh-CN" w:bidi="ar"/>
              </w:rPr>
              <w:t>（其中</w:t>
            </w:r>
            <w:r>
              <w:rPr>
                <w:rFonts w:hint="eastAsia" w:cs="Times New Roman"/>
                <w:color w:val="auto"/>
                <w:spacing w:val="6"/>
                <w:kern w:val="0"/>
                <w:sz w:val="21"/>
                <w:szCs w:val="21"/>
                <w:highlight w:val="none"/>
                <w:lang w:val="en-US" w:eastAsia="zh-CN" w:bidi="ar"/>
              </w:rPr>
              <w:t>1</w:t>
            </w:r>
            <w:r>
              <w:rPr>
                <w:rFonts w:hint="eastAsia" w:ascii="Times New Roman" w:hAnsi="Times New Roman" w:eastAsia="宋体" w:cs="Times New Roman"/>
                <w:color w:val="auto"/>
                <w:spacing w:val="6"/>
                <w:kern w:val="0"/>
                <w:sz w:val="21"/>
                <w:szCs w:val="21"/>
                <w:highlight w:val="none"/>
                <w:lang w:val="en-US" w:eastAsia="zh-CN" w:bidi="ar"/>
              </w:rPr>
              <w:t>20</w:t>
            </w:r>
            <w:r>
              <w:rPr>
                <w:rFonts w:hint="eastAsia" w:cs="Times New Roman"/>
                <w:color w:val="auto"/>
                <w:spacing w:val="6"/>
                <w:kern w:val="0"/>
                <w:sz w:val="21"/>
                <w:szCs w:val="21"/>
                <w:highlight w:val="none"/>
                <w:lang w:val="en-US" w:eastAsia="zh-CN" w:bidi="ar"/>
              </w:rPr>
              <w:t>份</w:t>
            </w:r>
            <w:r>
              <w:rPr>
                <w:rFonts w:hint="eastAsia" w:ascii="Times New Roman" w:hAnsi="Times New Roman" w:eastAsia="宋体" w:cs="Times New Roman"/>
                <w:color w:val="auto"/>
                <w:spacing w:val="6"/>
                <w:kern w:val="0"/>
                <w:sz w:val="21"/>
                <w:szCs w:val="21"/>
                <w:highlight w:val="none"/>
                <w:lang w:val="en-US" w:eastAsia="zh-CN" w:bidi="ar"/>
              </w:rPr>
              <w:t>水样检测涉及使用含重金属试剂）、地表</w:t>
            </w:r>
            <w:r>
              <w:rPr>
                <w:rFonts w:hint="default" w:ascii="Times New Roman" w:hAnsi="Times New Roman" w:eastAsia="宋体" w:cs="Times New Roman"/>
                <w:color w:val="auto"/>
                <w:spacing w:val="6"/>
                <w:kern w:val="0"/>
                <w:sz w:val="21"/>
                <w:szCs w:val="21"/>
                <w:highlight w:val="none"/>
                <w:lang w:val="en-US" w:eastAsia="zh-CN" w:bidi="ar"/>
              </w:rPr>
              <w:t>水样品</w:t>
            </w:r>
            <w:r>
              <w:rPr>
                <w:rFonts w:hint="eastAsia" w:cs="Times New Roman"/>
                <w:color w:val="auto"/>
                <w:spacing w:val="6"/>
                <w:kern w:val="0"/>
                <w:sz w:val="21"/>
                <w:szCs w:val="21"/>
                <w:highlight w:val="none"/>
                <w:lang w:val="en-US" w:eastAsia="zh-CN" w:bidi="ar"/>
              </w:rPr>
              <w:t>160份</w:t>
            </w:r>
            <w:r>
              <w:rPr>
                <w:rFonts w:hint="default" w:ascii="Times New Roman" w:hAnsi="Times New Roman" w:eastAsia="宋体" w:cs="Times New Roman"/>
                <w:color w:val="auto"/>
                <w:spacing w:val="6"/>
                <w:kern w:val="0"/>
                <w:sz w:val="21"/>
                <w:szCs w:val="21"/>
                <w:highlight w:val="none"/>
                <w:lang w:val="en-US" w:eastAsia="zh-CN" w:bidi="ar"/>
              </w:rPr>
              <w:t>（其中</w:t>
            </w:r>
            <w:r>
              <w:rPr>
                <w:rFonts w:hint="eastAsia" w:cs="Times New Roman"/>
                <w:color w:val="auto"/>
                <w:spacing w:val="6"/>
                <w:kern w:val="0"/>
                <w:sz w:val="21"/>
                <w:szCs w:val="21"/>
                <w:highlight w:val="none"/>
                <w:lang w:val="en-US" w:eastAsia="zh-CN" w:bidi="ar"/>
              </w:rPr>
              <w:t>80份</w:t>
            </w:r>
            <w:r>
              <w:rPr>
                <w:rFonts w:hint="default" w:ascii="Times New Roman" w:hAnsi="Times New Roman" w:eastAsia="宋体" w:cs="Times New Roman"/>
                <w:color w:val="auto"/>
                <w:spacing w:val="6"/>
                <w:kern w:val="0"/>
                <w:sz w:val="21"/>
                <w:szCs w:val="21"/>
                <w:highlight w:val="none"/>
                <w:lang w:val="en-US" w:eastAsia="zh-CN" w:bidi="ar"/>
              </w:rPr>
              <w:t>水样检测涉及使用含重金属试剂）、土壤样品</w:t>
            </w:r>
            <w:r>
              <w:rPr>
                <w:rFonts w:hint="eastAsia" w:cs="Times New Roman"/>
                <w:color w:val="auto"/>
                <w:spacing w:val="6"/>
                <w:kern w:val="0"/>
                <w:sz w:val="21"/>
                <w:szCs w:val="21"/>
                <w:highlight w:val="none"/>
                <w:lang w:val="en-US" w:eastAsia="zh-CN" w:bidi="ar"/>
              </w:rPr>
              <w:t>400份</w:t>
            </w:r>
            <w:r>
              <w:rPr>
                <w:rFonts w:hint="eastAsia"/>
                <w:color w:val="auto"/>
                <w:highlight w:val="none"/>
                <w:lang w:eastAsia="zh-CN"/>
              </w:rPr>
              <w:t>（</w:t>
            </w:r>
            <w:r>
              <w:rPr>
                <w:rFonts w:hint="eastAsia"/>
                <w:color w:val="auto"/>
                <w:highlight w:val="none"/>
                <w:lang w:val="en-US" w:eastAsia="zh-CN"/>
              </w:rPr>
              <w:t>土壤检测过程不涉及含重金属试剂</w:t>
            </w:r>
            <w:r>
              <w:rPr>
                <w:rFonts w:hint="eastAsia"/>
                <w:color w:val="auto"/>
                <w:highlight w:val="none"/>
                <w:lang w:eastAsia="zh-CN"/>
              </w:rPr>
              <w:t>）、</w:t>
            </w:r>
            <w:r>
              <w:rPr>
                <w:rFonts w:hint="eastAsia" w:ascii="Times New Roman" w:hAnsi="Times New Roman" w:eastAsia="宋体" w:cs="Times New Roman"/>
                <w:color w:val="auto"/>
                <w:spacing w:val="6"/>
                <w:kern w:val="0"/>
                <w:sz w:val="21"/>
                <w:szCs w:val="21"/>
                <w:highlight w:val="none"/>
                <w:lang w:val="en-US" w:eastAsia="zh-CN" w:bidi="ar"/>
              </w:rPr>
              <w:t>固体废物</w:t>
            </w:r>
            <w:r>
              <w:rPr>
                <w:rFonts w:hint="default" w:ascii="Times New Roman" w:hAnsi="Times New Roman" w:eastAsia="宋体" w:cs="Times New Roman"/>
                <w:color w:val="auto"/>
                <w:spacing w:val="6"/>
                <w:kern w:val="0"/>
                <w:sz w:val="21"/>
                <w:szCs w:val="21"/>
                <w:highlight w:val="none"/>
                <w:lang w:val="en-US" w:eastAsia="zh-CN" w:bidi="ar"/>
              </w:rPr>
              <w:t>样品</w:t>
            </w:r>
            <w:r>
              <w:rPr>
                <w:rFonts w:hint="default" w:ascii="Times New Roman" w:hAnsi="Times New Roman" w:eastAsia="宋体" w:cs="Times New Roman"/>
                <w:color w:val="auto"/>
                <w:spacing w:val="6"/>
                <w:kern w:val="0"/>
                <w:sz w:val="21"/>
                <w:szCs w:val="21"/>
                <w:highlight w:val="none"/>
                <w:lang w:val="en-US" w:eastAsia="zh-CN" w:bidi="ar"/>
              </w:rPr>
              <w:t>400份</w:t>
            </w:r>
            <w:r>
              <w:rPr>
                <w:rFonts w:hint="eastAsia"/>
                <w:color w:val="auto"/>
                <w:highlight w:val="none"/>
                <w:lang w:eastAsia="zh-CN"/>
              </w:rPr>
              <w:t>（</w:t>
            </w:r>
            <w:r>
              <w:rPr>
                <w:rFonts w:hint="eastAsia"/>
                <w:color w:val="auto"/>
                <w:highlight w:val="none"/>
                <w:lang w:val="en-US" w:eastAsia="zh-CN"/>
              </w:rPr>
              <w:t>固</w:t>
            </w:r>
            <w:r>
              <w:rPr>
                <w:rFonts w:hint="eastAsia"/>
                <w:color w:val="auto"/>
                <w:highlight w:val="none"/>
                <w:lang w:val="en-US" w:eastAsia="zh-CN"/>
              </w:rPr>
              <w:t>体废物检测过程不涉及含重金属试剂</w:t>
            </w:r>
            <w:r>
              <w:rPr>
                <w:rFonts w:hint="eastAsia"/>
                <w:color w:val="auto"/>
                <w:highlight w:val="none"/>
                <w:lang w:eastAsia="zh-CN"/>
              </w:rPr>
              <w:t>）、</w:t>
            </w:r>
            <w:r>
              <w:rPr>
                <w:rFonts w:hint="eastAsia" w:cs="Times New Roman"/>
                <w:color w:val="auto"/>
                <w:spacing w:val="6"/>
                <w:kern w:val="0"/>
                <w:sz w:val="21"/>
                <w:szCs w:val="21"/>
                <w:highlight w:val="none"/>
                <w:lang w:val="en-US" w:eastAsia="zh-CN" w:bidi="ar"/>
              </w:rPr>
              <w:t>废气（环境空气）</w:t>
            </w:r>
            <w:r>
              <w:rPr>
                <w:rFonts w:hint="default" w:ascii="Times New Roman" w:hAnsi="Times New Roman" w:eastAsia="宋体" w:cs="Times New Roman"/>
                <w:color w:val="auto"/>
                <w:spacing w:val="6"/>
                <w:kern w:val="0"/>
                <w:sz w:val="21"/>
                <w:szCs w:val="21"/>
                <w:highlight w:val="none"/>
                <w:lang w:val="en-US" w:eastAsia="zh-CN" w:bidi="ar"/>
              </w:rPr>
              <w:t>样品</w:t>
            </w:r>
            <w:r>
              <w:rPr>
                <w:rFonts w:hint="eastAsia" w:cs="Times New Roman"/>
                <w:color w:val="auto"/>
                <w:spacing w:val="6"/>
                <w:kern w:val="0"/>
                <w:sz w:val="21"/>
                <w:szCs w:val="21"/>
                <w:highlight w:val="none"/>
                <w:lang w:val="en-US" w:eastAsia="zh-CN" w:bidi="ar"/>
              </w:rPr>
              <w:t>60</w:t>
            </w:r>
            <w:r>
              <w:rPr>
                <w:rFonts w:hint="default" w:ascii="Times New Roman" w:hAnsi="Times New Roman" w:eastAsia="宋体" w:cs="Times New Roman"/>
                <w:color w:val="auto"/>
                <w:spacing w:val="6"/>
                <w:kern w:val="0"/>
                <w:sz w:val="21"/>
                <w:szCs w:val="21"/>
                <w:highlight w:val="none"/>
                <w:lang w:val="en-US" w:eastAsia="zh-CN" w:bidi="ar"/>
              </w:rPr>
              <w:t>0</w:t>
            </w:r>
            <w:r>
              <w:rPr>
                <w:rFonts w:hint="eastAsia" w:cs="Times New Roman"/>
                <w:color w:val="auto"/>
                <w:spacing w:val="6"/>
                <w:kern w:val="0"/>
                <w:sz w:val="21"/>
                <w:szCs w:val="21"/>
                <w:highlight w:val="none"/>
                <w:lang w:val="en-US" w:eastAsia="zh-CN" w:bidi="ar"/>
              </w:rPr>
              <w:t>份</w:t>
            </w:r>
            <w:r>
              <w:rPr>
                <w:rFonts w:hint="eastAsia"/>
                <w:color w:val="auto"/>
                <w:highlight w:val="none"/>
                <w:lang w:eastAsia="zh-CN"/>
              </w:rPr>
              <w:t>（</w:t>
            </w:r>
            <w:r>
              <w:rPr>
                <w:rFonts w:hint="eastAsia"/>
                <w:color w:val="auto"/>
                <w:highlight w:val="none"/>
                <w:lang w:val="en-US" w:eastAsia="zh-CN"/>
              </w:rPr>
              <w:t>废气（环境空气）检测过程不涉及含重金属试剂</w:t>
            </w:r>
            <w:r>
              <w:rPr>
                <w:rFonts w:hint="eastAsia"/>
                <w:color w:val="auto"/>
                <w:highlight w:val="none"/>
                <w:lang w:eastAsia="zh-CN"/>
              </w:rPr>
              <w:t>）</w:t>
            </w:r>
            <w:r>
              <w:rPr>
                <w:rFonts w:hint="default" w:ascii="Times New Roman" w:hAnsi="Times New Roman" w:eastAsia="宋体" w:cs="Times New Roman"/>
                <w:color w:val="auto"/>
                <w:spacing w:val="6"/>
                <w:kern w:val="0"/>
                <w:sz w:val="21"/>
                <w:szCs w:val="21"/>
                <w:highlight w:val="none"/>
                <w:lang w:val="en-US" w:eastAsia="zh-CN" w:bidi="ar"/>
              </w:rPr>
              <w:t>。每个样品约进行5项指标的监测，且每个指标设置3个平行样品，则普通</w:t>
            </w:r>
            <w:r>
              <w:rPr>
                <w:rFonts w:hint="eastAsia" w:ascii="Times New Roman" w:hAnsi="Times New Roman" w:eastAsia="宋体" w:cs="Times New Roman"/>
                <w:color w:val="auto"/>
                <w:spacing w:val="6"/>
                <w:kern w:val="0"/>
                <w:sz w:val="21"/>
                <w:szCs w:val="21"/>
                <w:highlight w:val="none"/>
                <w:lang w:val="en-US" w:eastAsia="zh-CN" w:bidi="ar"/>
              </w:rPr>
              <w:t>样品每</w:t>
            </w:r>
            <w:r>
              <w:rPr>
                <w:rFonts w:hint="default" w:ascii="Times New Roman" w:hAnsi="Times New Roman" w:eastAsia="宋体" w:cs="Times New Roman"/>
                <w:color w:val="auto"/>
                <w:spacing w:val="6"/>
                <w:kern w:val="0"/>
                <w:sz w:val="21"/>
                <w:szCs w:val="21"/>
                <w:highlight w:val="none"/>
                <w:lang w:val="en-US" w:eastAsia="zh-CN" w:bidi="ar"/>
              </w:rPr>
              <w:t>年需要进行清洗的实验器皿量约为</w:t>
            </w:r>
            <w:r>
              <w:rPr>
                <w:rFonts w:hint="default" w:ascii="Times New Roman" w:hAnsi="Times New Roman" w:eastAsia="宋体" w:cs="Times New Roman"/>
                <w:color w:val="auto"/>
                <w:spacing w:val="6"/>
                <w:kern w:val="0"/>
                <w:sz w:val="21"/>
                <w:szCs w:val="21"/>
                <w:highlight w:val="none"/>
                <w:lang w:val="en-US" w:eastAsia="zh-CN" w:bidi="ar"/>
              </w:rPr>
              <w:t>（</w:t>
            </w:r>
            <w:r>
              <w:rPr>
                <w:rFonts w:hint="eastAsia" w:cs="Times New Roman"/>
                <w:color w:val="auto"/>
                <w:spacing w:val="6"/>
                <w:kern w:val="0"/>
                <w:sz w:val="21"/>
                <w:szCs w:val="21"/>
                <w:highlight w:val="none"/>
                <w:lang w:val="en-US" w:eastAsia="zh-CN" w:bidi="ar"/>
              </w:rPr>
              <w:t>1</w:t>
            </w:r>
            <w:r>
              <w:rPr>
                <w:rFonts w:hint="eastAsia" w:ascii="Times New Roman" w:hAnsi="Times New Roman" w:eastAsia="宋体" w:cs="Times New Roman"/>
                <w:color w:val="auto"/>
                <w:spacing w:val="6"/>
                <w:kern w:val="0"/>
                <w:sz w:val="21"/>
                <w:szCs w:val="21"/>
                <w:highlight w:val="none"/>
                <w:lang w:val="en-US" w:eastAsia="zh-CN" w:bidi="ar"/>
              </w:rPr>
              <w:t>20+</w:t>
            </w:r>
            <w:r>
              <w:rPr>
                <w:rFonts w:hint="eastAsia" w:cs="Times New Roman"/>
                <w:color w:val="auto"/>
                <w:spacing w:val="6"/>
                <w:kern w:val="0"/>
                <w:sz w:val="21"/>
                <w:szCs w:val="21"/>
                <w:highlight w:val="none"/>
                <w:lang w:val="en-US" w:eastAsia="zh-CN" w:bidi="ar"/>
              </w:rPr>
              <w:t>8</w:t>
            </w:r>
            <w:r>
              <w:rPr>
                <w:rFonts w:hint="eastAsia" w:ascii="Times New Roman" w:hAnsi="Times New Roman" w:eastAsia="宋体" w:cs="Times New Roman"/>
                <w:color w:val="auto"/>
                <w:spacing w:val="6"/>
                <w:kern w:val="0"/>
                <w:sz w:val="21"/>
                <w:szCs w:val="21"/>
                <w:highlight w:val="none"/>
                <w:lang w:val="en-US" w:eastAsia="zh-CN" w:bidi="ar"/>
              </w:rPr>
              <w:t>0+</w:t>
            </w:r>
            <w:r>
              <w:rPr>
                <w:rFonts w:hint="eastAsia" w:cs="Times New Roman"/>
                <w:color w:val="auto"/>
                <w:spacing w:val="6"/>
                <w:kern w:val="0"/>
                <w:sz w:val="21"/>
                <w:szCs w:val="21"/>
                <w:highlight w:val="none"/>
                <w:lang w:val="en-US" w:eastAsia="zh-CN" w:bidi="ar"/>
              </w:rPr>
              <w:t>40</w:t>
            </w:r>
            <w:r>
              <w:rPr>
                <w:rFonts w:hint="eastAsia" w:ascii="Times New Roman" w:hAnsi="Times New Roman" w:eastAsia="宋体" w:cs="Times New Roman"/>
                <w:color w:val="auto"/>
                <w:spacing w:val="6"/>
                <w:kern w:val="0"/>
                <w:sz w:val="21"/>
                <w:szCs w:val="21"/>
                <w:highlight w:val="none"/>
                <w:lang w:val="en-US" w:eastAsia="zh-CN" w:bidi="ar"/>
              </w:rPr>
              <w:t>0</w:t>
            </w:r>
            <w:r>
              <w:rPr>
                <w:rFonts w:hint="default" w:ascii="Times New Roman" w:hAnsi="Times New Roman" w:eastAsia="宋体" w:cs="Times New Roman"/>
                <w:color w:val="auto"/>
                <w:spacing w:val="6"/>
                <w:kern w:val="0"/>
                <w:sz w:val="21"/>
                <w:szCs w:val="21"/>
                <w:highlight w:val="none"/>
                <w:lang w:val="en-US" w:eastAsia="zh-CN" w:bidi="ar"/>
              </w:rPr>
              <w:t>+</w:t>
            </w:r>
            <w:r>
              <w:rPr>
                <w:rFonts w:hint="eastAsia" w:cs="Times New Roman"/>
                <w:color w:val="auto"/>
                <w:spacing w:val="6"/>
                <w:kern w:val="0"/>
                <w:sz w:val="21"/>
                <w:szCs w:val="21"/>
                <w:highlight w:val="none"/>
                <w:lang w:val="en-US" w:eastAsia="zh-CN" w:bidi="ar"/>
              </w:rPr>
              <w:t>40</w:t>
            </w:r>
            <w:r>
              <w:rPr>
                <w:rFonts w:hint="default" w:ascii="Times New Roman" w:hAnsi="Times New Roman" w:eastAsia="宋体" w:cs="Times New Roman"/>
                <w:color w:val="auto"/>
                <w:spacing w:val="6"/>
                <w:kern w:val="0"/>
                <w:sz w:val="21"/>
                <w:szCs w:val="21"/>
                <w:highlight w:val="none"/>
                <w:lang w:val="en-US" w:eastAsia="zh-CN" w:bidi="ar"/>
              </w:rPr>
              <w:t>0</w:t>
            </w:r>
            <w:r>
              <w:rPr>
                <w:rFonts w:hint="eastAsia" w:cs="Times New Roman"/>
                <w:color w:val="auto"/>
                <w:spacing w:val="6"/>
                <w:kern w:val="0"/>
                <w:sz w:val="21"/>
                <w:szCs w:val="21"/>
                <w:highlight w:val="none"/>
                <w:lang w:val="en-US" w:eastAsia="zh-CN" w:bidi="ar"/>
              </w:rPr>
              <w:t>+600</w:t>
            </w:r>
            <w:r>
              <w:rPr>
                <w:rFonts w:hint="default" w:ascii="Times New Roman" w:hAnsi="Times New Roman" w:eastAsia="宋体" w:cs="Times New Roman"/>
                <w:color w:val="auto"/>
                <w:spacing w:val="6"/>
                <w:kern w:val="0"/>
                <w:sz w:val="21"/>
                <w:szCs w:val="21"/>
                <w:highlight w:val="none"/>
                <w:lang w:val="en-US" w:eastAsia="zh-CN" w:bidi="ar"/>
              </w:rPr>
              <w:t>）×5×3=</w:t>
            </w:r>
            <w:r>
              <w:rPr>
                <w:rFonts w:hint="eastAsia" w:cs="Times New Roman"/>
                <w:color w:val="auto"/>
                <w:spacing w:val="6"/>
                <w:kern w:val="0"/>
                <w:sz w:val="21"/>
                <w:szCs w:val="21"/>
                <w:highlight w:val="none"/>
                <w:lang w:val="en-US" w:eastAsia="zh-CN" w:bidi="ar"/>
              </w:rPr>
              <w:t>24000</w:t>
            </w:r>
            <w:r>
              <w:rPr>
                <w:rFonts w:hint="default" w:ascii="Times New Roman" w:hAnsi="Times New Roman" w:eastAsia="宋体" w:cs="Times New Roman"/>
                <w:color w:val="auto"/>
                <w:spacing w:val="6"/>
                <w:kern w:val="0"/>
                <w:sz w:val="21"/>
                <w:szCs w:val="21"/>
                <w:highlight w:val="none"/>
                <w:lang w:val="en-US" w:eastAsia="zh-CN" w:bidi="ar"/>
              </w:rPr>
              <w:t>个</w:t>
            </w:r>
            <w:r>
              <w:rPr>
                <w:rFonts w:hint="default" w:ascii="Times New Roman" w:hAnsi="Times New Roman" w:eastAsia="宋体" w:cs="Times New Roman"/>
                <w:color w:val="auto"/>
                <w:spacing w:val="6"/>
                <w:kern w:val="0"/>
                <w:sz w:val="21"/>
                <w:szCs w:val="21"/>
                <w:highlight w:val="none"/>
                <w:lang w:val="en-US" w:eastAsia="zh-CN" w:bidi="ar"/>
              </w:rPr>
              <w:t>；使用含重金属原料检测水样年需要进行清洗的实验器皿量约为</w:t>
            </w:r>
            <w:r>
              <w:rPr>
                <w:rFonts w:hint="eastAsia" w:ascii="Times New Roman" w:hAnsi="Times New Roman" w:eastAsia="宋体" w:cs="Times New Roman"/>
                <w:color w:val="auto"/>
                <w:spacing w:val="6"/>
                <w:kern w:val="0"/>
                <w:sz w:val="21"/>
                <w:szCs w:val="21"/>
                <w:highlight w:val="none"/>
                <w:lang w:val="en-US" w:eastAsia="zh-CN" w:bidi="ar"/>
              </w:rPr>
              <w:t>（</w:t>
            </w:r>
            <w:r>
              <w:rPr>
                <w:rFonts w:hint="eastAsia" w:cs="Times New Roman"/>
                <w:color w:val="auto"/>
                <w:spacing w:val="6"/>
                <w:kern w:val="0"/>
                <w:sz w:val="21"/>
                <w:szCs w:val="21"/>
                <w:highlight w:val="none"/>
                <w:lang w:val="en-US" w:eastAsia="zh-CN" w:bidi="ar"/>
              </w:rPr>
              <w:t>1</w:t>
            </w:r>
            <w:r>
              <w:rPr>
                <w:rFonts w:hint="eastAsia" w:ascii="Times New Roman" w:hAnsi="Times New Roman" w:eastAsia="宋体" w:cs="Times New Roman"/>
                <w:color w:val="auto"/>
                <w:spacing w:val="6"/>
                <w:kern w:val="0"/>
                <w:sz w:val="21"/>
                <w:szCs w:val="21"/>
                <w:highlight w:val="none"/>
                <w:lang w:val="en-US" w:eastAsia="zh-CN" w:bidi="ar"/>
              </w:rPr>
              <w:t>20+</w:t>
            </w:r>
            <w:r>
              <w:rPr>
                <w:rFonts w:hint="eastAsia" w:cs="Times New Roman"/>
                <w:color w:val="auto"/>
                <w:spacing w:val="6"/>
                <w:kern w:val="0"/>
                <w:sz w:val="21"/>
                <w:szCs w:val="21"/>
                <w:highlight w:val="none"/>
                <w:lang w:val="en-US" w:eastAsia="zh-CN" w:bidi="ar"/>
              </w:rPr>
              <w:t>8</w:t>
            </w:r>
            <w:r>
              <w:rPr>
                <w:rFonts w:hint="eastAsia" w:ascii="Times New Roman" w:hAnsi="Times New Roman" w:eastAsia="宋体" w:cs="Times New Roman"/>
                <w:color w:val="auto"/>
                <w:spacing w:val="6"/>
                <w:kern w:val="0"/>
                <w:sz w:val="21"/>
                <w:szCs w:val="21"/>
                <w:highlight w:val="none"/>
                <w:lang w:val="en-US" w:eastAsia="zh-CN" w:bidi="ar"/>
              </w:rPr>
              <w:t>0）</w:t>
            </w:r>
            <w:r>
              <w:rPr>
                <w:rFonts w:hint="default" w:ascii="Times New Roman" w:hAnsi="Times New Roman" w:eastAsia="宋体" w:cs="Times New Roman"/>
                <w:color w:val="auto"/>
                <w:spacing w:val="6"/>
                <w:kern w:val="0"/>
                <w:sz w:val="21"/>
                <w:szCs w:val="21"/>
                <w:highlight w:val="none"/>
                <w:lang w:val="en-US" w:eastAsia="zh-CN" w:bidi="ar"/>
              </w:rPr>
              <w:t>×5×3=</w:t>
            </w:r>
            <w:r>
              <w:rPr>
                <w:rFonts w:hint="eastAsia" w:cs="Times New Roman"/>
                <w:color w:val="auto"/>
                <w:spacing w:val="6"/>
                <w:kern w:val="0"/>
                <w:sz w:val="21"/>
                <w:szCs w:val="21"/>
                <w:highlight w:val="none"/>
                <w:lang w:val="en-US" w:eastAsia="zh-CN" w:bidi="ar"/>
              </w:rPr>
              <w:t>300</w:t>
            </w:r>
            <w:r>
              <w:rPr>
                <w:rFonts w:hint="eastAsia" w:ascii="Times New Roman" w:hAnsi="Times New Roman" w:eastAsia="宋体" w:cs="Times New Roman"/>
                <w:color w:val="auto"/>
                <w:spacing w:val="6"/>
                <w:kern w:val="0"/>
                <w:sz w:val="21"/>
                <w:szCs w:val="21"/>
                <w:highlight w:val="none"/>
                <w:lang w:val="en-US" w:eastAsia="zh-CN" w:bidi="ar"/>
              </w:rPr>
              <w:t>0</w:t>
            </w:r>
            <w:r>
              <w:rPr>
                <w:rFonts w:hint="default" w:ascii="Times New Roman" w:hAnsi="Times New Roman" w:eastAsia="宋体" w:cs="Times New Roman"/>
                <w:color w:val="auto"/>
                <w:spacing w:val="6"/>
                <w:kern w:val="0"/>
                <w:sz w:val="21"/>
                <w:szCs w:val="21"/>
                <w:highlight w:val="none"/>
                <w:lang w:val="en-US" w:eastAsia="zh-CN" w:bidi="ar"/>
              </w:rPr>
              <w:t>个。根据建设单位提供资料，每个器皿润洗一次需要水量约为20mL，每个器皿后续清洗一次用水量约为100mL，纯水清洗一次需要水量约为20mL。清洗废水、废液</w:t>
            </w:r>
            <w:r>
              <w:rPr>
                <w:rFonts w:hint="eastAsia" w:ascii="Times New Roman" w:hAnsi="Times New Roman" w:eastAsia="宋体" w:cs="Times New Roman"/>
                <w:color w:val="auto"/>
                <w:spacing w:val="6"/>
                <w:kern w:val="0"/>
                <w:sz w:val="21"/>
                <w:szCs w:val="21"/>
                <w:highlight w:val="none"/>
                <w:lang w:val="en-US" w:eastAsia="zh-CN" w:bidi="ar"/>
              </w:rPr>
              <w:t>损耗</w:t>
            </w:r>
            <w:r>
              <w:rPr>
                <w:rFonts w:hint="default" w:ascii="Times New Roman" w:hAnsi="Times New Roman" w:eastAsia="宋体" w:cs="Times New Roman"/>
                <w:color w:val="auto"/>
                <w:spacing w:val="6"/>
                <w:kern w:val="0"/>
                <w:sz w:val="21"/>
                <w:szCs w:val="21"/>
                <w:highlight w:val="none"/>
                <w:lang w:val="en-US" w:eastAsia="zh-CN" w:bidi="ar"/>
              </w:rPr>
              <w:t>按90%考虑，蒸发损耗按10%考虑，则本项目实验室器皿清洗废水、废液产生量详见下表。</w:t>
            </w:r>
          </w:p>
          <w:p w14:paraId="77B6C9BD">
            <w:pPr>
              <w:widowControl/>
              <w:numPr>
                <w:ilvl w:val="0"/>
                <w:numId w:val="0"/>
              </w:numPr>
              <w:spacing w:line="360" w:lineRule="auto"/>
              <w:ind w:leftChars="0"/>
              <w:contextualSpacing/>
              <w:jc w:val="center"/>
              <w:rPr>
                <w:rFonts w:hint="default" w:ascii="Times New Roman" w:hAnsi="Times New Roman" w:eastAsia="宋体" w:cs="Times New Roman"/>
                <w:b/>
                <w:bCs/>
                <w:color w:val="auto"/>
                <w:kern w:val="2"/>
                <w:sz w:val="21"/>
                <w:szCs w:val="21"/>
                <w:highlight w:val="none"/>
                <w:lang w:val="en-US" w:eastAsia="zh-CN" w:bidi="ar-SA"/>
              </w:rPr>
            </w:pPr>
            <w:r>
              <w:rPr>
                <w:rFonts w:hint="eastAsia" w:cs="Times New Roman"/>
                <w:b/>
                <w:bCs/>
                <w:color w:val="auto"/>
                <w:kern w:val="2"/>
                <w:sz w:val="21"/>
                <w:szCs w:val="21"/>
                <w:highlight w:val="none"/>
                <w:lang w:val="en-US" w:eastAsia="zh-CN" w:bidi="ar-SA"/>
              </w:rPr>
              <w:t>表7</w:t>
            </w:r>
            <w:r>
              <w:rPr>
                <w:rFonts w:hint="default" w:ascii="Times New Roman" w:hAnsi="Times New Roman" w:eastAsia="宋体" w:cs="Times New Roman"/>
                <w:b/>
                <w:bCs/>
                <w:color w:val="auto"/>
                <w:kern w:val="2"/>
                <w:sz w:val="21"/>
                <w:szCs w:val="21"/>
                <w:highlight w:val="none"/>
                <w:lang w:val="en-US" w:eastAsia="zh-CN" w:bidi="ar-SA"/>
              </w:rPr>
              <w:t>项目实验室器皿清洗用水一览表（普通检测</w:t>
            </w:r>
            <w:r>
              <w:rPr>
                <w:rFonts w:hint="eastAsia" w:ascii="Times New Roman" w:hAnsi="Times New Roman" w:eastAsia="宋体" w:cs="Times New Roman"/>
                <w:b/>
                <w:bCs/>
                <w:color w:val="auto"/>
                <w:kern w:val="2"/>
                <w:sz w:val="21"/>
                <w:szCs w:val="21"/>
                <w:highlight w:val="none"/>
                <w:lang w:val="en-US" w:eastAsia="zh-CN" w:bidi="ar-SA"/>
              </w:rPr>
              <w:t>样品</w:t>
            </w:r>
            <w:r>
              <w:rPr>
                <w:rFonts w:hint="default" w:ascii="Times New Roman" w:hAnsi="Times New Roman" w:eastAsia="宋体" w:cs="Times New Roman"/>
                <w:b/>
                <w:bCs/>
                <w:color w:val="auto"/>
                <w:kern w:val="2"/>
                <w:sz w:val="21"/>
                <w:szCs w:val="21"/>
                <w:highlight w:val="none"/>
                <w:lang w:val="en-US" w:eastAsia="zh-CN" w:bidi="ar-SA"/>
              </w:rPr>
              <w:t>）</w:t>
            </w:r>
          </w:p>
          <w:tbl>
            <w:tblPr>
              <w:tblStyle w:val="3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82"/>
              <w:gridCol w:w="882"/>
              <w:gridCol w:w="953"/>
              <w:gridCol w:w="883"/>
              <w:gridCol w:w="883"/>
              <w:gridCol w:w="883"/>
              <w:gridCol w:w="883"/>
              <w:gridCol w:w="883"/>
              <w:gridCol w:w="883"/>
            </w:tblGrid>
            <w:tr w14:paraId="7191D3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2" w:type="dxa"/>
                  <w:noWrap w:val="0"/>
                  <w:vAlign w:val="center"/>
                </w:tcPr>
                <w:p w14:paraId="26C70849">
                  <w:pPr>
                    <w:jc w:val="center"/>
                    <w:rPr>
                      <w:rFonts w:hint="default" w:ascii="Times New Roman" w:hAnsi="Times New Roman" w:cs="Times New Roman"/>
                      <w:b/>
                      <w:bCs/>
                      <w:color w:val="auto"/>
                      <w:highlight w:val="none"/>
                      <w:vertAlign w:val="baseline"/>
                      <w:lang w:val="en-US" w:eastAsia="zh-CN"/>
                    </w:rPr>
                  </w:pPr>
                  <w:r>
                    <w:rPr>
                      <w:rFonts w:hint="default" w:ascii="Times New Roman" w:hAnsi="Times New Roman" w:cs="Times New Roman"/>
                      <w:b/>
                      <w:bCs/>
                      <w:color w:val="auto"/>
                      <w:highlight w:val="none"/>
                      <w:vertAlign w:val="baseline"/>
                      <w:lang w:val="en-US" w:eastAsia="zh-CN"/>
                    </w:rPr>
                    <w:t>清洗过程</w:t>
                  </w:r>
                </w:p>
              </w:tc>
              <w:tc>
                <w:tcPr>
                  <w:tcW w:w="882" w:type="dxa"/>
                  <w:noWrap w:val="0"/>
                  <w:vAlign w:val="center"/>
                </w:tcPr>
                <w:p w14:paraId="59FE6F9D">
                  <w:pPr>
                    <w:jc w:val="center"/>
                    <w:rPr>
                      <w:rFonts w:hint="default" w:ascii="Times New Roman" w:hAnsi="Times New Roman" w:cs="Times New Roman"/>
                      <w:b/>
                      <w:bCs/>
                      <w:color w:val="auto"/>
                      <w:highlight w:val="none"/>
                      <w:vertAlign w:val="baseline"/>
                      <w:lang w:val="en-US" w:eastAsia="zh-CN"/>
                    </w:rPr>
                  </w:pPr>
                  <w:r>
                    <w:rPr>
                      <w:rFonts w:hint="default" w:ascii="Times New Roman" w:hAnsi="Times New Roman" w:cs="Times New Roman"/>
                      <w:b/>
                      <w:bCs/>
                      <w:color w:val="auto"/>
                      <w:highlight w:val="none"/>
                      <w:vertAlign w:val="baseline"/>
                      <w:lang w:val="en-US" w:eastAsia="zh-CN"/>
                    </w:rPr>
                    <w:t>用水水质</w:t>
                  </w:r>
                </w:p>
              </w:tc>
              <w:tc>
                <w:tcPr>
                  <w:tcW w:w="883" w:type="dxa"/>
                  <w:noWrap w:val="0"/>
                  <w:vAlign w:val="center"/>
                </w:tcPr>
                <w:p w14:paraId="1167E6BF">
                  <w:pPr>
                    <w:jc w:val="center"/>
                    <w:rPr>
                      <w:rFonts w:hint="default" w:ascii="Times New Roman" w:hAnsi="Times New Roman" w:cs="Times New Roman"/>
                      <w:b/>
                      <w:bCs/>
                      <w:color w:val="auto"/>
                      <w:highlight w:val="none"/>
                      <w:vertAlign w:val="baseline"/>
                      <w:lang w:val="en-US" w:eastAsia="zh-CN"/>
                    </w:rPr>
                  </w:pPr>
                  <w:r>
                    <w:rPr>
                      <w:rFonts w:hint="default" w:ascii="Times New Roman" w:hAnsi="Times New Roman" w:cs="Times New Roman"/>
                      <w:b/>
                      <w:bCs/>
                      <w:color w:val="auto"/>
                      <w:highlight w:val="none"/>
                      <w:vertAlign w:val="baseline"/>
                      <w:lang w:val="en-US" w:eastAsia="zh-CN"/>
                    </w:rPr>
                    <w:t>单次用水量（mL）</w:t>
                  </w:r>
                </w:p>
              </w:tc>
              <w:tc>
                <w:tcPr>
                  <w:tcW w:w="883" w:type="dxa"/>
                  <w:noWrap w:val="0"/>
                  <w:vAlign w:val="center"/>
                </w:tcPr>
                <w:p w14:paraId="442EC4D9">
                  <w:pPr>
                    <w:jc w:val="center"/>
                    <w:rPr>
                      <w:rFonts w:hint="default" w:ascii="Times New Roman" w:hAnsi="Times New Roman" w:cs="Times New Roman"/>
                      <w:b/>
                      <w:bCs/>
                      <w:color w:val="auto"/>
                      <w:highlight w:val="none"/>
                      <w:vertAlign w:val="baseline"/>
                      <w:lang w:val="en-US" w:eastAsia="zh-CN"/>
                    </w:rPr>
                  </w:pPr>
                  <w:r>
                    <w:rPr>
                      <w:rFonts w:hint="default" w:ascii="Times New Roman" w:hAnsi="Times New Roman" w:cs="Times New Roman"/>
                      <w:b/>
                      <w:bCs/>
                      <w:color w:val="auto"/>
                      <w:highlight w:val="none"/>
                      <w:vertAlign w:val="baseline"/>
                      <w:lang w:val="en-US" w:eastAsia="zh-CN"/>
                    </w:rPr>
                    <w:t>清洗次数</w:t>
                  </w:r>
                </w:p>
              </w:tc>
              <w:tc>
                <w:tcPr>
                  <w:tcW w:w="883" w:type="dxa"/>
                  <w:noWrap w:val="0"/>
                  <w:vAlign w:val="center"/>
                </w:tcPr>
                <w:p w14:paraId="1BE2FD40">
                  <w:pPr>
                    <w:jc w:val="center"/>
                    <w:rPr>
                      <w:rFonts w:hint="default" w:ascii="Times New Roman" w:hAnsi="Times New Roman" w:cs="Times New Roman"/>
                      <w:b/>
                      <w:bCs/>
                      <w:color w:val="auto"/>
                      <w:highlight w:val="none"/>
                      <w:vertAlign w:val="baseline"/>
                      <w:lang w:val="en-US" w:eastAsia="zh-CN"/>
                    </w:rPr>
                  </w:pPr>
                  <w:r>
                    <w:rPr>
                      <w:rFonts w:hint="default" w:ascii="Times New Roman" w:hAnsi="Times New Roman" w:cs="Times New Roman"/>
                      <w:b/>
                      <w:bCs/>
                      <w:color w:val="auto"/>
                      <w:highlight w:val="none"/>
                      <w:vertAlign w:val="baseline"/>
                      <w:lang w:val="en-US" w:eastAsia="zh-CN"/>
                    </w:rPr>
                    <w:t>样品个数（个/年）</w:t>
                  </w:r>
                </w:p>
              </w:tc>
              <w:tc>
                <w:tcPr>
                  <w:tcW w:w="883" w:type="dxa"/>
                  <w:noWrap w:val="0"/>
                  <w:vAlign w:val="center"/>
                </w:tcPr>
                <w:p w14:paraId="33001138">
                  <w:pPr>
                    <w:jc w:val="center"/>
                    <w:rPr>
                      <w:rFonts w:hint="default" w:ascii="Times New Roman" w:hAnsi="Times New Roman" w:cs="Times New Roman"/>
                      <w:b/>
                      <w:bCs/>
                      <w:color w:val="auto"/>
                      <w:highlight w:val="none"/>
                      <w:vertAlign w:val="baseline"/>
                      <w:lang w:val="en-US" w:eastAsia="zh-CN"/>
                    </w:rPr>
                  </w:pPr>
                  <w:r>
                    <w:rPr>
                      <w:rFonts w:hint="default" w:ascii="Times New Roman" w:hAnsi="Times New Roman" w:cs="Times New Roman"/>
                      <w:b/>
                      <w:bCs/>
                      <w:color w:val="auto"/>
                      <w:highlight w:val="none"/>
                      <w:vertAlign w:val="baseline"/>
                      <w:lang w:val="en-US" w:eastAsia="zh-CN"/>
                    </w:rPr>
                    <w:t>用水量（t/a）</w:t>
                  </w:r>
                </w:p>
              </w:tc>
              <w:tc>
                <w:tcPr>
                  <w:tcW w:w="883" w:type="dxa"/>
                  <w:noWrap w:val="0"/>
                  <w:vAlign w:val="center"/>
                </w:tcPr>
                <w:p w14:paraId="16322CE1">
                  <w:pPr>
                    <w:jc w:val="center"/>
                    <w:rPr>
                      <w:rFonts w:hint="default" w:ascii="Times New Roman" w:hAnsi="Times New Roman" w:cs="Times New Roman"/>
                      <w:b/>
                      <w:bCs/>
                      <w:color w:val="auto"/>
                      <w:highlight w:val="none"/>
                      <w:vertAlign w:val="baseline"/>
                      <w:lang w:val="en-US" w:eastAsia="zh-CN"/>
                    </w:rPr>
                  </w:pPr>
                  <w:r>
                    <w:rPr>
                      <w:rFonts w:hint="default" w:ascii="Times New Roman" w:hAnsi="Times New Roman" w:cs="Times New Roman"/>
                      <w:b/>
                      <w:bCs/>
                      <w:color w:val="auto"/>
                      <w:highlight w:val="none"/>
                      <w:vertAlign w:val="baseline"/>
                      <w:lang w:val="en-US" w:eastAsia="zh-CN"/>
                    </w:rPr>
                    <w:t>蒸发损耗（t/a）</w:t>
                  </w:r>
                </w:p>
              </w:tc>
              <w:tc>
                <w:tcPr>
                  <w:tcW w:w="883" w:type="dxa"/>
                  <w:noWrap w:val="0"/>
                  <w:vAlign w:val="center"/>
                </w:tcPr>
                <w:p w14:paraId="4399C7C2">
                  <w:pPr>
                    <w:jc w:val="center"/>
                    <w:rPr>
                      <w:rFonts w:hint="default" w:ascii="Times New Roman" w:hAnsi="Times New Roman" w:cs="Times New Roman"/>
                      <w:b/>
                      <w:bCs/>
                      <w:color w:val="auto"/>
                      <w:highlight w:val="none"/>
                      <w:vertAlign w:val="baseline"/>
                      <w:lang w:val="en-US" w:eastAsia="zh-CN"/>
                    </w:rPr>
                  </w:pPr>
                  <w:r>
                    <w:rPr>
                      <w:rFonts w:hint="default" w:ascii="Times New Roman" w:hAnsi="Times New Roman" w:cs="Times New Roman"/>
                      <w:b/>
                      <w:bCs/>
                      <w:color w:val="auto"/>
                      <w:highlight w:val="none"/>
                      <w:vertAlign w:val="baseline"/>
                      <w:lang w:val="en-US" w:eastAsia="zh-CN"/>
                    </w:rPr>
                    <w:t>废水量（t/a）</w:t>
                  </w:r>
                </w:p>
              </w:tc>
              <w:tc>
                <w:tcPr>
                  <w:tcW w:w="883" w:type="dxa"/>
                  <w:noWrap w:val="0"/>
                  <w:vAlign w:val="center"/>
                </w:tcPr>
                <w:p w14:paraId="65185DA8">
                  <w:pPr>
                    <w:jc w:val="center"/>
                    <w:rPr>
                      <w:rFonts w:hint="default" w:ascii="Times New Roman" w:hAnsi="Times New Roman" w:cs="Times New Roman"/>
                      <w:b/>
                      <w:bCs/>
                      <w:color w:val="auto"/>
                      <w:highlight w:val="none"/>
                      <w:vertAlign w:val="baseline"/>
                      <w:lang w:val="en-US" w:eastAsia="zh-CN"/>
                    </w:rPr>
                  </w:pPr>
                  <w:r>
                    <w:rPr>
                      <w:rFonts w:hint="default" w:ascii="Times New Roman" w:hAnsi="Times New Roman" w:cs="Times New Roman"/>
                      <w:b/>
                      <w:bCs/>
                      <w:color w:val="auto"/>
                      <w:highlight w:val="none"/>
                      <w:vertAlign w:val="baseline"/>
                      <w:lang w:val="en-US" w:eastAsia="zh-CN"/>
                    </w:rPr>
                    <w:t>废液量（t/a）</w:t>
                  </w:r>
                </w:p>
              </w:tc>
            </w:tr>
            <w:tr w14:paraId="1999DA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2" w:type="dxa"/>
                  <w:noWrap w:val="0"/>
                  <w:vAlign w:val="center"/>
                </w:tcPr>
                <w:p w14:paraId="0B3E61D4">
                  <w:pPr>
                    <w:jc w:val="center"/>
                    <w:rPr>
                      <w:rFonts w:hint="default" w:ascii="Times New Roman" w:hAnsi="Times New Roman" w:cs="Times New Roman"/>
                      <w:color w:val="auto"/>
                      <w:highlight w:val="none"/>
                      <w:vertAlign w:val="baseline"/>
                      <w:lang w:val="en-US" w:eastAsia="zh-CN"/>
                    </w:rPr>
                  </w:pPr>
                  <w:r>
                    <w:rPr>
                      <w:rFonts w:hint="default" w:ascii="Times New Roman" w:hAnsi="Times New Roman" w:cs="Times New Roman"/>
                      <w:color w:val="auto"/>
                      <w:highlight w:val="none"/>
                      <w:vertAlign w:val="baseline"/>
                      <w:lang w:val="en-US" w:eastAsia="zh-CN"/>
                    </w:rPr>
                    <w:t>润洗</w:t>
                  </w:r>
                </w:p>
              </w:tc>
              <w:tc>
                <w:tcPr>
                  <w:tcW w:w="882" w:type="dxa"/>
                  <w:noWrap w:val="0"/>
                  <w:vAlign w:val="center"/>
                </w:tcPr>
                <w:p w14:paraId="2763482A">
                  <w:pPr>
                    <w:jc w:val="center"/>
                    <w:rPr>
                      <w:rFonts w:hint="default" w:ascii="Times New Roman" w:hAnsi="Times New Roman" w:cs="Times New Roman"/>
                      <w:color w:val="auto"/>
                      <w:highlight w:val="none"/>
                      <w:vertAlign w:val="baseline"/>
                      <w:lang w:val="en-US" w:eastAsia="zh-CN"/>
                    </w:rPr>
                  </w:pPr>
                  <w:r>
                    <w:rPr>
                      <w:rFonts w:hint="default" w:ascii="Times New Roman" w:hAnsi="Times New Roman" w:cs="Times New Roman"/>
                      <w:color w:val="auto"/>
                      <w:highlight w:val="none"/>
                      <w:vertAlign w:val="baseline"/>
                      <w:lang w:val="en-US" w:eastAsia="zh-CN"/>
                    </w:rPr>
                    <w:t>自来水</w:t>
                  </w:r>
                </w:p>
              </w:tc>
              <w:tc>
                <w:tcPr>
                  <w:tcW w:w="883" w:type="dxa"/>
                  <w:noWrap w:val="0"/>
                  <w:vAlign w:val="center"/>
                </w:tcPr>
                <w:p w14:paraId="771939C7">
                  <w:pPr>
                    <w:jc w:val="center"/>
                    <w:rPr>
                      <w:rFonts w:hint="default" w:ascii="Times New Roman" w:hAnsi="Times New Roman" w:cs="Times New Roman"/>
                      <w:color w:val="auto"/>
                      <w:highlight w:val="none"/>
                      <w:vertAlign w:val="baseline"/>
                      <w:lang w:val="en-US" w:eastAsia="zh-CN"/>
                    </w:rPr>
                  </w:pPr>
                  <w:r>
                    <w:rPr>
                      <w:rFonts w:hint="default" w:ascii="Times New Roman" w:hAnsi="Times New Roman" w:cs="Times New Roman"/>
                      <w:color w:val="auto"/>
                      <w:highlight w:val="none"/>
                      <w:vertAlign w:val="baseline"/>
                      <w:lang w:val="en-US" w:eastAsia="zh-CN"/>
                    </w:rPr>
                    <w:t>20</w:t>
                  </w:r>
                </w:p>
              </w:tc>
              <w:tc>
                <w:tcPr>
                  <w:tcW w:w="883" w:type="dxa"/>
                  <w:noWrap w:val="0"/>
                  <w:vAlign w:val="center"/>
                </w:tcPr>
                <w:p w14:paraId="44751275">
                  <w:pPr>
                    <w:jc w:val="center"/>
                    <w:rPr>
                      <w:rFonts w:hint="default" w:ascii="Times New Roman" w:hAnsi="Times New Roman" w:cs="Times New Roman"/>
                      <w:color w:val="auto"/>
                      <w:highlight w:val="none"/>
                      <w:vertAlign w:val="baseline"/>
                      <w:lang w:val="en-US" w:eastAsia="zh-CN"/>
                    </w:rPr>
                  </w:pPr>
                  <w:r>
                    <w:rPr>
                      <w:rFonts w:hint="default" w:ascii="Times New Roman" w:hAnsi="Times New Roman" w:cs="Times New Roman"/>
                      <w:color w:val="auto"/>
                      <w:highlight w:val="none"/>
                      <w:vertAlign w:val="baseline"/>
                      <w:lang w:val="en-US" w:eastAsia="zh-CN"/>
                    </w:rPr>
                    <w:t>1</w:t>
                  </w:r>
                </w:p>
              </w:tc>
              <w:tc>
                <w:tcPr>
                  <w:tcW w:w="883" w:type="dxa"/>
                  <w:noWrap w:val="0"/>
                  <w:vAlign w:val="center"/>
                </w:tcPr>
                <w:p w14:paraId="36BDB132">
                  <w:pPr>
                    <w:keepNext w:val="0"/>
                    <w:keepLines w:val="0"/>
                    <w:widowControl/>
                    <w:suppressLineNumbers w:val="0"/>
                    <w:jc w:val="center"/>
                    <w:textAlignment w:val="center"/>
                    <w:rPr>
                      <w:rFonts w:hint="default" w:ascii="Times New Roman" w:hAnsi="Times New Roman" w:cs="Times New Roman"/>
                      <w:color w:val="auto"/>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24000</w:t>
                  </w:r>
                </w:p>
              </w:tc>
              <w:tc>
                <w:tcPr>
                  <w:tcW w:w="883" w:type="dxa"/>
                  <w:noWrap w:val="0"/>
                  <w:vAlign w:val="center"/>
                </w:tcPr>
                <w:p w14:paraId="608A614F">
                  <w:pPr>
                    <w:keepNext w:val="0"/>
                    <w:keepLines w:val="0"/>
                    <w:widowControl/>
                    <w:suppressLineNumbers w:val="0"/>
                    <w:jc w:val="center"/>
                    <w:textAlignment w:val="center"/>
                    <w:rPr>
                      <w:rFonts w:hint="default" w:ascii="Times New Roman" w:hAnsi="Times New Roman" w:cs="Times New Roman"/>
                      <w:color w:val="auto"/>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0.48</w:t>
                  </w:r>
                </w:p>
              </w:tc>
              <w:tc>
                <w:tcPr>
                  <w:tcW w:w="883" w:type="dxa"/>
                  <w:noWrap w:val="0"/>
                  <w:vAlign w:val="center"/>
                </w:tcPr>
                <w:p w14:paraId="025FD2E7">
                  <w:pPr>
                    <w:keepNext w:val="0"/>
                    <w:keepLines w:val="0"/>
                    <w:widowControl/>
                    <w:suppressLineNumbers w:val="0"/>
                    <w:jc w:val="center"/>
                    <w:textAlignment w:val="center"/>
                    <w:rPr>
                      <w:rFonts w:hint="default" w:ascii="Times New Roman" w:hAnsi="Times New Roman" w:cs="Times New Roman"/>
                      <w:color w:val="auto"/>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0.048</w:t>
                  </w:r>
                </w:p>
              </w:tc>
              <w:tc>
                <w:tcPr>
                  <w:tcW w:w="883" w:type="dxa"/>
                  <w:noWrap w:val="0"/>
                  <w:vAlign w:val="center"/>
                </w:tcPr>
                <w:p w14:paraId="5F5687BA">
                  <w:pPr>
                    <w:keepNext w:val="0"/>
                    <w:keepLines w:val="0"/>
                    <w:widowControl/>
                    <w:suppressLineNumbers w:val="0"/>
                    <w:jc w:val="center"/>
                    <w:textAlignment w:val="center"/>
                    <w:rPr>
                      <w:rFonts w:hint="default" w:ascii="Times New Roman" w:hAnsi="Times New Roman" w:cs="Times New Roman"/>
                      <w:color w:val="auto"/>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883" w:type="dxa"/>
                  <w:noWrap w:val="0"/>
                  <w:vAlign w:val="center"/>
                </w:tcPr>
                <w:p w14:paraId="6342C8CC">
                  <w:pPr>
                    <w:keepNext w:val="0"/>
                    <w:keepLines w:val="0"/>
                    <w:widowControl/>
                    <w:suppressLineNumbers w:val="0"/>
                    <w:jc w:val="center"/>
                    <w:textAlignment w:val="center"/>
                    <w:rPr>
                      <w:rFonts w:hint="default" w:ascii="Times New Roman" w:hAnsi="Times New Roman" w:cs="Times New Roman"/>
                      <w:color w:val="auto"/>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0.432</w:t>
                  </w:r>
                </w:p>
              </w:tc>
            </w:tr>
            <w:tr w14:paraId="386629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2" w:type="dxa"/>
                  <w:noWrap w:val="0"/>
                  <w:vAlign w:val="center"/>
                </w:tcPr>
                <w:p w14:paraId="26DFC5EC">
                  <w:pPr>
                    <w:jc w:val="center"/>
                    <w:rPr>
                      <w:rFonts w:hint="default" w:ascii="Times New Roman" w:hAnsi="Times New Roman" w:cs="Times New Roman"/>
                      <w:color w:val="auto"/>
                      <w:highlight w:val="none"/>
                      <w:vertAlign w:val="baseline"/>
                      <w:lang w:val="en-US" w:eastAsia="zh-CN"/>
                    </w:rPr>
                  </w:pPr>
                  <w:r>
                    <w:rPr>
                      <w:rFonts w:hint="default" w:ascii="Times New Roman" w:hAnsi="Times New Roman" w:cs="Times New Roman"/>
                      <w:color w:val="auto"/>
                      <w:highlight w:val="none"/>
                      <w:vertAlign w:val="baseline"/>
                      <w:lang w:val="en-US" w:eastAsia="zh-CN"/>
                    </w:rPr>
                    <w:t>后续洗</w:t>
                  </w:r>
                </w:p>
              </w:tc>
              <w:tc>
                <w:tcPr>
                  <w:tcW w:w="882" w:type="dxa"/>
                  <w:noWrap w:val="0"/>
                  <w:vAlign w:val="center"/>
                </w:tcPr>
                <w:p w14:paraId="550C0255">
                  <w:pPr>
                    <w:jc w:val="center"/>
                    <w:rPr>
                      <w:rFonts w:hint="default" w:ascii="Times New Roman" w:hAnsi="Times New Roman" w:cs="Times New Roman"/>
                      <w:color w:val="auto"/>
                      <w:highlight w:val="none"/>
                      <w:vertAlign w:val="baseline"/>
                      <w:lang w:val="en-US" w:eastAsia="zh-CN"/>
                    </w:rPr>
                  </w:pPr>
                  <w:r>
                    <w:rPr>
                      <w:rFonts w:hint="default" w:ascii="Times New Roman" w:hAnsi="Times New Roman" w:cs="Times New Roman"/>
                      <w:color w:val="auto"/>
                      <w:highlight w:val="none"/>
                      <w:vertAlign w:val="baseline"/>
                      <w:lang w:val="en-US" w:eastAsia="zh-CN"/>
                    </w:rPr>
                    <w:t>自来水</w:t>
                  </w:r>
                </w:p>
              </w:tc>
              <w:tc>
                <w:tcPr>
                  <w:tcW w:w="883" w:type="dxa"/>
                  <w:noWrap w:val="0"/>
                  <w:vAlign w:val="center"/>
                </w:tcPr>
                <w:p w14:paraId="49ADFCF2">
                  <w:pPr>
                    <w:jc w:val="center"/>
                    <w:rPr>
                      <w:rFonts w:hint="default" w:ascii="Times New Roman" w:hAnsi="Times New Roman" w:cs="Times New Roman"/>
                      <w:color w:val="auto"/>
                      <w:highlight w:val="none"/>
                      <w:vertAlign w:val="baseline"/>
                      <w:lang w:val="en-US" w:eastAsia="zh-CN"/>
                    </w:rPr>
                  </w:pPr>
                  <w:r>
                    <w:rPr>
                      <w:rFonts w:hint="default" w:ascii="Times New Roman" w:hAnsi="Times New Roman" w:cs="Times New Roman"/>
                      <w:color w:val="auto"/>
                      <w:highlight w:val="none"/>
                      <w:vertAlign w:val="baseline"/>
                      <w:lang w:val="en-US" w:eastAsia="zh-CN"/>
                    </w:rPr>
                    <w:t>100</w:t>
                  </w:r>
                </w:p>
              </w:tc>
              <w:tc>
                <w:tcPr>
                  <w:tcW w:w="883" w:type="dxa"/>
                  <w:noWrap w:val="0"/>
                  <w:vAlign w:val="center"/>
                </w:tcPr>
                <w:p w14:paraId="7DAE24FC">
                  <w:pPr>
                    <w:jc w:val="center"/>
                    <w:rPr>
                      <w:rFonts w:hint="default" w:ascii="Times New Roman" w:hAnsi="Times New Roman" w:cs="Times New Roman"/>
                      <w:color w:val="auto"/>
                      <w:highlight w:val="none"/>
                      <w:vertAlign w:val="baseline"/>
                      <w:lang w:val="en-US" w:eastAsia="zh-CN"/>
                    </w:rPr>
                  </w:pPr>
                  <w:r>
                    <w:rPr>
                      <w:rFonts w:hint="default" w:ascii="Times New Roman" w:hAnsi="Times New Roman" w:cs="Times New Roman"/>
                      <w:color w:val="auto"/>
                      <w:highlight w:val="none"/>
                      <w:vertAlign w:val="baseline"/>
                      <w:lang w:val="en-US" w:eastAsia="zh-CN"/>
                    </w:rPr>
                    <w:t>1</w:t>
                  </w:r>
                </w:p>
              </w:tc>
              <w:tc>
                <w:tcPr>
                  <w:tcW w:w="883" w:type="dxa"/>
                  <w:noWrap w:val="0"/>
                  <w:vAlign w:val="center"/>
                </w:tcPr>
                <w:p w14:paraId="1CE4DC49">
                  <w:pPr>
                    <w:keepNext w:val="0"/>
                    <w:keepLines w:val="0"/>
                    <w:widowControl/>
                    <w:suppressLineNumbers w:val="0"/>
                    <w:jc w:val="center"/>
                    <w:textAlignment w:val="center"/>
                    <w:rPr>
                      <w:rFonts w:hint="default" w:ascii="Times New Roman" w:hAnsi="Times New Roman" w:cs="Times New Roman"/>
                      <w:color w:val="auto"/>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24000</w:t>
                  </w:r>
                </w:p>
              </w:tc>
              <w:tc>
                <w:tcPr>
                  <w:tcW w:w="883" w:type="dxa"/>
                  <w:noWrap w:val="0"/>
                  <w:vAlign w:val="center"/>
                </w:tcPr>
                <w:p w14:paraId="2A55C872">
                  <w:pPr>
                    <w:keepNext w:val="0"/>
                    <w:keepLines w:val="0"/>
                    <w:widowControl/>
                    <w:suppressLineNumbers w:val="0"/>
                    <w:jc w:val="center"/>
                    <w:textAlignment w:val="center"/>
                    <w:rPr>
                      <w:rFonts w:hint="default" w:ascii="Times New Roman" w:hAnsi="Times New Roman" w:cs="Times New Roman"/>
                      <w:color w:val="auto"/>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2.4</w:t>
                  </w:r>
                </w:p>
              </w:tc>
              <w:tc>
                <w:tcPr>
                  <w:tcW w:w="883" w:type="dxa"/>
                  <w:noWrap w:val="0"/>
                  <w:vAlign w:val="center"/>
                </w:tcPr>
                <w:p w14:paraId="740C50C0">
                  <w:pPr>
                    <w:keepNext w:val="0"/>
                    <w:keepLines w:val="0"/>
                    <w:widowControl/>
                    <w:suppressLineNumbers w:val="0"/>
                    <w:jc w:val="center"/>
                    <w:textAlignment w:val="center"/>
                    <w:rPr>
                      <w:rFonts w:hint="default" w:ascii="Times New Roman" w:hAnsi="Times New Roman" w:cs="Times New Roman"/>
                      <w:color w:val="auto"/>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0.24</w:t>
                  </w:r>
                </w:p>
              </w:tc>
              <w:tc>
                <w:tcPr>
                  <w:tcW w:w="883" w:type="dxa"/>
                  <w:noWrap w:val="0"/>
                  <w:vAlign w:val="center"/>
                </w:tcPr>
                <w:p w14:paraId="600D64AA">
                  <w:pPr>
                    <w:keepNext w:val="0"/>
                    <w:keepLines w:val="0"/>
                    <w:widowControl/>
                    <w:suppressLineNumbers w:val="0"/>
                    <w:jc w:val="center"/>
                    <w:textAlignment w:val="center"/>
                    <w:rPr>
                      <w:rFonts w:hint="default" w:ascii="Times New Roman" w:hAnsi="Times New Roman" w:cs="Times New Roman"/>
                      <w:color w:val="auto"/>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2.16</w:t>
                  </w:r>
                </w:p>
              </w:tc>
              <w:tc>
                <w:tcPr>
                  <w:tcW w:w="883" w:type="dxa"/>
                  <w:noWrap w:val="0"/>
                  <w:vAlign w:val="center"/>
                </w:tcPr>
                <w:p w14:paraId="44E13F7B">
                  <w:pPr>
                    <w:keepNext w:val="0"/>
                    <w:keepLines w:val="0"/>
                    <w:widowControl/>
                    <w:suppressLineNumbers w:val="0"/>
                    <w:jc w:val="center"/>
                    <w:textAlignment w:val="center"/>
                    <w:rPr>
                      <w:rFonts w:hint="default" w:ascii="Times New Roman" w:hAnsi="Times New Roman" w:cs="Times New Roman"/>
                      <w:color w:val="auto"/>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r>
            <w:tr w14:paraId="448764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2" w:type="dxa"/>
                  <w:noWrap w:val="0"/>
                  <w:vAlign w:val="center"/>
                </w:tcPr>
                <w:p w14:paraId="2325D65D">
                  <w:pPr>
                    <w:jc w:val="center"/>
                    <w:rPr>
                      <w:rFonts w:hint="default" w:ascii="Times New Roman" w:hAnsi="Times New Roman" w:cs="Times New Roman"/>
                      <w:color w:val="auto"/>
                      <w:highlight w:val="none"/>
                      <w:vertAlign w:val="baseline"/>
                      <w:lang w:val="en-US" w:eastAsia="zh-CN"/>
                    </w:rPr>
                  </w:pPr>
                  <w:r>
                    <w:rPr>
                      <w:rFonts w:hint="default" w:ascii="Times New Roman" w:hAnsi="Times New Roman" w:cs="Times New Roman"/>
                      <w:color w:val="auto"/>
                      <w:highlight w:val="none"/>
                      <w:vertAlign w:val="baseline"/>
                      <w:lang w:val="en-US" w:eastAsia="zh-CN"/>
                    </w:rPr>
                    <w:t>纯水洗</w:t>
                  </w:r>
                </w:p>
              </w:tc>
              <w:tc>
                <w:tcPr>
                  <w:tcW w:w="882" w:type="dxa"/>
                  <w:noWrap w:val="0"/>
                  <w:vAlign w:val="center"/>
                </w:tcPr>
                <w:p w14:paraId="56A22717">
                  <w:pPr>
                    <w:jc w:val="center"/>
                    <w:rPr>
                      <w:rFonts w:hint="default" w:ascii="Times New Roman" w:hAnsi="Times New Roman" w:cs="Times New Roman"/>
                      <w:color w:val="auto"/>
                      <w:highlight w:val="none"/>
                      <w:vertAlign w:val="baseline"/>
                      <w:lang w:val="en-US" w:eastAsia="zh-CN"/>
                    </w:rPr>
                  </w:pPr>
                  <w:r>
                    <w:rPr>
                      <w:rFonts w:hint="default" w:ascii="Times New Roman" w:hAnsi="Times New Roman" w:cs="Times New Roman"/>
                      <w:color w:val="auto"/>
                      <w:highlight w:val="none"/>
                      <w:vertAlign w:val="baseline"/>
                      <w:lang w:val="en-US" w:eastAsia="zh-CN"/>
                    </w:rPr>
                    <w:t>纯水</w:t>
                  </w:r>
                </w:p>
              </w:tc>
              <w:tc>
                <w:tcPr>
                  <w:tcW w:w="883" w:type="dxa"/>
                  <w:noWrap w:val="0"/>
                  <w:vAlign w:val="center"/>
                </w:tcPr>
                <w:p w14:paraId="10997EFF">
                  <w:pPr>
                    <w:jc w:val="center"/>
                    <w:rPr>
                      <w:rFonts w:hint="default" w:ascii="Times New Roman" w:hAnsi="Times New Roman" w:cs="Times New Roman"/>
                      <w:color w:val="auto"/>
                      <w:highlight w:val="none"/>
                      <w:vertAlign w:val="baseline"/>
                      <w:lang w:val="en-US" w:eastAsia="zh-CN"/>
                    </w:rPr>
                  </w:pPr>
                  <w:r>
                    <w:rPr>
                      <w:rFonts w:hint="default" w:ascii="Times New Roman" w:hAnsi="Times New Roman" w:cs="Times New Roman"/>
                      <w:color w:val="auto"/>
                      <w:highlight w:val="none"/>
                      <w:vertAlign w:val="baseline"/>
                      <w:lang w:val="en-US" w:eastAsia="zh-CN"/>
                    </w:rPr>
                    <w:t>20</w:t>
                  </w:r>
                </w:p>
              </w:tc>
              <w:tc>
                <w:tcPr>
                  <w:tcW w:w="883" w:type="dxa"/>
                  <w:noWrap w:val="0"/>
                  <w:vAlign w:val="center"/>
                </w:tcPr>
                <w:p w14:paraId="4951F0BB">
                  <w:pPr>
                    <w:jc w:val="center"/>
                    <w:rPr>
                      <w:rFonts w:hint="default" w:ascii="Times New Roman" w:hAnsi="Times New Roman" w:cs="Times New Roman"/>
                      <w:color w:val="auto"/>
                      <w:highlight w:val="none"/>
                      <w:vertAlign w:val="baseline"/>
                      <w:lang w:val="en-US" w:eastAsia="zh-CN"/>
                    </w:rPr>
                  </w:pPr>
                  <w:r>
                    <w:rPr>
                      <w:rFonts w:hint="default" w:ascii="Times New Roman" w:hAnsi="Times New Roman" w:cs="Times New Roman"/>
                      <w:color w:val="auto"/>
                      <w:highlight w:val="none"/>
                      <w:vertAlign w:val="baseline"/>
                      <w:lang w:val="en-US" w:eastAsia="zh-CN"/>
                    </w:rPr>
                    <w:t>1</w:t>
                  </w:r>
                </w:p>
              </w:tc>
              <w:tc>
                <w:tcPr>
                  <w:tcW w:w="883" w:type="dxa"/>
                  <w:noWrap w:val="0"/>
                  <w:vAlign w:val="center"/>
                </w:tcPr>
                <w:p w14:paraId="334A75D8">
                  <w:pPr>
                    <w:keepNext w:val="0"/>
                    <w:keepLines w:val="0"/>
                    <w:widowControl/>
                    <w:suppressLineNumbers w:val="0"/>
                    <w:jc w:val="center"/>
                    <w:textAlignment w:val="center"/>
                    <w:rPr>
                      <w:rFonts w:hint="default" w:ascii="Times New Roman" w:hAnsi="Times New Roman" w:cs="Times New Roman"/>
                      <w:color w:val="auto"/>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24000</w:t>
                  </w:r>
                </w:p>
              </w:tc>
              <w:tc>
                <w:tcPr>
                  <w:tcW w:w="883" w:type="dxa"/>
                  <w:noWrap w:val="0"/>
                  <w:vAlign w:val="center"/>
                </w:tcPr>
                <w:p w14:paraId="46C7E236">
                  <w:pPr>
                    <w:keepNext w:val="0"/>
                    <w:keepLines w:val="0"/>
                    <w:widowControl/>
                    <w:suppressLineNumbers w:val="0"/>
                    <w:jc w:val="center"/>
                    <w:textAlignment w:val="center"/>
                    <w:rPr>
                      <w:rFonts w:hint="default" w:ascii="Times New Roman" w:hAnsi="Times New Roman" w:cs="Times New Roman"/>
                      <w:color w:val="auto"/>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0.48</w:t>
                  </w:r>
                </w:p>
              </w:tc>
              <w:tc>
                <w:tcPr>
                  <w:tcW w:w="883" w:type="dxa"/>
                  <w:noWrap w:val="0"/>
                  <w:vAlign w:val="center"/>
                </w:tcPr>
                <w:p w14:paraId="6EF03B78">
                  <w:pPr>
                    <w:keepNext w:val="0"/>
                    <w:keepLines w:val="0"/>
                    <w:widowControl/>
                    <w:suppressLineNumbers w:val="0"/>
                    <w:jc w:val="center"/>
                    <w:textAlignment w:val="center"/>
                    <w:rPr>
                      <w:rFonts w:hint="default" w:ascii="Times New Roman" w:hAnsi="Times New Roman" w:cs="Times New Roman"/>
                      <w:color w:val="auto"/>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0.048</w:t>
                  </w:r>
                </w:p>
              </w:tc>
              <w:tc>
                <w:tcPr>
                  <w:tcW w:w="883" w:type="dxa"/>
                  <w:noWrap w:val="0"/>
                  <w:vAlign w:val="center"/>
                </w:tcPr>
                <w:p w14:paraId="4B0930A5">
                  <w:pPr>
                    <w:keepNext w:val="0"/>
                    <w:keepLines w:val="0"/>
                    <w:widowControl/>
                    <w:suppressLineNumbers w:val="0"/>
                    <w:jc w:val="center"/>
                    <w:textAlignment w:val="center"/>
                    <w:rPr>
                      <w:rFonts w:hint="default" w:ascii="Times New Roman" w:hAnsi="Times New Roman" w:cs="Times New Roman"/>
                      <w:color w:val="auto"/>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0.432</w:t>
                  </w:r>
                </w:p>
              </w:tc>
              <w:tc>
                <w:tcPr>
                  <w:tcW w:w="883" w:type="dxa"/>
                  <w:noWrap w:val="0"/>
                  <w:vAlign w:val="center"/>
                </w:tcPr>
                <w:p w14:paraId="769F043A">
                  <w:pPr>
                    <w:keepNext w:val="0"/>
                    <w:keepLines w:val="0"/>
                    <w:widowControl/>
                    <w:suppressLineNumbers w:val="0"/>
                    <w:jc w:val="center"/>
                    <w:textAlignment w:val="center"/>
                    <w:rPr>
                      <w:rFonts w:hint="default" w:ascii="Times New Roman" w:hAnsi="Times New Roman" w:cs="Times New Roman"/>
                      <w:color w:val="auto"/>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r>
            <w:tr w14:paraId="124E8E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2" w:type="dxa"/>
                  <w:noWrap w:val="0"/>
                  <w:vAlign w:val="center"/>
                </w:tcPr>
                <w:p w14:paraId="6AE737D9">
                  <w:pPr>
                    <w:jc w:val="center"/>
                    <w:rPr>
                      <w:rFonts w:hint="default" w:ascii="Times New Roman" w:hAnsi="Times New Roman" w:cs="Times New Roman"/>
                      <w:color w:val="auto"/>
                      <w:highlight w:val="none"/>
                      <w:vertAlign w:val="baseline"/>
                      <w:lang w:val="en-US" w:eastAsia="zh-CN"/>
                    </w:rPr>
                  </w:pPr>
                  <w:r>
                    <w:rPr>
                      <w:rFonts w:hint="default" w:ascii="Times New Roman" w:hAnsi="Times New Roman" w:cs="Times New Roman"/>
                      <w:color w:val="auto"/>
                      <w:highlight w:val="none"/>
                      <w:vertAlign w:val="baseline"/>
                      <w:lang w:val="en-US" w:eastAsia="zh-CN"/>
                    </w:rPr>
                    <w:t>合计</w:t>
                  </w:r>
                </w:p>
              </w:tc>
              <w:tc>
                <w:tcPr>
                  <w:tcW w:w="882" w:type="dxa"/>
                  <w:noWrap w:val="0"/>
                  <w:vAlign w:val="center"/>
                </w:tcPr>
                <w:p w14:paraId="351A4428">
                  <w:pPr>
                    <w:pStyle w:val="4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883" w:type="dxa"/>
                  <w:noWrap w:val="0"/>
                  <w:vAlign w:val="center"/>
                </w:tcPr>
                <w:p w14:paraId="2A73E170">
                  <w:pPr>
                    <w:jc w:val="center"/>
                    <w:rPr>
                      <w:rFonts w:hint="default" w:ascii="Times New Roman" w:hAnsi="Times New Roman" w:cs="Times New Roman"/>
                      <w:color w:val="auto"/>
                      <w:highlight w:val="none"/>
                      <w:vertAlign w:val="baseline"/>
                      <w:lang w:val="en-US" w:eastAsia="zh-CN"/>
                    </w:rPr>
                  </w:pPr>
                  <w:r>
                    <w:rPr>
                      <w:rFonts w:hint="default" w:ascii="Times New Roman" w:hAnsi="Times New Roman" w:cs="Times New Roman"/>
                      <w:color w:val="auto"/>
                      <w:highlight w:val="none"/>
                      <w:vertAlign w:val="baseline"/>
                      <w:lang w:val="en-US" w:eastAsia="zh-CN"/>
                    </w:rPr>
                    <w:t>/</w:t>
                  </w:r>
                </w:p>
              </w:tc>
              <w:tc>
                <w:tcPr>
                  <w:tcW w:w="883" w:type="dxa"/>
                  <w:noWrap w:val="0"/>
                  <w:vAlign w:val="center"/>
                </w:tcPr>
                <w:p w14:paraId="390A33A2">
                  <w:pPr>
                    <w:jc w:val="center"/>
                    <w:rPr>
                      <w:rFonts w:hint="default" w:ascii="Times New Roman" w:hAnsi="Times New Roman" w:cs="Times New Roman"/>
                      <w:color w:val="auto"/>
                      <w:highlight w:val="none"/>
                      <w:vertAlign w:val="baseline"/>
                      <w:lang w:val="en-US" w:eastAsia="zh-CN"/>
                    </w:rPr>
                  </w:pPr>
                  <w:r>
                    <w:rPr>
                      <w:rFonts w:hint="default" w:ascii="Times New Roman" w:hAnsi="Times New Roman" w:cs="Times New Roman"/>
                      <w:color w:val="auto"/>
                      <w:highlight w:val="none"/>
                      <w:vertAlign w:val="baseline"/>
                      <w:lang w:val="en-US" w:eastAsia="zh-CN"/>
                    </w:rPr>
                    <w:t>/</w:t>
                  </w:r>
                </w:p>
              </w:tc>
              <w:tc>
                <w:tcPr>
                  <w:tcW w:w="883" w:type="dxa"/>
                  <w:noWrap w:val="0"/>
                  <w:vAlign w:val="center"/>
                </w:tcPr>
                <w:p w14:paraId="5AE43214">
                  <w:pPr>
                    <w:keepNext w:val="0"/>
                    <w:keepLines w:val="0"/>
                    <w:widowControl/>
                    <w:suppressLineNumbers w:val="0"/>
                    <w:jc w:val="center"/>
                    <w:textAlignment w:val="center"/>
                    <w:rPr>
                      <w:rFonts w:hint="default" w:ascii="Times New Roman" w:hAnsi="Times New Roman" w:cs="Times New Roman"/>
                      <w:color w:val="auto"/>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883" w:type="dxa"/>
                  <w:noWrap w:val="0"/>
                  <w:vAlign w:val="center"/>
                </w:tcPr>
                <w:p w14:paraId="2CDE3050">
                  <w:pPr>
                    <w:keepNext w:val="0"/>
                    <w:keepLines w:val="0"/>
                    <w:widowControl/>
                    <w:suppressLineNumbers w:val="0"/>
                    <w:jc w:val="center"/>
                    <w:textAlignment w:val="center"/>
                    <w:rPr>
                      <w:rFonts w:hint="default" w:ascii="Times New Roman" w:hAnsi="Times New Roman" w:cs="Times New Roman"/>
                      <w:color w:val="auto"/>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3.36</w:t>
                  </w:r>
                </w:p>
              </w:tc>
              <w:tc>
                <w:tcPr>
                  <w:tcW w:w="883" w:type="dxa"/>
                  <w:noWrap w:val="0"/>
                  <w:vAlign w:val="center"/>
                </w:tcPr>
                <w:p w14:paraId="570C2E5F">
                  <w:pPr>
                    <w:keepNext w:val="0"/>
                    <w:keepLines w:val="0"/>
                    <w:widowControl/>
                    <w:suppressLineNumbers w:val="0"/>
                    <w:jc w:val="center"/>
                    <w:textAlignment w:val="center"/>
                    <w:rPr>
                      <w:rFonts w:hint="default" w:ascii="Times New Roman" w:hAnsi="Times New Roman" w:cs="Times New Roman"/>
                      <w:color w:val="auto"/>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0.336</w:t>
                  </w:r>
                </w:p>
              </w:tc>
              <w:tc>
                <w:tcPr>
                  <w:tcW w:w="883" w:type="dxa"/>
                  <w:noWrap w:val="0"/>
                  <w:vAlign w:val="center"/>
                </w:tcPr>
                <w:p w14:paraId="5E582A38">
                  <w:pPr>
                    <w:keepNext w:val="0"/>
                    <w:keepLines w:val="0"/>
                    <w:widowControl/>
                    <w:suppressLineNumbers w:val="0"/>
                    <w:jc w:val="center"/>
                    <w:textAlignment w:val="center"/>
                    <w:rPr>
                      <w:rFonts w:hint="default" w:ascii="Times New Roman" w:hAnsi="Times New Roman" w:cs="Times New Roman"/>
                      <w:color w:val="auto"/>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2.592</w:t>
                  </w:r>
                </w:p>
              </w:tc>
              <w:tc>
                <w:tcPr>
                  <w:tcW w:w="883" w:type="dxa"/>
                  <w:noWrap w:val="0"/>
                  <w:vAlign w:val="center"/>
                </w:tcPr>
                <w:p w14:paraId="40E3C721">
                  <w:pPr>
                    <w:keepNext w:val="0"/>
                    <w:keepLines w:val="0"/>
                    <w:widowControl/>
                    <w:suppressLineNumbers w:val="0"/>
                    <w:jc w:val="center"/>
                    <w:textAlignment w:val="center"/>
                    <w:rPr>
                      <w:rFonts w:hint="default" w:ascii="Times New Roman" w:hAnsi="Times New Roman" w:cs="Times New Roman"/>
                      <w:color w:val="auto"/>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0.432</w:t>
                  </w:r>
                </w:p>
              </w:tc>
            </w:tr>
          </w:tbl>
          <w:p w14:paraId="559ED41B">
            <w:pPr>
              <w:widowControl/>
              <w:numPr>
                <w:ilvl w:val="0"/>
                <w:numId w:val="0"/>
              </w:numPr>
              <w:spacing w:line="360" w:lineRule="auto"/>
              <w:ind w:leftChars="0"/>
              <w:contextualSpacing/>
              <w:jc w:val="center"/>
              <w:rPr>
                <w:rFonts w:hint="eastAsia" w:cs="Times New Roman"/>
                <w:b/>
                <w:bCs/>
                <w:color w:val="auto"/>
                <w:kern w:val="2"/>
                <w:sz w:val="21"/>
                <w:szCs w:val="21"/>
                <w:highlight w:val="none"/>
                <w:lang w:val="en-US" w:eastAsia="zh-CN" w:bidi="ar-SA"/>
              </w:rPr>
            </w:pPr>
          </w:p>
          <w:p w14:paraId="63D70793">
            <w:pPr>
              <w:widowControl/>
              <w:numPr>
                <w:ilvl w:val="0"/>
                <w:numId w:val="0"/>
              </w:numPr>
              <w:spacing w:line="360" w:lineRule="auto"/>
              <w:ind w:leftChars="0"/>
              <w:contextualSpacing/>
              <w:jc w:val="center"/>
              <w:rPr>
                <w:rFonts w:hint="default" w:ascii="Times New Roman" w:hAnsi="Times New Roman" w:eastAsia="宋体" w:cs="Times New Roman"/>
                <w:b/>
                <w:bCs/>
                <w:color w:val="auto"/>
                <w:kern w:val="2"/>
                <w:sz w:val="21"/>
                <w:szCs w:val="21"/>
                <w:highlight w:val="none"/>
                <w:lang w:val="en-US" w:eastAsia="zh-CN" w:bidi="ar-SA"/>
              </w:rPr>
            </w:pPr>
            <w:r>
              <w:rPr>
                <w:rFonts w:hint="eastAsia" w:cs="Times New Roman"/>
                <w:b/>
                <w:bCs/>
                <w:color w:val="auto"/>
                <w:kern w:val="2"/>
                <w:sz w:val="21"/>
                <w:szCs w:val="21"/>
                <w:highlight w:val="none"/>
                <w:lang w:val="en-US" w:eastAsia="zh-CN" w:bidi="ar-SA"/>
              </w:rPr>
              <w:t>表8</w:t>
            </w:r>
            <w:r>
              <w:rPr>
                <w:rFonts w:hint="default" w:ascii="Times New Roman" w:hAnsi="Times New Roman" w:eastAsia="宋体" w:cs="Times New Roman"/>
                <w:b/>
                <w:bCs/>
                <w:color w:val="auto"/>
                <w:kern w:val="2"/>
                <w:sz w:val="21"/>
                <w:szCs w:val="21"/>
                <w:highlight w:val="none"/>
                <w:lang w:val="en-US" w:eastAsia="zh-CN" w:bidi="ar-SA"/>
              </w:rPr>
              <w:t>项目实验室器皿清洗用水一览表（涉使用重金属试剂检测水样）</w:t>
            </w:r>
          </w:p>
          <w:tbl>
            <w:tblPr>
              <w:tblStyle w:val="3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82"/>
              <w:gridCol w:w="882"/>
              <w:gridCol w:w="953"/>
              <w:gridCol w:w="883"/>
              <w:gridCol w:w="883"/>
              <w:gridCol w:w="883"/>
              <w:gridCol w:w="883"/>
              <w:gridCol w:w="1868"/>
            </w:tblGrid>
            <w:tr w14:paraId="57CDF2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2" w:type="dxa"/>
                  <w:noWrap w:val="0"/>
                  <w:vAlign w:val="center"/>
                </w:tcPr>
                <w:p w14:paraId="516628F7">
                  <w:pPr>
                    <w:jc w:val="center"/>
                    <w:rPr>
                      <w:rFonts w:hint="default" w:ascii="Times New Roman" w:hAnsi="Times New Roman" w:cs="Times New Roman"/>
                      <w:b/>
                      <w:bCs/>
                      <w:color w:val="auto"/>
                      <w:highlight w:val="none"/>
                      <w:vertAlign w:val="baseline"/>
                      <w:lang w:val="en-US" w:eastAsia="zh-CN"/>
                    </w:rPr>
                  </w:pPr>
                  <w:r>
                    <w:rPr>
                      <w:rFonts w:hint="default" w:ascii="Times New Roman" w:hAnsi="Times New Roman" w:cs="Times New Roman"/>
                      <w:b/>
                      <w:bCs/>
                      <w:color w:val="auto"/>
                      <w:highlight w:val="none"/>
                      <w:vertAlign w:val="baseline"/>
                      <w:lang w:val="en-US" w:eastAsia="zh-CN"/>
                    </w:rPr>
                    <w:t>清洗过程</w:t>
                  </w:r>
                </w:p>
              </w:tc>
              <w:tc>
                <w:tcPr>
                  <w:tcW w:w="882" w:type="dxa"/>
                  <w:noWrap w:val="0"/>
                  <w:vAlign w:val="center"/>
                </w:tcPr>
                <w:p w14:paraId="461151BD">
                  <w:pPr>
                    <w:jc w:val="center"/>
                    <w:rPr>
                      <w:rFonts w:hint="default" w:ascii="Times New Roman" w:hAnsi="Times New Roman" w:cs="Times New Roman"/>
                      <w:b/>
                      <w:bCs/>
                      <w:color w:val="auto"/>
                      <w:highlight w:val="none"/>
                      <w:vertAlign w:val="baseline"/>
                      <w:lang w:val="en-US" w:eastAsia="zh-CN"/>
                    </w:rPr>
                  </w:pPr>
                  <w:r>
                    <w:rPr>
                      <w:rFonts w:hint="default" w:ascii="Times New Roman" w:hAnsi="Times New Roman" w:cs="Times New Roman"/>
                      <w:b/>
                      <w:bCs/>
                      <w:color w:val="auto"/>
                      <w:highlight w:val="none"/>
                      <w:vertAlign w:val="baseline"/>
                      <w:lang w:val="en-US" w:eastAsia="zh-CN"/>
                    </w:rPr>
                    <w:t>用水水质</w:t>
                  </w:r>
                </w:p>
              </w:tc>
              <w:tc>
                <w:tcPr>
                  <w:tcW w:w="883" w:type="dxa"/>
                  <w:noWrap w:val="0"/>
                  <w:vAlign w:val="center"/>
                </w:tcPr>
                <w:p w14:paraId="6F478ECB">
                  <w:pPr>
                    <w:jc w:val="center"/>
                    <w:rPr>
                      <w:rFonts w:hint="default" w:ascii="Times New Roman" w:hAnsi="Times New Roman" w:cs="Times New Roman"/>
                      <w:b/>
                      <w:bCs/>
                      <w:color w:val="auto"/>
                      <w:highlight w:val="none"/>
                      <w:vertAlign w:val="baseline"/>
                      <w:lang w:val="en-US" w:eastAsia="zh-CN"/>
                    </w:rPr>
                  </w:pPr>
                  <w:r>
                    <w:rPr>
                      <w:rFonts w:hint="default" w:ascii="Times New Roman" w:hAnsi="Times New Roman" w:cs="Times New Roman"/>
                      <w:b/>
                      <w:bCs/>
                      <w:color w:val="auto"/>
                      <w:highlight w:val="none"/>
                      <w:vertAlign w:val="baseline"/>
                      <w:lang w:val="en-US" w:eastAsia="zh-CN"/>
                    </w:rPr>
                    <w:t>单次用水量（mL）</w:t>
                  </w:r>
                </w:p>
              </w:tc>
              <w:tc>
                <w:tcPr>
                  <w:tcW w:w="883" w:type="dxa"/>
                  <w:noWrap w:val="0"/>
                  <w:vAlign w:val="center"/>
                </w:tcPr>
                <w:p w14:paraId="0A52ED76">
                  <w:pPr>
                    <w:jc w:val="center"/>
                    <w:rPr>
                      <w:rFonts w:hint="default" w:ascii="Times New Roman" w:hAnsi="Times New Roman" w:cs="Times New Roman"/>
                      <w:b/>
                      <w:bCs/>
                      <w:color w:val="auto"/>
                      <w:highlight w:val="none"/>
                      <w:vertAlign w:val="baseline"/>
                      <w:lang w:val="en-US" w:eastAsia="zh-CN"/>
                    </w:rPr>
                  </w:pPr>
                  <w:r>
                    <w:rPr>
                      <w:rFonts w:hint="default" w:ascii="Times New Roman" w:hAnsi="Times New Roman" w:cs="Times New Roman"/>
                      <w:b/>
                      <w:bCs/>
                      <w:color w:val="auto"/>
                      <w:highlight w:val="none"/>
                      <w:vertAlign w:val="baseline"/>
                      <w:lang w:val="en-US" w:eastAsia="zh-CN"/>
                    </w:rPr>
                    <w:t>清洗次数</w:t>
                  </w:r>
                </w:p>
              </w:tc>
              <w:tc>
                <w:tcPr>
                  <w:tcW w:w="883" w:type="dxa"/>
                  <w:noWrap w:val="0"/>
                  <w:vAlign w:val="center"/>
                </w:tcPr>
                <w:p w14:paraId="19746DEC">
                  <w:pPr>
                    <w:jc w:val="center"/>
                    <w:rPr>
                      <w:rFonts w:hint="default" w:ascii="Times New Roman" w:hAnsi="Times New Roman" w:cs="Times New Roman"/>
                      <w:b/>
                      <w:bCs/>
                      <w:color w:val="auto"/>
                      <w:highlight w:val="none"/>
                      <w:vertAlign w:val="baseline"/>
                      <w:lang w:val="en-US" w:eastAsia="zh-CN"/>
                    </w:rPr>
                  </w:pPr>
                  <w:r>
                    <w:rPr>
                      <w:rFonts w:hint="default" w:ascii="Times New Roman" w:hAnsi="Times New Roman" w:cs="Times New Roman"/>
                      <w:b/>
                      <w:bCs/>
                      <w:color w:val="auto"/>
                      <w:highlight w:val="none"/>
                      <w:vertAlign w:val="baseline"/>
                      <w:lang w:val="en-US" w:eastAsia="zh-CN"/>
                    </w:rPr>
                    <w:t>样品个数（个/年）</w:t>
                  </w:r>
                </w:p>
              </w:tc>
              <w:tc>
                <w:tcPr>
                  <w:tcW w:w="883" w:type="dxa"/>
                  <w:noWrap w:val="0"/>
                  <w:vAlign w:val="center"/>
                </w:tcPr>
                <w:p w14:paraId="14ABE174">
                  <w:pPr>
                    <w:jc w:val="center"/>
                    <w:rPr>
                      <w:rFonts w:hint="default" w:ascii="Times New Roman" w:hAnsi="Times New Roman" w:cs="Times New Roman"/>
                      <w:b/>
                      <w:bCs/>
                      <w:color w:val="auto"/>
                      <w:highlight w:val="none"/>
                      <w:vertAlign w:val="baseline"/>
                      <w:lang w:val="en-US" w:eastAsia="zh-CN"/>
                    </w:rPr>
                  </w:pPr>
                  <w:r>
                    <w:rPr>
                      <w:rFonts w:hint="default" w:ascii="Times New Roman" w:hAnsi="Times New Roman" w:cs="Times New Roman"/>
                      <w:b/>
                      <w:bCs/>
                      <w:color w:val="auto"/>
                      <w:highlight w:val="none"/>
                      <w:vertAlign w:val="baseline"/>
                      <w:lang w:val="en-US" w:eastAsia="zh-CN"/>
                    </w:rPr>
                    <w:t>用水量（t/a）</w:t>
                  </w:r>
                </w:p>
              </w:tc>
              <w:tc>
                <w:tcPr>
                  <w:tcW w:w="883" w:type="dxa"/>
                  <w:noWrap w:val="0"/>
                  <w:vAlign w:val="center"/>
                </w:tcPr>
                <w:p w14:paraId="0642818F">
                  <w:pPr>
                    <w:jc w:val="center"/>
                    <w:rPr>
                      <w:rFonts w:hint="default" w:ascii="Times New Roman" w:hAnsi="Times New Roman" w:cs="Times New Roman"/>
                      <w:b/>
                      <w:bCs/>
                      <w:color w:val="auto"/>
                      <w:highlight w:val="none"/>
                      <w:vertAlign w:val="baseline"/>
                      <w:lang w:val="en-US" w:eastAsia="zh-CN"/>
                    </w:rPr>
                  </w:pPr>
                  <w:r>
                    <w:rPr>
                      <w:rFonts w:hint="default" w:ascii="Times New Roman" w:hAnsi="Times New Roman" w:cs="Times New Roman"/>
                      <w:b/>
                      <w:bCs/>
                      <w:color w:val="auto"/>
                      <w:highlight w:val="none"/>
                      <w:vertAlign w:val="baseline"/>
                      <w:lang w:val="en-US" w:eastAsia="zh-CN"/>
                    </w:rPr>
                    <w:t>蒸发损耗（t/a）</w:t>
                  </w:r>
                </w:p>
              </w:tc>
              <w:tc>
                <w:tcPr>
                  <w:tcW w:w="1868" w:type="dxa"/>
                  <w:noWrap w:val="0"/>
                  <w:vAlign w:val="center"/>
                </w:tcPr>
                <w:p w14:paraId="7BBFF9F2">
                  <w:pPr>
                    <w:jc w:val="center"/>
                    <w:rPr>
                      <w:rFonts w:hint="default" w:ascii="Times New Roman" w:hAnsi="Times New Roman" w:cs="Times New Roman"/>
                      <w:b/>
                      <w:bCs/>
                      <w:color w:val="auto"/>
                      <w:highlight w:val="none"/>
                      <w:vertAlign w:val="baseline"/>
                      <w:lang w:val="en-US" w:eastAsia="zh-CN"/>
                    </w:rPr>
                  </w:pPr>
                  <w:r>
                    <w:rPr>
                      <w:rFonts w:hint="default" w:ascii="Times New Roman" w:hAnsi="Times New Roman" w:cs="Times New Roman"/>
                      <w:b/>
                      <w:bCs/>
                      <w:color w:val="auto"/>
                      <w:highlight w:val="none"/>
                      <w:vertAlign w:val="baseline"/>
                      <w:lang w:val="en-US" w:eastAsia="zh-CN"/>
                    </w:rPr>
                    <w:t>废液量（t/a）</w:t>
                  </w:r>
                </w:p>
              </w:tc>
            </w:tr>
            <w:tr w14:paraId="5E713A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2" w:type="dxa"/>
                  <w:noWrap w:val="0"/>
                  <w:vAlign w:val="center"/>
                </w:tcPr>
                <w:p w14:paraId="6A4F8467">
                  <w:pPr>
                    <w:jc w:val="center"/>
                    <w:rPr>
                      <w:rFonts w:hint="default" w:ascii="Times New Roman" w:hAnsi="Times New Roman" w:cs="Times New Roman"/>
                      <w:color w:val="auto"/>
                      <w:highlight w:val="none"/>
                      <w:vertAlign w:val="baseline"/>
                      <w:lang w:val="en-US" w:eastAsia="zh-CN"/>
                    </w:rPr>
                  </w:pPr>
                  <w:r>
                    <w:rPr>
                      <w:rFonts w:hint="default" w:ascii="Times New Roman" w:hAnsi="Times New Roman" w:cs="Times New Roman"/>
                      <w:color w:val="auto"/>
                      <w:highlight w:val="none"/>
                      <w:vertAlign w:val="baseline"/>
                      <w:lang w:val="en-US" w:eastAsia="zh-CN"/>
                    </w:rPr>
                    <w:t>润洗</w:t>
                  </w:r>
                </w:p>
              </w:tc>
              <w:tc>
                <w:tcPr>
                  <w:tcW w:w="882" w:type="dxa"/>
                  <w:noWrap w:val="0"/>
                  <w:vAlign w:val="center"/>
                </w:tcPr>
                <w:p w14:paraId="1593A0B2">
                  <w:pPr>
                    <w:jc w:val="center"/>
                    <w:rPr>
                      <w:rFonts w:hint="default" w:ascii="Times New Roman" w:hAnsi="Times New Roman" w:cs="Times New Roman"/>
                      <w:color w:val="auto"/>
                      <w:highlight w:val="none"/>
                      <w:vertAlign w:val="baseline"/>
                      <w:lang w:val="en-US" w:eastAsia="zh-CN"/>
                    </w:rPr>
                  </w:pPr>
                  <w:r>
                    <w:rPr>
                      <w:rFonts w:hint="default" w:ascii="Times New Roman" w:hAnsi="Times New Roman" w:cs="Times New Roman"/>
                      <w:color w:val="auto"/>
                      <w:highlight w:val="none"/>
                      <w:vertAlign w:val="baseline"/>
                      <w:lang w:val="en-US" w:eastAsia="zh-CN"/>
                    </w:rPr>
                    <w:t>自来水</w:t>
                  </w:r>
                </w:p>
              </w:tc>
              <w:tc>
                <w:tcPr>
                  <w:tcW w:w="883" w:type="dxa"/>
                  <w:noWrap w:val="0"/>
                  <w:vAlign w:val="center"/>
                </w:tcPr>
                <w:p w14:paraId="31DD5F20">
                  <w:pPr>
                    <w:jc w:val="center"/>
                    <w:rPr>
                      <w:rFonts w:hint="default" w:ascii="Times New Roman" w:hAnsi="Times New Roman" w:cs="Times New Roman"/>
                      <w:color w:val="auto"/>
                      <w:highlight w:val="none"/>
                      <w:vertAlign w:val="baseline"/>
                      <w:lang w:val="en-US" w:eastAsia="zh-CN"/>
                    </w:rPr>
                  </w:pPr>
                  <w:r>
                    <w:rPr>
                      <w:rFonts w:hint="default" w:ascii="Times New Roman" w:hAnsi="Times New Roman" w:cs="Times New Roman"/>
                      <w:color w:val="auto"/>
                      <w:highlight w:val="none"/>
                      <w:vertAlign w:val="baseline"/>
                      <w:lang w:val="en-US" w:eastAsia="zh-CN"/>
                    </w:rPr>
                    <w:t>20</w:t>
                  </w:r>
                </w:p>
              </w:tc>
              <w:tc>
                <w:tcPr>
                  <w:tcW w:w="883" w:type="dxa"/>
                  <w:noWrap w:val="0"/>
                  <w:vAlign w:val="center"/>
                </w:tcPr>
                <w:p w14:paraId="4D2ADB5F">
                  <w:pPr>
                    <w:jc w:val="center"/>
                    <w:rPr>
                      <w:rFonts w:hint="default" w:ascii="Times New Roman" w:hAnsi="Times New Roman" w:cs="Times New Roman"/>
                      <w:color w:val="auto"/>
                      <w:highlight w:val="none"/>
                      <w:vertAlign w:val="baseline"/>
                      <w:lang w:val="en-US" w:eastAsia="zh-CN"/>
                    </w:rPr>
                  </w:pPr>
                  <w:r>
                    <w:rPr>
                      <w:rFonts w:hint="default" w:ascii="Times New Roman" w:hAnsi="Times New Roman" w:cs="Times New Roman"/>
                      <w:color w:val="auto"/>
                      <w:highlight w:val="none"/>
                      <w:vertAlign w:val="baseline"/>
                      <w:lang w:val="en-US" w:eastAsia="zh-CN"/>
                    </w:rPr>
                    <w:t>1</w:t>
                  </w:r>
                </w:p>
              </w:tc>
              <w:tc>
                <w:tcPr>
                  <w:tcW w:w="883" w:type="dxa"/>
                  <w:noWrap w:val="0"/>
                  <w:vAlign w:val="center"/>
                </w:tcPr>
                <w:p w14:paraId="264A04CA">
                  <w:pPr>
                    <w:keepNext w:val="0"/>
                    <w:keepLines w:val="0"/>
                    <w:widowControl/>
                    <w:suppressLineNumbers w:val="0"/>
                    <w:jc w:val="center"/>
                    <w:textAlignment w:val="center"/>
                    <w:rPr>
                      <w:rFonts w:hint="default" w:ascii="Times New Roman" w:hAnsi="Times New Roman" w:cs="Times New Roman"/>
                      <w:color w:val="auto"/>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3000</w:t>
                  </w:r>
                </w:p>
              </w:tc>
              <w:tc>
                <w:tcPr>
                  <w:tcW w:w="883" w:type="dxa"/>
                  <w:noWrap w:val="0"/>
                  <w:vAlign w:val="center"/>
                </w:tcPr>
                <w:p w14:paraId="06AE6302">
                  <w:pPr>
                    <w:keepNext w:val="0"/>
                    <w:keepLines w:val="0"/>
                    <w:widowControl/>
                    <w:suppressLineNumbers w:val="0"/>
                    <w:jc w:val="center"/>
                    <w:textAlignment w:val="center"/>
                    <w:rPr>
                      <w:rFonts w:hint="default" w:ascii="Times New Roman" w:hAnsi="Times New Roman" w:cs="Times New Roman"/>
                      <w:color w:val="auto"/>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0.06</w:t>
                  </w:r>
                </w:p>
              </w:tc>
              <w:tc>
                <w:tcPr>
                  <w:tcW w:w="883" w:type="dxa"/>
                  <w:noWrap w:val="0"/>
                  <w:vAlign w:val="center"/>
                </w:tcPr>
                <w:p w14:paraId="579CE65B">
                  <w:pPr>
                    <w:keepNext w:val="0"/>
                    <w:keepLines w:val="0"/>
                    <w:widowControl/>
                    <w:suppressLineNumbers w:val="0"/>
                    <w:jc w:val="center"/>
                    <w:textAlignment w:val="center"/>
                    <w:rPr>
                      <w:rFonts w:hint="default" w:ascii="Times New Roman" w:hAnsi="Times New Roman" w:cs="Times New Roman"/>
                      <w:color w:val="auto"/>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0.006</w:t>
                  </w:r>
                </w:p>
              </w:tc>
              <w:tc>
                <w:tcPr>
                  <w:tcW w:w="1868" w:type="dxa"/>
                  <w:noWrap w:val="0"/>
                  <w:vAlign w:val="center"/>
                </w:tcPr>
                <w:p w14:paraId="591F35A7">
                  <w:pPr>
                    <w:keepNext w:val="0"/>
                    <w:keepLines w:val="0"/>
                    <w:widowControl/>
                    <w:suppressLineNumbers w:val="0"/>
                    <w:jc w:val="center"/>
                    <w:textAlignment w:val="center"/>
                    <w:rPr>
                      <w:rFonts w:hint="default" w:ascii="Times New Roman" w:hAnsi="Times New Roman" w:cs="Times New Roman"/>
                      <w:color w:val="auto"/>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0.054</w:t>
                  </w:r>
                </w:p>
              </w:tc>
            </w:tr>
            <w:tr w14:paraId="4EC7A5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2" w:type="dxa"/>
                  <w:noWrap w:val="0"/>
                  <w:vAlign w:val="center"/>
                </w:tcPr>
                <w:p w14:paraId="7BD2A336">
                  <w:pPr>
                    <w:jc w:val="center"/>
                    <w:rPr>
                      <w:rFonts w:hint="default" w:ascii="Times New Roman" w:hAnsi="Times New Roman" w:cs="Times New Roman"/>
                      <w:color w:val="auto"/>
                      <w:highlight w:val="none"/>
                      <w:vertAlign w:val="baseline"/>
                      <w:lang w:val="en-US" w:eastAsia="zh-CN"/>
                    </w:rPr>
                  </w:pPr>
                  <w:r>
                    <w:rPr>
                      <w:rFonts w:hint="default" w:ascii="Times New Roman" w:hAnsi="Times New Roman" w:cs="Times New Roman"/>
                      <w:color w:val="auto"/>
                      <w:highlight w:val="none"/>
                      <w:vertAlign w:val="baseline"/>
                      <w:lang w:val="en-US" w:eastAsia="zh-CN"/>
                    </w:rPr>
                    <w:t>后续洗</w:t>
                  </w:r>
                </w:p>
              </w:tc>
              <w:tc>
                <w:tcPr>
                  <w:tcW w:w="882" w:type="dxa"/>
                  <w:noWrap w:val="0"/>
                  <w:vAlign w:val="center"/>
                </w:tcPr>
                <w:p w14:paraId="0EB7E0EC">
                  <w:pPr>
                    <w:jc w:val="center"/>
                    <w:rPr>
                      <w:rFonts w:hint="default" w:ascii="Times New Roman" w:hAnsi="Times New Roman" w:cs="Times New Roman"/>
                      <w:color w:val="auto"/>
                      <w:highlight w:val="none"/>
                      <w:vertAlign w:val="baseline"/>
                      <w:lang w:val="en-US" w:eastAsia="zh-CN"/>
                    </w:rPr>
                  </w:pPr>
                  <w:r>
                    <w:rPr>
                      <w:rFonts w:hint="default" w:ascii="Times New Roman" w:hAnsi="Times New Roman" w:cs="Times New Roman"/>
                      <w:color w:val="auto"/>
                      <w:highlight w:val="none"/>
                      <w:vertAlign w:val="baseline"/>
                      <w:lang w:val="en-US" w:eastAsia="zh-CN"/>
                    </w:rPr>
                    <w:t>自来水</w:t>
                  </w:r>
                </w:p>
              </w:tc>
              <w:tc>
                <w:tcPr>
                  <w:tcW w:w="883" w:type="dxa"/>
                  <w:noWrap w:val="0"/>
                  <w:vAlign w:val="center"/>
                </w:tcPr>
                <w:p w14:paraId="0FACA581">
                  <w:pPr>
                    <w:jc w:val="center"/>
                    <w:rPr>
                      <w:rFonts w:hint="default" w:ascii="Times New Roman" w:hAnsi="Times New Roman" w:cs="Times New Roman"/>
                      <w:color w:val="auto"/>
                      <w:highlight w:val="none"/>
                      <w:vertAlign w:val="baseline"/>
                      <w:lang w:val="en-US" w:eastAsia="zh-CN"/>
                    </w:rPr>
                  </w:pPr>
                  <w:r>
                    <w:rPr>
                      <w:rFonts w:hint="default" w:ascii="Times New Roman" w:hAnsi="Times New Roman" w:cs="Times New Roman"/>
                      <w:color w:val="auto"/>
                      <w:highlight w:val="none"/>
                      <w:vertAlign w:val="baseline"/>
                      <w:lang w:val="en-US" w:eastAsia="zh-CN"/>
                    </w:rPr>
                    <w:t>100</w:t>
                  </w:r>
                </w:p>
              </w:tc>
              <w:tc>
                <w:tcPr>
                  <w:tcW w:w="883" w:type="dxa"/>
                  <w:noWrap w:val="0"/>
                  <w:vAlign w:val="center"/>
                </w:tcPr>
                <w:p w14:paraId="186DD6D7">
                  <w:pPr>
                    <w:jc w:val="center"/>
                    <w:rPr>
                      <w:rFonts w:hint="default" w:ascii="Times New Roman" w:hAnsi="Times New Roman" w:cs="Times New Roman"/>
                      <w:color w:val="auto"/>
                      <w:highlight w:val="none"/>
                      <w:vertAlign w:val="baseline"/>
                      <w:lang w:val="en-US" w:eastAsia="zh-CN"/>
                    </w:rPr>
                  </w:pPr>
                  <w:r>
                    <w:rPr>
                      <w:rFonts w:hint="default" w:ascii="Times New Roman" w:hAnsi="Times New Roman" w:cs="Times New Roman"/>
                      <w:color w:val="auto"/>
                      <w:highlight w:val="none"/>
                      <w:vertAlign w:val="baseline"/>
                      <w:lang w:val="en-US" w:eastAsia="zh-CN"/>
                    </w:rPr>
                    <w:t>1</w:t>
                  </w:r>
                </w:p>
              </w:tc>
              <w:tc>
                <w:tcPr>
                  <w:tcW w:w="883" w:type="dxa"/>
                  <w:noWrap w:val="0"/>
                  <w:vAlign w:val="center"/>
                </w:tcPr>
                <w:p w14:paraId="0AB96957">
                  <w:pPr>
                    <w:keepNext w:val="0"/>
                    <w:keepLines w:val="0"/>
                    <w:widowControl/>
                    <w:suppressLineNumbers w:val="0"/>
                    <w:jc w:val="center"/>
                    <w:textAlignment w:val="center"/>
                    <w:rPr>
                      <w:rFonts w:hint="default" w:ascii="Times New Roman" w:hAnsi="Times New Roman" w:cs="Times New Roman"/>
                      <w:color w:val="auto"/>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3000</w:t>
                  </w:r>
                </w:p>
              </w:tc>
              <w:tc>
                <w:tcPr>
                  <w:tcW w:w="883" w:type="dxa"/>
                  <w:noWrap w:val="0"/>
                  <w:vAlign w:val="center"/>
                </w:tcPr>
                <w:p w14:paraId="4770F148">
                  <w:pPr>
                    <w:keepNext w:val="0"/>
                    <w:keepLines w:val="0"/>
                    <w:widowControl/>
                    <w:suppressLineNumbers w:val="0"/>
                    <w:jc w:val="center"/>
                    <w:textAlignment w:val="center"/>
                    <w:rPr>
                      <w:rFonts w:hint="default" w:ascii="Times New Roman" w:hAnsi="Times New Roman" w:cs="Times New Roman"/>
                      <w:color w:val="auto"/>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0.3</w:t>
                  </w:r>
                </w:p>
              </w:tc>
              <w:tc>
                <w:tcPr>
                  <w:tcW w:w="883" w:type="dxa"/>
                  <w:noWrap w:val="0"/>
                  <w:vAlign w:val="center"/>
                </w:tcPr>
                <w:p w14:paraId="3E71DCD3">
                  <w:pPr>
                    <w:keepNext w:val="0"/>
                    <w:keepLines w:val="0"/>
                    <w:widowControl/>
                    <w:suppressLineNumbers w:val="0"/>
                    <w:jc w:val="center"/>
                    <w:textAlignment w:val="center"/>
                    <w:rPr>
                      <w:rFonts w:hint="default" w:ascii="Times New Roman" w:hAnsi="Times New Roman" w:cs="Times New Roman"/>
                      <w:color w:val="auto"/>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0.03</w:t>
                  </w:r>
                </w:p>
              </w:tc>
              <w:tc>
                <w:tcPr>
                  <w:tcW w:w="1868" w:type="dxa"/>
                  <w:noWrap w:val="0"/>
                  <w:vAlign w:val="center"/>
                </w:tcPr>
                <w:p w14:paraId="12BEF1E8">
                  <w:pPr>
                    <w:keepNext w:val="0"/>
                    <w:keepLines w:val="0"/>
                    <w:widowControl/>
                    <w:suppressLineNumbers w:val="0"/>
                    <w:jc w:val="center"/>
                    <w:textAlignment w:val="center"/>
                    <w:rPr>
                      <w:rFonts w:hint="default" w:ascii="Times New Roman" w:hAnsi="Times New Roman" w:cs="Times New Roman"/>
                      <w:color w:val="auto"/>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0.27</w:t>
                  </w:r>
                </w:p>
              </w:tc>
            </w:tr>
            <w:tr w14:paraId="0C28C9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2" w:type="dxa"/>
                  <w:noWrap w:val="0"/>
                  <w:vAlign w:val="center"/>
                </w:tcPr>
                <w:p w14:paraId="64CC2560">
                  <w:pPr>
                    <w:jc w:val="center"/>
                    <w:rPr>
                      <w:rFonts w:hint="default" w:ascii="Times New Roman" w:hAnsi="Times New Roman" w:cs="Times New Roman"/>
                      <w:color w:val="auto"/>
                      <w:highlight w:val="none"/>
                      <w:vertAlign w:val="baseline"/>
                      <w:lang w:val="en-US" w:eastAsia="zh-CN"/>
                    </w:rPr>
                  </w:pPr>
                  <w:r>
                    <w:rPr>
                      <w:rFonts w:hint="default" w:ascii="Times New Roman" w:hAnsi="Times New Roman" w:cs="Times New Roman"/>
                      <w:color w:val="auto"/>
                      <w:highlight w:val="none"/>
                      <w:vertAlign w:val="baseline"/>
                      <w:lang w:val="en-US" w:eastAsia="zh-CN"/>
                    </w:rPr>
                    <w:t>纯水洗</w:t>
                  </w:r>
                </w:p>
              </w:tc>
              <w:tc>
                <w:tcPr>
                  <w:tcW w:w="882" w:type="dxa"/>
                  <w:noWrap w:val="0"/>
                  <w:vAlign w:val="center"/>
                </w:tcPr>
                <w:p w14:paraId="5AE27817">
                  <w:pPr>
                    <w:jc w:val="center"/>
                    <w:rPr>
                      <w:rFonts w:hint="default" w:ascii="Times New Roman" w:hAnsi="Times New Roman" w:cs="Times New Roman"/>
                      <w:color w:val="auto"/>
                      <w:highlight w:val="none"/>
                      <w:vertAlign w:val="baseline"/>
                      <w:lang w:val="en-US" w:eastAsia="zh-CN"/>
                    </w:rPr>
                  </w:pPr>
                  <w:r>
                    <w:rPr>
                      <w:rFonts w:hint="default" w:ascii="Times New Roman" w:hAnsi="Times New Roman" w:cs="Times New Roman"/>
                      <w:color w:val="auto"/>
                      <w:highlight w:val="none"/>
                      <w:vertAlign w:val="baseline"/>
                      <w:lang w:val="en-US" w:eastAsia="zh-CN"/>
                    </w:rPr>
                    <w:t>纯水</w:t>
                  </w:r>
                </w:p>
              </w:tc>
              <w:tc>
                <w:tcPr>
                  <w:tcW w:w="883" w:type="dxa"/>
                  <w:noWrap w:val="0"/>
                  <w:vAlign w:val="center"/>
                </w:tcPr>
                <w:p w14:paraId="0CB9A770">
                  <w:pPr>
                    <w:jc w:val="center"/>
                    <w:rPr>
                      <w:rFonts w:hint="default" w:ascii="Times New Roman" w:hAnsi="Times New Roman" w:cs="Times New Roman"/>
                      <w:color w:val="auto"/>
                      <w:highlight w:val="none"/>
                      <w:vertAlign w:val="baseline"/>
                      <w:lang w:val="en-US" w:eastAsia="zh-CN"/>
                    </w:rPr>
                  </w:pPr>
                  <w:r>
                    <w:rPr>
                      <w:rFonts w:hint="default" w:ascii="Times New Roman" w:hAnsi="Times New Roman" w:cs="Times New Roman"/>
                      <w:color w:val="auto"/>
                      <w:highlight w:val="none"/>
                      <w:vertAlign w:val="baseline"/>
                      <w:lang w:val="en-US" w:eastAsia="zh-CN"/>
                    </w:rPr>
                    <w:t>20</w:t>
                  </w:r>
                </w:p>
              </w:tc>
              <w:tc>
                <w:tcPr>
                  <w:tcW w:w="883" w:type="dxa"/>
                  <w:noWrap w:val="0"/>
                  <w:vAlign w:val="center"/>
                </w:tcPr>
                <w:p w14:paraId="13824B86">
                  <w:pPr>
                    <w:jc w:val="center"/>
                    <w:rPr>
                      <w:rFonts w:hint="default" w:ascii="Times New Roman" w:hAnsi="Times New Roman" w:cs="Times New Roman"/>
                      <w:color w:val="auto"/>
                      <w:highlight w:val="none"/>
                      <w:vertAlign w:val="baseline"/>
                      <w:lang w:val="en-US" w:eastAsia="zh-CN"/>
                    </w:rPr>
                  </w:pPr>
                  <w:r>
                    <w:rPr>
                      <w:rFonts w:hint="default" w:ascii="Times New Roman" w:hAnsi="Times New Roman" w:cs="Times New Roman"/>
                      <w:color w:val="auto"/>
                      <w:highlight w:val="none"/>
                      <w:vertAlign w:val="baseline"/>
                      <w:lang w:val="en-US" w:eastAsia="zh-CN"/>
                    </w:rPr>
                    <w:t>1</w:t>
                  </w:r>
                </w:p>
              </w:tc>
              <w:tc>
                <w:tcPr>
                  <w:tcW w:w="883" w:type="dxa"/>
                  <w:noWrap w:val="0"/>
                  <w:vAlign w:val="center"/>
                </w:tcPr>
                <w:p w14:paraId="2DB67807">
                  <w:pPr>
                    <w:keepNext w:val="0"/>
                    <w:keepLines w:val="0"/>
                    <w:widowControl/>
                    <w:suppressLineNumbers w:val="0"/>
                    <w:jc w:val="center"/>
                    <w:textAlignment w:val="center"/>
                    <w:rPr>
                      <w:rFonts w:hint="default" w:ascii="Times New Roman" w:hAnsi="Times New Roman" w:cs="Times New Roman"/>
                      <w:color w:val="auto"/>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3000</w:t>
                  </w:r>
                </w:p>
              </w:tc>
              <w:tc>
                <w:tcPr>
                  <w:tcW w:w="883" w:type="dxa"/>
                  <w:noWrap w:val="0"/>
                  <w:vAlign w:val="center"/>
                </w:tcPr>
                <w:p w14:paraId="78AA4657">
                  <w:pPr>
                    <w:keepNext w:val="0"/>
                    <w:keepLines w:val="0"/>
                    <w:widowControl/>
                    <w:suppressLineNumbers w:val="0"/>
                    <w:jc w:val="center"/>
                    <w:textAlignment w:val="center"/>
                    <w:rPr>
                      <w:rFonts w:hint="default" w:ascii="Times New Roman" w:hAnsi="Times New Roman" w:cs="Times New Roman"/>
                      <w:color w:val="auto"/>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0.06</w:t>
                  </w:r>
                </w:p>
              </w:tc>
              <w:tc>
                <w:tcPr>
                  <w:tcW w:w="883" w:type="dxa"/>
                  <w:noWrap w:val="0"/>
                  <w:vAlign w:val="center"/>
                </w:tcPr>
                <w:p w14:paraId="3A1B4D82">
                  <w:pPr>
                    <w:keepNext w:val="0"/>
                    <w:keepLines w:val="0"/>
                    <w:widowControl/>
                    <w:suppressLineNumbers w:val="0"/>
                    <w:jc w:val="center"/>
                    <w:textAlignment w:val="center"/>
                    <w:rPr>
                      <w:rFonts w:hint="default" w:ascii="Times New Roman" w:hAnsi="Times New Roman" w:cs="Times New Roman"/>
                      <w:color w:val="auto"/>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0.006</w:t>
                  </w:r>
                </w:p>
              </w:tc>
              <w:tc>
                <w:tcPr>
                  <w:tcW w:w="1868" w:type="dxa"/>
                  <w:noWrap w:val="0"/>
                  <w:vAlign w:val="center"/>
                </w:tcPr>
                <w:p w14:paraId="71B465FD">
                  <w:pPr>
                    <w:keepNext w:val="0"/>
                    <w:keepLines w:val="0"/>
                    <w:widowControl/>
                    <w:suppressLineNumbers w:val="0"/>
                    <w:jc w:val="center"/>
                    <w:textAlignment w:val="center"/>
                    <w:rPr>
                      <w:rFonts w:hint="default" w:ascii="Times New Roman" w:hAnsi="Times New Roman" w:cs="Times New Roman"/>
                      <w:color w:val="auto"/>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0.054</w:t>
                  </w:r>
                </w:p>
              </w:tc>
            </w:tr>
            <w:tr w14:paraId="2EF851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2" w:type="dxa"/>
                  <w:noWrap w:val="0"/>
                  <w:vAlign w:val="center"/>
                </w:tcPr>
                <w:p w14:paraId="034F6197">
                  <w:pPr>
                    <w:jc w:val="center"/>
                    <w:rPr>
                      <w:rFonts w:hint="default" w:ascii="Times New Roman" w:hAnsi="Times New Roman" w:cs="Times New Roman"/>
                      <w:color w:val="auto"/>
                      <w:highlight w:val="none"/>
                      <w:vertAlign w:val="baseline"/>
                      <w:lang w:val="en-US" w:eastAsia="zh-CN"/>
                    </w:rPr>
                  </w:pPr>
                  <w:r>
                    <w:rPr>
                      <w:rFonts w:hint="default" w:ascii="Times New Roman" w:hAnsi="Times New Roman" w:cs="Times New Roman"/>
                      <w:color w:val="auto"/>
                      <w:highlight w:val="none"/>
                      <w:vertAlign w:val="baseline"/>
                      <w:lang w:val="en-US" w:eastAsia="zh-CN"/>
                    </w:rPr>
                    <w:t>合计</w:t>
                  </w:r>
                </w:p>
              </w:tc>
              <w:tc>
                <w:tcPr>
                  <w:tcW w:w="882" w:type="dxa"/>
                  <w:noWrap w:val="0"/>
                  <w:vAlign w:val="center"/>
                </w:tcPr>
                <w:p w14:paraId="7D9CD0F2">
                  <w:pPr>
                    <w:pStyle w:val="4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883" w:type="dxa"/>
                  <w:noWrap w:val="0"/>
                  <w:vAlign w:val="center"/>
                </w:tcPr>
                <w:p w14:paraId="3B71D4B9">
                  <w:pPr>
                    <w:jc w:val="center"/>
                    <w:rPr>
                      <w:rFonts w:hint="default" w:ascii="Times New Roman" w:hAnsi="Times New Roman" w:cs="Times New Roman"/>
                      <w:color w:val="auto"/>
                      <w:highlight w:val="none"/>
                      <w:vertAlign w:val="baseline"/>
                      <w:lang w:val="en-US" w:eastAsia="zh-CN"/>
                    </w:rPr>
                  </w:pPr>
                  <w:r>
                    <w:rPr>
                      <w:rFonts w:hint="default" w:ascii="Times New Roman" w:hAnsi="Times New Roman" w:cs="Times New Roman"/>
                      <w:color w:val="auto"/>
                      <w:highlight w:val="none"/>
                      <w:vertAlign w:val="baseline"/>
                      <w:lang w:val="en-US" w:eastAsia="zh-CN"/>
                    </w:rPr>
                    <w:t>/</w:t>
                  </w:r>
                </w:p>
              </w:tc>
              <w:tc>
                <w:tcPr>
                  <w:tcW w:w="883" w:type="dxa"/>
                  <w:noWrap w:val="0"/>
                  <w:vAlign w:val="center"/>
                </w:tcPr>
                <w:p w14:paraId="7C3D77E1">
                  <w:pPr>
                    <w:jc w:val="center"/>
                    <w:rPr>
                      <w:rFonts w:hint="default" w:ascii="Times New Roman" w:hAnsi="Times New Roman" w:cs="Times New Roman"/>
                      <w:color w:val="auto"/>
                      <w:highlight w:val="none"/>
                      <w:vertAlign w:val="baseline"/>
                      <w:lang w:val="en-US" w:eastAsia="zh-CN"/>
                    </w:rPr>
                  </w:pPr>
                  <w:r>
                    <w:rPr>
                      <w:rFonts w:hint="default" w:ascii="Times New Roman" w:hAnsi="Times New Roman" w:cs="Times New Roman"/>
                      <w:color w:val="auto"/>
                      <w:highlight w:val="none"/>
                      <w:vertAlign w:val="baseline"/>
                      <w:lang w:val="en-US" w:eastAsia="zh-CN"/>
                    </w:rPr>
                    <w:t>/</w:t>
                  </w:r>
                </w:p>
              </w:tc>
              <w:tc>
                <w:tcPr>
                  <w:tcW w:w="883" w:type="dxa"/>
                  <w:noWrap w:val="0"/>
                  <w:vAlign w:val="center"/>
                </w:tcPr>
                <w:p w14:paraId="0EB5A336">
                  <w:pPr>
                    <w:keepNext w:val="0"/>
                    <w:keepLines w:val="0"/>
                    <w:widowControl/>
                    <w:suppressLineNumbers w:val="0"/>
                    <w:jc w:val="center"/>
                    <w:textAlignment w:val="center"/>
                    <w:rPr>
                      <w:rFonts w:hint="default" w:ascii="Times New Roman" w:hAnsi="Times New Roman" w:cs="Times New Roman"/>
                      <w:color w:val="auto"/>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883" w:type="dxa"/>
                  <w:noWrap w:val="0"/>
                  <w:vAlign w:val="center"/>
                </w:tcPr>
                <w:p w14:paraId="1DD91F24">
                  <w:pPr>
                    <w:keepNext w:val="0"/>
                    <w:keepLines w:val="0"/>
                    <w:widowControl/>
                    <w:suppressLineNumbers w:val="0"/>
                    <w:jc w:val="center"/>
                    <w:textAlignment w:val="center"/>
                    <w:rPr>
                      <w:rFonts w:hint="default" w:ascii="Times New Roman" w:hAnsi="Times New Roman" w:cs="Times New Roman"/>
                      <w:color w:val="auto"/>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0.42</w:t>
                  </w:r>
                </w:p>
              </w:tc>
              <w:tc>
                <w:tcPr>
                  <w:tcW w:w="883" w:type="dxa"/>
                  <w:noWrap w:val="0"/>
                  <w:vAlign w:val="center"/>
                </w:tcPr>
                <w:p w14:paraId="77C37C5E">
                  <w:pPr>
                    <w:keepNext w:val="0"/>
                    <w:keepLines w:val="0"/>
                    <w:widowControl/>
                    <w:suppressLineNumbers w:val="0"/>
                    <w:jc w:val="center"/>
                    <w:textAlignment w:val="center"/>
                    <w:rPr>
                      <w:rFonts w:hint="default" w:ascii="Times New Roman" w:hAnsi="Times New Roman" w:cs="Times New Roman"/>
                      <w:color w:val="auto"/>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0.042</w:t>
                  </w:r>
                </w:p>
              </w:tc>
              <w:tc>
                <w:tcPr>
                  <w:tcW w:w="1868" w:type="dxa"/>
                  <w:noWrap w:val="0"/>
                  <w:vAlign w:val="center"/>
                </w:tcPr>
                <w:p w14:paraId="3C25558B">
                  <w:pPr>
                    <w:keepNext w:val="0"/>
                    <w:keepLines w:val="0"/>
                    <w:widowControl/>
                    <w:suppressLineNumbers w:val="0"/>
                    <w:jc w:val="center"/>
                    <w:textAlignment w:val="center"/>
                    <w:rPr>
                      <w:rFonts w:hint="default" w:ascii="Times New Roman" w:hAnsi="Times New Roman" w:cs="Times New Roman"/>
                      <w:color w:val="auto"/>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0.378</w:t>
                  </w:r>
                </w:p>
              </w:tc>
            </w:tr>
          </w:tbl>
          <w:p w14:paraId="511F8D2D">
            <w:pPr>
              <w:keepNext w:val="0"/>
              <w:keepLines w:val="0"/>
              <w:pageBreakBefore w:val="0"/>
              <w:widowControl/>
              <w:suppressLineNumbers w:val="0"/>
              <w:kinsoku/>
              <w:wordWrap/>
              <w:overflowPunct/>
              <w:topLinePunct w:val="0"/>
              <w:autoSpaceDE/>
              <w:autoSpaceDN/>
              <w:bidi w:val="0"/>
              <w:adjustRightInd/>
              <w:snapToGrid/>
              <w:spacing w:line="360" w:lineRule="auto"/>
              <w:ind w:firstLine="420" w:firstLineChars="200"/>
              <w:jc w:val="left"/>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从上表可知，普通检测</w:t>
            </w:r>
            <w:r>
              <w:rPr>
                <w:rFonts w:hint="eastAsia" w:ascii="Times New Roman" w:hAnsi="Times New Roman" w:eastAsia="宋体" w:cs="Times New Roman"/>
                <w:color w:val="auto"/>
                <w:kern w:val="0"/>
                <w:sz w:val="21"/>
                <w:szCs w:val="21"/>
                <w:highlight w:val="none"/>
                <w:lang w:val="en-US" w:eastAsia="zh-CN" w:bidi="ar"/>
              </w:rPr>
              <w:t>样品</w:t>
            </w:r>
            <w:r>
              <w:rPr>
                <w:rFonts w:hint="default" w:ascii="Times New Roman" w:hAnsi="Times New Roman" w:eastAsia="宋体" w:cs="Times New Roman"/>
                <w:color w:val="auto"/>
                <w:kern w:val="0"/>
                <w:sz w:val="21"/>
                <w:szCs w:val="21"/>
                <w:highlight w:val="none"/>
                <w:lang w:val="en-US" w:eastAsia="zh-CN" w:bidi="ar"/>
              </w:rPr>
              <w:t>实验室器皿清洗工序年用水量为</w:t>
            </w:r>
            <w:r>
              <w:rPr>
                <w:rFonts w:hint="eastAsia" w:cs="Times New Roman"/>
                <w:color w:val="auto"/>
                <w:kern w:val="0"/>
                <w:sz w:val="21"/>
                <w:szCs w:val="21"/>
                <w:highlight w:val="none"/>
                <w:lang w:val="en-US" w:eastAsia="zh-CN" w:bidi="ar"/>
              </w:rPr>
              <w:t>3.36</w:t>
            </w:r>
            <w:r>
              <w:rPr>
                <w:rFonts w:hint="default" w:ascii="Times New Roman" w:hAnsi="Times New Roman" w:eastAsia="宋体" w:cs="Times New Roman"/>
                <w:color w:val="auto"/>
                <w:kern w:val="0"/>
                <w:sz w:val="21"/>
                <w:szCs w:val="21"/>
                <w:highlight w:val="none"/>
                <w:lang w:val="en-US" w:eastAsia="zh-CN" w:bidi="ar"/>
              </w:rPr>
              <w:t>t/a，产生清洗废水</w:t>
            </w:r>
            <w:r>
              <w:rPr>
                <w:rFonts w:hint="eastAsia" w:cs="Times New Roman"/>
                <w:color w:val="auto"/>
                <w:kern w:val="0"/>
                <w:sz w:val="21"/>
                <w:szCs w:val="21"/>
                <w:highlight w:val="none"/>
                <w:lang w:val="en-US" w:eastAsia="zh-CN" w:bidi="ar"/>
              </w:rPr>
              <w:t>2.592</w:t>
            </w:r>
            <w:r>
              <w:rPr>
                <w:rFonts w:hint="default" w:ascii="Times New Roman" w:hAnsi="Times New Roman" w:eastAsia="宋体" w:cs="Times New Roman"/>
                <w:color w:val="auto"/>
                <w:kern w:val="0"/>
                <w:sz w:val="21"/>
                <w:szCs w:val="21"/>
                <w:highlight w:val="none"/>
                <w:lang w:val="en-US" w:eastAsia="zh-CN" w:bidi="ar"/>
              </w:rPr>
              <w:t>t/a，清洗废液</w:t>
            </w:r>
            <w:r>
              <w:rPr>
                <w:rFonts w:hint="eastAsia" w:cs="Times New Roman"/>
                <w:color w:val="auto"/>
                <w:kern w:val="0"/>
                <w:sz w:val="21"/>
                <w:szCs w:val="21"/>
                <w:highlight w:val="none"/>
                <w:lang w:val="en-US" w:eastAsia="zh-CN" w:bidi="ar"/>
              </w:rPr>
              <w:t>0.432t</w:t>
            </w:r>
            <w:r>
              <w:rPr>
                <w:rFonts w:hint="default" w:ascii="Times New Roman" w:hAnsi="Times New Roman" w:eastAsia="宋体" w:cs="Times New Roman"/>
                <w:color w:val="auto"/>
                <w:kern w:val="0"/>
                <w:sz w:val="21"/>
                <w:szCs w:val="21"/>
                <w:highlight w:val="none"/>
                <w:lang w:val="en-US" w:eastAsia="zh-CN" w:bidi="ar"/>
              </w:rPr>
              <w:t>/a</w:t>
            </w:r>
            <w:r>
              <w:rPr>
                <w:rFonts w:hint="default" w:ascii="Times New Roman" w:hAnsi="Times New Roman" w:eastAsia="宋体" w:cs="Times New Roman"/>
                <w:color w:val="auto"/>
                <w:kern w:val="0"/>
                <w:sz w:val="21"/>
                <w:szCs w:val="21"/>
                <w:highlight w:val="none"/>
                <w:lang w:val="en-US" w:eastAsia="zh-CN" w:bidi="ar"/>
              </w:rPr>
              <w:t>，清洗废水收集后交由有处理能力的废水机构转移处理，清洗废液收集后交由具有相关危险废物经营许可证的单位处理。</w:t>
            </w:r>
          </w:p>
          <w:p w14:paraId="56F79880">
            <w:pPr>
              <w:keepNext w:val="0"/>
              <w:keepLines w:val="0"/>
              <w:pageBreakBefore w:val="0"/>
              <w:widowControl/>
              <w:suppressLineNumbers w:val="0"/>
              <w:kinsoku/>
              <w:wordWrap/>
              <w:overflowPunct/>
              <w:topLinePunct w:val="0"/>
              <w:autoSpaceDE/>
              <w:autoSpaceDN/>
              <w:bidi w:val="0"/>
              <w:adjustRightInd/>
              <w:snapToGrid/>
              <w:spacing w:line="360" w:lineRule="auto"/>
              <w:ind w:firstLine="420" w:firstLineChars="200"/>
              <w:jc w:val="left"/>
              <w:textAlignment w:val="auto"/>
              <w:rPr>
                <w:color w:val="auto"/>
                <w:highlight w:val="none"/>
              </w:rPr>
            </w:pPr>
            <w:r>
              <w:rPr>
                <w:rFonts w:hint="default" w:ascii="Times New Roman" w:hAnsi="Times New Roman" w:eastAsia="宋体" w:cs="Times New Roman"/>
                <w:color w:val="auto"/>
                <w:kern w:val="0"/>
                <w:sz w:val="21"/>
                <w:szCs w:val="21"/>
                <w:highlight w:val="none"/>
                <w:lang w:val="en-US" w:eastAsia="zh-CN" w:bidi="ar"/>
              </w:rPr>
              <w:t>涉使用重金属试剂检测水样实验室器皿清洗工序年用水量为</w:t>
            </w:r>
            <w:r>
              <w:rPr>
                <w:rFonts w:hint="default" w:ascii="Times New Roman" w:hAnsi="Times New Roman" w:eastAsia="宋体" w:cs="Times New Roman"/>
                <w:color w:val="auto"/>
                <w:kern w:val="0"/>
                <w:sz w:val="21"/>
                <w:szCs w:val="21"/>
                <w:highlight w:val="none"/>
                <w:lang w:val="en-US" w:eastAsia="zh-CN" w:bidi="ar"/>
              </w:rPr>
              <w:t>0.</w:t>
            </w:r>
            <w:r>
              <w:rPr>
                <w:rFonts w:hint="eastAsia" w:cs="Times New Roman"/>
                <w:color w:val="auto"/>
                <w:kern w:val="0"/>
                <w:sz w:val="21"/>
                <w:szCs w:val="21"/>
                <w:highlight w:val="none"/>
                <w:lang w:val="en-US" w:eastAsia="zh-CN" w:bidi="ar"/>
              </w:rPr>
              <w:t>42</w:t>
            </w:r>
            <w:r>
              <w:rPr>
                <w:rFonts w:hint="default" w:ascii="Times New Roman" w:hAnsi="Times New Roman" w:eastAsia="宋体" w:cs="Times New Roman"/>
                <w:color w:val="auto"/>
                <w:kern w:val="0"/>
                <w:sz w:val="21"/>
                <w:szCs w:val="21"/>
                <w:highlight w:val="none"/>
                <w:lang w:val="en-US" w:eastAsia="zh-CN" w:bidi="ar"/>
              </w:rPr>
              <w:t>t/a，</w:t>
            </w:r>
            <w:r>
              <w:rPr>
                <w:rFonts w:hint="default" w:ascii="Times New Roman" w:hAnsi="Times New Roman" w:eastAsia="宋体" w:cs="Times New Roman"/>
                <w:color w:val="auto"/>
                <w:kern w:val="0"/>
                <w:sz w:val="21"/>
                <w:szCs w:val="21"/>
                <w:highlight w:val="none"/>
                <w:lang w:val="en-US" w:eastAsia="zh-CN" w:bidi="ar"/>
              </w:rPr>
              <w:t>产生</w:t>
            </w:r>
            <w:r>
              <w:rPr>
                <w:rFonts w:hint="eastAsia" w:ascii="Times New Roman" w:hAnsi="Times New Roman" w:eastAsia="宋体" w:cs="Times New Roman"/>
                <w:color w:val="auto"/>
                <w:kern w:val="0"/>
                <w:sz w:val="21"/>
                <w:szCs w:val="21"/>
                <w:highlight w:val="none"/>
                <w:lang w:val="en-US" w:eastAsia="zh-CN" w:bidi="ar"/>
              </w:rPr>
              <w:t>清洗废液</w:t>
            </w:r>
            <w:r>
              <w:rPr>
                <w:rFonts w:hint="default" w:ascii="Times New Roman" w:hAnsi="Times New Roman" w:eastAsia="宋体" w:cs="Times New Roman"/>
                <w:color w:val="auto"/>
                <w:kern w:val="0"/>
                <w:sz w:val="21"/>
                <w:szCs w:val="21"/>
                <w:highlight w:val="none"/>
                <w:lang w:val="en-US" w:eastAsia="zh-CN" w:bidi="ar"/>
              </w:rPr>
              <w:t>0.</w:t>
            </w:r>
            <w:r>
              <w:rPr>
                <w:rFonts w:hint="eastAsia" w:cs="Times New Roman"/>
                <w:color w:val="auto"/>
                <w:kern w:val="0"/>
                <w:sz w:val="21"/>
                <w:szCs w:val="21"/>
                <w:highlight w:val="none"/>
                <w:lang w:val="en-US" w:eastAsia="zh-CN" w:bidi="ar"/>
              </w:rPr>
              <w:t>378</w:t>
            </w:r>
            <w:r>
              <w:rPr>
                <w:rFonts w:hint="default" w:ascii="Times New Roman" w:hAnsi="Times New Roman" w:eastAsia="宋体" w:cs="Times New Roman"/>
                <w:color w:val="auto"/>
                <w:kern w:val="0"/>
                <w:sz w:val="21"/>
                <w:szCs w:val="21"/>
                <w:highlight w:val="none"/>
                <w:lang w:val="en-US" w:eastAsia="zh-CN" w:bidi="ar"/>
              </w:rPr>
              <w:t>t/a，</w:t>
            </w:r>
            <w:r>
              <w:rPr>
                <w:rFonts w:hint="eastAsia" w:ascii="Times New Roman" w:hAnsi="Times New Roman" w:eastAsia="宋体" w:cs="Times New Roman"/>
                <w:color w:val="auto"/>
                <w:kern w:val="0"/>
                <w:sz w:val="21"/>
                <w:szCs w:val="21"/>
                <w:highlight w:val="none"/>
                <w:lang w:val="en-US" w:eastAsia="zh-CN" w:bidi="ar"/>
              </w:rPr>
              <w:t>涉</w:t>
            </w:r>
            <w:r>
              <w:rPr>
                <w:rFonts w:hint="default" w:ascii="Times New Roman" w:hAnsi="Times New Roman" w:eastAsia="宋体" w:cs="Times New Roman"/>
                <w:color w:val="auto"/>
                <w:kern w:val="0"/>
                <w:sz w:val="21"/>
                <w:szCs w:val="21"/>
                <w:highlight w:val="none"/>
                <w:lang w:val="en-US" w:eastAsia="zh-CN" w:bidi="ar"/>
              </w:rPr>
              <w:t>重金属试剂</w:t>
            </w:r>
            <w:r>
              <w:rPr>
                <w:rFonts w:hint="eastAsia" w:ascii="Times New Roman" w:hAnsi="Times New Roman" w:eastAsia="宋体" w:cs="Times New Roman"/>
                <w:color w:val="auto"/>
                <w:kern w:val="0"/>
                <w:sz w:val="21"/>
                <w:szCs w:val="21"/>
                <w:highlight w:val="none"/>
                <w:lang w:val="en-US" w:eastAsia="zh-CN" w:bidi="ar"/>
              </w:rPr>
              <w:t>检测的</w:t>
            </w:r>
            <w:r>
              <w:rPr>
                <w:rFonts w:hint="default" w:ascii="Times New Roman" w:hAnsi="Times New Roman" w:eastAsia="宋体" w:cs="Times New Roman"/>
                <w:color w:val="auto"/>
                <w:kern w:val="0"/>
                <w:sz w:val="21"/>
                <w:szCs w:val="21"/>
                <w:highlight w:val="none"/>
                <w:lang w:val="en-US" w:eastAsia="zh-CN" w:bidi="ar"/>
              </w:rPr>
              <w:t>清洗废液收集后交由具有相关危险废物经营许可证的单位处理。</w:t>
            </w:r>
          </w:p>
          <w:p w14:paraId="01BE3507">
            <w:pPr>
              <w:keepNext w:val="0"/>
              <w:keepLines w:val="0"/>
              <w:pageBreakBefore w:val="0"/>
              <w:widowControl/>
              <w:suppressLineNumbers w:val="0"/>
              <w:kinsoku/>
              <w:wordWrap/>
              <w:overflowPunct/>
              <w:topLinePunct w:val="0"/>
              <w:autoSpaceDE/>
              <w:autoSpaceDN/>
              <w:bidi w:val="0"/>
              <w:adjustRightInd/>
              <w:snapToGrid/>
              <w:spacing w:line="360" w:lineRule="auto"/>
              <w:ind w:firstLine="420" w:firstLineChars="200"/>
              <w:jc w:val="left"/>
              <w:textAlignment w:val="auto"/>
              <w:rPr>
                <w:rFonts w:hint="default" w:eastAsia="宋体"/>
                <w:color w:val="auto"/>
                <w:highlight w:val="none"/>
                <w:lang w:val="en-US" w:eastAsia="zh-CN"/>
              </w:rPr>
            </w:pPr>
            <w:r>
              <w:rPr>
                <w:rFonts w:hint="eastAsia"/>
                <w:color w:val="auto"/>
                <w:highlight w:val="none"/>
                <w:lang w:val="en-US" w:eastAsia="zh-CN"/>
              </w:rPr>
              <w:t>综上，普通检测样品清洗废水量为</w:t>
            </w:r>
            <w:r>
              <w:rPr>
                <w:rFonts w:hint="eastAsia"/>
                <w:color w:val="auto"/>
                <w:highlight w:val="none"/>
                <w:lang w:val="en-US" w:eastAsia="zh-CN"/>
              </w:rPr>
              <w:t>2.592</w:t>
            </w:r>
            <w:r>
              <w:rPr>
                <w:rFonts w:hint="default" w:ascii="Times New Roman" w:hAnsi="Times New Roman" w:eastAsia="宋体" w:cs="Times New Roman"/>
                <w:color w:val="auto"/>
                <w:kern w:val="0"/>
                <w:sz w:val="21"/>
                <w:szCs w:val="21"/>
                <w:highlight w:val="none"/>
                <w:lang w:val="en-US" w:eastAsia="zh-CN" w:bidi="ar"/>
              </w:rPr>
              <w:t>t/a</w:t>
            </w:r>
            <w:r>
              <w:rPr>
                <w:rFonts w:hint="eastAsia" w:ascii="Times New Roman" w:hAnsi="Times New Roman" w:eastAsia="宋体" w:cs="Times New Roman"/>
                <w:color w:val="auto"/>
                <w:kern w:val="0"/>
                <w:sz w:val="21"/>
                <w:szCs w:val="21"/>
                <w:highlight w:val="none"/>
                <w:lang w:val="en-US" w:eastAsia="zh-CN" w:bidi="ar"/>
              </w:rPr>
              <w:t>，</w:t>
            </w:r>
            <w:r>
              <w:rPr>
                <w:rFonts w:hint="eastAsia"/>
                <w:color w:val="auto"/>
                <w:highlight w:val="none"/>
                <w:lang w:val="en-US" w:eastAsia="zh-CN"/>
              </w:rPr>
              <w:t>普通检测样品的</w:t>
            </w:r>
            <w:r>
              <w:rPr>
                <w:rFonts w:hint="eastAsia" w:ascii="Times New Roman" w:hAnsi="Times New Roman" w:eastAsia="宋体" w:cs="Times New Roman"/>
                <w:color w:val="auto"/>
                <w:kern w:val="0"/>
                <w:sz w:val="21"/>
                <w:szCs w:val="21"/>
                <w:highlight w:val="none"/>
                <w:lang w:val="en-US" w:eastAsia="zh-CN" w:bidi="ar"/>
              </w:rPr>
              <w:t>清洗废液、涉</w:t>
            </w:r>
            <w:r>
              <w:rPr>
                <w:rFonts w:hint="default" w:ascii="Times New Roman" w:hAnsi="Times New Roman" w:eastAsia="宋体" w:cs="Times New Roman"/>
                <w:color w:val="auto"/>
                <w:kern w:val="0"/>
                <w:sz w:val="21"/>
                <w:szCs w:val="21"/>
                <w:highlight w:val="none"/>
                <w:lang w:val="en-US" w:eastAsia="zh-CN" w:bidi="ar"/>
              </w:rPr>
              <w:t>重金属试剂</w:t>
            </w:r>
            <w:r>
              <w:rPr>
                <w:rFonts w:hint="eastAsia" w:ascii="Times New Roman" w:hAnsi="Times New Roman" w:eastAsia="宋体" w:cs="Times New Roman"/>
                <w:color w:val="auto"/>
                <w:kern w:val="0"/>
                <w:sz w:val="21"/>
                <w:szCs w:val="21"/>
                <w:highlight w:val="none"/>
                <w:lang w:val="en-US" w:eastAsia="zh-CN" w:bidi="ar"/>
              </w:rPr>
              <w:t>检测</w:t>
            </w:r>
            <w:r>
              <w:rPr>
                <w:rFonts w:hint="eastAsia" w:ascii="Times New Roman" w:hAnsi="Times New Roman" w:eastAsia="宋体" w:cs="Times New Roman"/>
                <w:color w:val="auto"/>
                <w:kern w:val="0"/>
                <w:sz w:val="21"/>
                <w:szCs w:val="21"/>
                <w:highlight w:val="none"/>
                <w:lang w:val="en-US" w:eastAsia="zh-CN" w:bidi="ar"/>
              </w:rPr>
              <w:t>的</w:t>
            </w:r>
            <w:r>
              <w:rPr>
                <w:rFonts w:hint="default" w:ascii="Times New Roman" w:hAnsi="Times New Roman" w:eastAsia="宋体" w:cs="Times New Roman"/>
                <w:color w:val="auto"/>
                <w:kern w:val="0"/>
                <w:sz w:val="21"/>
                <w:szCs w:val="21"/>
                <w:highlight w:val="none"/>
                <w:lang w:val="en-US" w:eastAsia="zh-CN" w:bidi="ar"/>
              </w:rPr>
              <w:t>清洗废液</w:t>
            </w:r>
            <w:r>
              <w:rPr>
                <w:rFonts w:hint="eastAsia" w:ascii="Times New Roman" w:hAnsi="Times New Roman" w:eastAsia="宋体" w:cs="Times New Roman"/>
                <w:color w:val="auto"/>
                <w:kern w:val="0"/>
                <w:sz w:val="21"/>
                <w:szCs w:val="21"/>
                <w:highlight w:val="none"/>
                <w:lang w:val="en-US" w:eastAsia="zh-CN" w:bidi="ar"/>
              </w:rPr>
              <w:t>为</w:t>
            </w:r>
            <w:r>
              <w:rPr>
                <w:rFonts w:hint="eastAsia" w:ascii="Times New Roman" w:hAnsi="Times New Roman" w:eastAsia="宋体" w:cs="Times New Roman"/>
                <w:color w:val="auto"/>
                <w:kern w:val="0"/>
                <w:sz w:val="21"/>
                <w:szCs w:val="21"/>
                <w:highlight w:val="none"/>
                <w:lang w:val="en-US" w:eastAsia="zh-CN" w:bidi="ar"/>
              </w:rPr>
              <w:t>0.</w:t>
            </w:r>
            <w:r>
              <w:rPr>
                <w:rFonts w:hint="eastAsia" w:cs="Times New Roman"/>
                <w:color w:val="auto"/>
                <w:kern w:val="0"/>
                <w:sz w:val="21"/>
                <w:szCs w:val="21"/>
                <w:highlight w:val="none"/>
                <w:lang w:val="en-US" w:eastAsia="zh-CN" w:bidi="ar"/>
              </w:rPr>
              <w:t>432</w:t>
            </w:r>
            <w:r>
              <w:rPr>
                <w:rFonts w:hint="eastAsia" w:ascii="Times New Roman" w:hAnsi="Times New Roman" w:eastAsia="宋体" w:cs="Times New Roman"/>
                <w:color w:val="auto"/>
                <w:kern w:val="0"/>
                <w:sz w:val="21"/>
                <w:szCs w:val="21"/>
                <w:highlight w:val="none"/>
                <w:lang w:val="en-US" w:eastAsia="zh-CN" w:bidi="ar"/>
              </w:rPr>
              <w:t>+0.</w:t>
            </w:r>
            <w:r>
              <w:rPr>
                <w:rFonts w:hint="eastAsia" w:cs="Times New Roman"/>
                <w:color w:val="auto"/>
                <w:kern w:val="0"/>
                <w:sz w:val="21"/>
                <w:szCs w:val="21"/>
                <w:highlight w:val="none"/>
                <w:lang w:val="en-US" w:eastAsia="zh-CN" w:bidi="ar"/>
              </w:rPr>
              <w:t>378</w:t>
            </w:r>
            <w:r>
              <w:rPr>
                <w:rFonts w:hint="eastAsia" w:ascii="Times New Roman" w:hAnsi="Times New Roman" w:eastAsia="宋体" w:cs="Times New Roman"/>
                <w:color w:val="auto"/>
                <w:kern w:val="0"/>
                <w:sz w:val="21"/>
                <w:szCs w:val="21"/>
                <w:highlight w:val="none"/>
                <w:lang w:val="en-US" w:eastAsia="zh-CN" w:bidi="ar"/>
              </w:rPr>
              <w:t>=0.</w:t>
            </w:r>
            <w:r>
              <w:rPr>
                <w:rFonts w:hint="eastAsia" w:cs="Times New Roman"/>
                <w:color w:val="auto"/>
                <w:kern w:val="0"/>
                <w:sz w:val="21"/>
                <w:szCs w:val="21"/>
                <w:highlight w:val="none"/>
                <w:lang w:val="en-US" w:eastAsia="zh-CN" w:bidi="ar"/>
              </w:rPr>
              <w:t>81</w:t>
            </w:r>
            <w:r>
              <w:rPr>
                <w:rFonts w:hint="default" w:ascii="Times New Roman" w:hAnsi="Times New Roman" w:eastAsia="宋体" w:cs="Times New Roman"/>
                <w:color w:val="auto"/>
                <w:kern w:val="0"/>
                <w:sz w:val="21"/>
                <w:szCs w:val="21"/>
                <w:highlight w:val="none"/>
                <w:lang w:val="en-US" w:eastAsia="zh-CN" w:bidi="ar"/>
              </w:rPr>
              <w:t>t/a</w:t>
            </w:r>
            <w:r>
              <w:rPr>
                <w:rFonts w:hint="eastAsia" w:ascii="Times New Roman" w:hAnsi="Times New Roman" w:eastAsia="宋体" w:cs="Times New Roman"/>
                <w:color w:val="auto"/>
                <w:kern w:val="0"/>
                <w:sz w:val="21"/>
                <w:szCs w:val="21"/>
                <w:highlight w:val="none"/>
                <w:lang w:val="en-US" w:eastAsia="zh-CN" w:bidi="ar"/>
              </w:rPr>
              <w:t>。</w:t>
            </w:r>
          </w:p>
          <w:p w14:paraId="7E27ECDF">
            <w:pPr>
              <w:pStyle w:val="99"/>
              <w:numPr>
                <w:ilvl w:val="0"/>
                <w:numId w:val="6"/>
              </w:numPr>
              <w:spacing w:line="360" w:lineRule="auto"/>
              <w:ind w:firstLine="444"/>
              <w:rPr>
                <w:rFonts w:hint="default" w:ascii="Times New Roman" w:hAnsi="Times New Roman" w:eastAsia="宋体" w:cs="Times New Roman"/>
                <w:color w:val="auto"/>
                <w:sz w:val="21"/>
                <w:szCs w:val="21"/>
                <w:highlight w:val="none"/>
              </w:rPr>
            </w:pPr>
            <w:r>
              <w:rPr>
                <w:rFonts w:hint="eastAsia" w:eastAsia="宋体" w:cs="Times New Roman"/>
                <w:b/>
                <w:bCs/>
                <w:color w:val="auto"/>
                <w:sz w:val="21"/>
                <w:szCs w:val="21"/>
                <w:highlight w:val="none"/>
                <w:lang w:val="en-US" w:eastAsia="zh-CN"/>
              </w:rPr>
              <w:t>纯水机</w:t>
            </w:r>
            <w:r>
              <w:rPr>
                <w:rFonts w:hint="default" w:ascii="Times New Roman" w:hAnsi="Times New Roman" w:eastAsia="宋体" w:cs="Times New Roman"/>
                <w:b/>
                <w:bCs/>
                <w:color w:val="auto"/>
                <w:sz w:val="21"/>
                <w:szCs w:val="21"/>
                <w:highlight w:val="none"/>
              </w:rPr>
              <w:t>用水</w:t>
            </w:r>
            <w:r>
              <w:rPr>
                <w:rFonts w:hint="eastAsia" w:eastAsia="宋体" w:cs="Times New Roman"/>
                <w:b/>
                <w:bCs/>
                <w:color w:val="auto"/>
                <w:sz w:val="21"/>
                <w:szCs w:val="21"/>
                <w:highlight w:val="none"/>
                <w:lang w:eastAsia="zh-CN"/>
              </w:rPr>
              <w:t>：</w:t>
            </w:r>
            <w:r>
              <w:rPr>
                <w:rFonts w:hint="default" w:ascii="Times New Roman" w:hAnsi="Times New Roman" w:eastAsia="宋体" w:cs="Times New Roman"/>
                <w:color w:val="auto"/>
                <w:sz w:val="21"/>
                <w:szCs w:val="21"/>
                <w:highlight w:val="none"/>
              </w:rPr>
              <w:t>本项目实验室清洗需要纯水</w:t>
            </w:r>
            <w:r>
              <w:rPr>
                <w:rFonts w:hint="eastAsia" w:eastAsia="宋体" w:cs="Times New Roman"/>
                <w:color w:val="auto"/>
                <w:sz w:val="21"/>
                <w:szCs w:val="21"/>
                <w:highlight w:val="none"/>
                <w:lang w:val="en-US" w:eastAsia="zh-CN"/>
              </w:rPr>
              <w:t>1.08t</w:t>
            </w:r>
            <w:r>
              <w:rPr>
                <w:rFonts w:hint="default" w:ascii="Times New Roman" w:hAnsi="Times New Roman" w:eastAsia="宋体" w:cs="Times New Roman"/>
                <w:color w:val="auto"/>
                <w:sz w:val="21"/>
                <w:szCs w:val="21"/>
                <w:highlight w:val="none"/>
              </w:rPr>
              <w:t>/a</w:t>
            </w:r>
            <w:r>
              <w:rPr>
                <w:rFonts w:hint="default" w:ascii="Times New Roman" w:hAnsi="Times New Roman" w:eastAsia="宋体" w:cs="Times New Roman"/>
                <w:color w:val="auto"/>
                <w:sz w:val="21"/>
                <w:szCs w:val="21"/>
                <w:highlight w:val="none"/>
                <w:lang w:eastAsia="zh-CN"/>
              </w:rPr>
              <w:t>（</w:t>
            </w:r>
            <w:r>
              <w:rPr>
                <w:rFonts w:hint="eastAsia" w:eastAsia="宋体" w:cs="Times New Roman"/>
                <w:color w:val="auto"/>
                <w:sz w:val="21"/>
                <w:szCs w:val="21"/>
                <w:highlight w:val="none"/>
                <w:lang w:val="en-US" w:eastAsia="zh-CN"/>
              </w:rPr>
              <w:t>手工</w:t>
            </w:r>
            <w:r>
              <w:rPr>
                <w:rFonts w:hint="default" w:ascii="Times New Roman" w:hAnsi="Times New Roman" w:eastAsia="宋体" w:cs="Times New Roman"/>
                <w:color w:val="auto"/>
                <w:sz w:val="21"/>
                <w:szCs w:val="21"/>
                <w:highlight w:val="none"/>
                <w:lang w:val="en-US" w:eastAsia="zh-CN"/>
              </w:rPr>
              <w:t>清洗器皿0.</w:t>
            </w:r>
            <w:r>
              <w:rPr>
                <w:rFonts w:hint="eastAsia" w:eastAsia="宋体" w:cs="Times New Roman"/>
                <w:color w:val="auto"/>
                <w:sz w:val="21"/>
                <w:szCs w:val="21"/>
                <w:highlight w:val="none"/>
                <w:lang w:val="en-US" w:eastAsia="zh-CN"/>
              </w:rPr>
              <w:t>54t</w:t>
            </w:r>
            <w:r>
              <w:rPr>
                <w:rFonts w:hint="default" w:ascii="Times New Roman" w:hAnsi="Times New Roman" w:eastAsia="宋体" w:cs="Times New Roman"/>
                <w:color w:val="auto"/>
                <w:sz w:val="21"/>
                <w:szCs w:val="21"/>
                <w:highlight w:val="none"/>
                <w:lang w:val="en-US" w:eastAsia="zh-CN"/>
              </w:rPr>
              <w:t>+实验溶剂配制</w:t>
            </w:r>
            <w:r>
              <w:rPr>
                <w:rFonts w:hint="eastAsia" w:eastAsia="宋体" w:cs="Times New Roman"/>
                <w:color w:val="auto"/>
                <w:sz w:val="21"/>
                <w:szCs w:val="21"/>
                <w:highlight w:val="none"/>
                <w:lang w:val="en-US" w:eastAsia="zh-CN"/>
              </w:rPr>
              <w:t>0.54t</w:t>
            </w:r>
            <w:r>
              <w:rPr>
                <w:rFonts w:hint="default" w:ascii="Times New Roman" w:hAnsi="Times New Roman" w:eastAsia="宋体" w:cs="Times New Roman"/>
                <w:color w:val="auto"/>
                <w:sz w:val="21"/>
                <w:szCs w:val="21"/>
                <w:highlight w:val="none"/>
                <w:lang w:val="en-US" w:eastAsia="zh-CN"/>
              </w:rPr>
              <w:t>=</w:t>
            </w:r>
            <w:r>
              <w:rPr>
                <w:rFonts w:hint="eastAsia" w:eastAsia="宋体" w:cs="Times New Roman"/>
                <w:color w:val="auto"/>
                <w:sz w:val="21"/>
                <w:szCs w:val="21"/>
                <w:highlight w:val="none"/>
                <w:lang w:val="en-US" w:eastAsia="zh-CN"/>
              </w:rPr>
              <w:t>1.08t</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rPr>
              <w:t>项目设有制纯水机，采用反渗透制纯水，反渗透膜是一种用特殊材料加工方法制得的具有半透性能的薄膜。它能在外加压力作用下使水溶液一些组分选择性透过，从而达到淡化、净化或浓缩的目的，纯水机制纯水率为60%，则本项目制纯水用水量约为</w:t>
            </w:r>
            <w:r>
              <w:rPr>
                <w:rFonts w:hint="eastAsia" w:eastAsia="宋体" w:cs="Times New Roman"/>
                <w:color w:val="auto"/>
                <w:sz w:val="21"/>
                <w:szCs w:val="21"/>
                <w:highlight w:val="none"/>
                <w:lang w:val="en-US" w:eastAsia="zh-CN"/>
              </w:rPr>
              <w:t>1.8t</w:t>
            </w:r>
            <w:r>
              <w:rPr>
                <w:rFonts w:hint="default" w:ascii="Times New Roman" w:hAnsi="Times New Roman" w:eastAsia="宋体" w:cs="Times New Roman"/>
                <w:color w:val="auto"/>
                <w:sz w:val="21"/>
                <w:szCs w:val="21"/>
                <w:highlight w:val="none"/>
              </w:rPr>
              <w:t>/a，产生浓水约为</w:t>
            </w:r>
            <w:r>
              <w:rPr>
                <w:rFonts w:hint="default" w:ascii="Times New Roman" w:hAnsi="Times New Roman" w:eastAsia="宋体" w:cs="Times New Roman"/>
                <w:color w:val="auto"/>
                <w:sz w:val="21"/>
                <w:szCs w:val="21"/>
                <w:highlight w:val="none"/>
                <w:lang w:val="en-US" w:eastAsia="zh-CN"/>
              </w:rPr>
              <w:t>0.</w:t>
            </w:r>
            <w:r>
              <w:rPr>
                <w:rFonts w:hint="eastAsia" w:eastAsia="宋体" w:cs="Times New Roman"/>
                <w:color w:val="auto"/>
                <w:sz w:val="21"/>
                <w:szCs w:val="21"/>
                <w:highlight w:val="none"/>
                <w:lang w:val="en-US" w:eastAsia="zh-CN"/>
              </w:rPr>
              <w:t>72t</w:t>
            </w:r>
            <w:r>
              <w:rPr>
                <w:rFonts w:hint="default" w:ascii="Times New Roman" w:hAnsi="Times New Roman" w:eastAsia="宋体" w:cs="Times New Roman"/>
                <w:color w:val="auto"/>
                <w:sz w:val="21"/>
                <w:szCs w:val="21"/>
                <w:highlight w:val="none"/>
              </w:rPr>
              <w:t>/a</w:t>
            </w:r>
            <w:r>
              <w:rPr>
                <w:rFonts w:hint="eastAsia" w:eastAsia="宋体" w:cs="Times New Roman"/>
                <w:color w:val="auto"/>
                <w:sz w:val="21"/>
                <w:szCs w:val="21"/>
                <w:highlight w:val="none"/>
                <w:lang w:eastAsia="zh-CN"/>
              </w:rPr>
              <w:t>。</w:t>
            </w:r>
          </w:p>
          <w:p w14:paraId="64331B2E">
            <w:pPr>
              <w:pStyle w:val="99"/>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44"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根据纯水机供应商的资料，纯水机平均每月反冲洗2次，则每年冲洗24次，每次冲洗用水量约为</w:t>
            </w:r>
            <w:r>
              <w:rPr>
                <w:rFonts w:hint="eastAsia" w:eastAsia="宋体" w:cs="Times New Roman"/>
                <w:color w:val="auto"/>
                <w:sz w:val="21"/>
                <w:szCs w:val="21"/>
                <w:highlight w:val="none"/>
                <w:lang w:val="en-US" w:eastAsia="zh-CN"/>
              </w:rPr>
              <w:t>120</w:t>
            </w:r>
            <w:r>
              <w:rPr>
                <w:rFonts w:hint="default" w:ascii="Times New Roman" w:hAnsi="Times New Roman" w:eastAsia="宋体" w:cs="Times New Roman"/>
                <w:color w:val="auto"/>
                <w:sz w:val="21"/>
                <w:szCs w:val="21"/>
                <w:highlight w:val="none"/>
                <w:lang w:val="en-US" w:eastAsia="zh-CN"/>
              </w:rPr>
              <w:t>L，则每年用水量约为</w:t>
            </w:r>
            <w:r>
              <w:rPr>
                <w:rFonts w:hint="eastAsia" w:eastAsia="宋体" w:cs="Times New Roman"/>
                <w:color w:val="auto"/>
                <w:sz w:val="21"/>
                <w:szCs w:val="21"/>
                <w:highlight w:val="none"/>
                <w:lang w:val="en-US" w:eastAsia="zh-CN"/>
              </w:rPr>
              <w:t>2.88t</w:t>
            </w:r>
            <w:r>
              <w:rPr>
                <w:rFonts w:hint="default" w:ascii="Times New Roman" w:hAnsi="Times New Roman" w:eastAsia="宋体" w:cs="Times New Roman"/>
                <w:color w:val="auto"/>
                <w:sz w:val="21"/>
                <w:szCs w:val="21"/>
                <w:highlight w:val="none"/>
                <w:lang w:val="en-US" w:eastAsia="zh-CN"/>
              </w:rPr>
              <w:t>/a。用水的消耗率按10%计算，则纯水机反冲洗排水产生量为</w:t>
            </w:r>
            <w:r>
              <w:rPr>
                <w:rFonts w:hint="eastAsia" w:eastAsia="宋体" w:cs="Times New Roman"/>
                <w:color w:val="auto"/>
                <w:sz w:val="21"/>
                <w:szCs w:val="21"/>
                <w:highlight w:val="none"/>
                <w:lang w:val="en-US" w:eastAsia="zh-CN"/>
              </w:rPr>
              <w:t>2.592</w:t>
            </w:r>
            <w:r>
              <w:rPr>
                <w:rFonts w:hint="default" w:ascii="Times New Roman" w:hAnsi="Times New Roman" w:eastAsia="宋体" w:cs="Times New Roman"/>
                <w:color w:val="auto"/>
                <w:sz w:val="21"/>
                <w:szCs w:val="21"/>
                <w:highlight w:val="none"/>
                <w:lang w:val="en-US" w:eastAsia="zh-CN"/>
              </w:rPr>
              <w:t>t/a。</w:t>
            </w:r>
          </w:p>
          <w:p w14:paraId="0C9B3A20">
            <w:pPr>
              <w:pStyle w:val="99"/>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44" w:firstLineChars="200"/>
              <w:textAlignment w:val="auto"/>
              <w:rPr>
                <w:rFonts w:hint="eastAsia" w:eastAsia="宋体" w:cs="Times New Roman"/>
                <w:b/>
                <w:bCs/>
                <w:color w:val="auto"/>
                <w:sz w:val="21"/>
                <w:szCs w:val="21"/>
                <w:highlight w:val="none"/>
                <w:lang w:val="en-US" w:eastAsia="zh-CN"/>
              </w:rPr>
            </w:pPr>
            <w:r>
              <w:rPr>
                <w:rFonts w:hint="default" w:ascii="Times New Roman" w:hAnsi="Times New Roman" w:eastAsia="宋体" w:cs="Times New Roman"/>
                <w:color w:val="auto"/>
                <w:sz w:val="21"/>
                <w:szCs w:val="21"/>
                <w:highlight w:val="none"/>
              </w:rPr>
              <w:t>制纯产生的浓水</w:t>
            </w:r>
            <w:r>
              <w:rPr>
                <w:rFonts w:hint="eastAsia" w:eastAsia="宋体" w:cs="Times New Roman"/>
                <w:color w:val="auto"/>
                <w:sz w:val="21"/>
                <w:szCs w:val="21"/>
                <w:highlight w:val="none"/>
                <w:lang w:val="en-US" w:eastAsia="zh-CN"/>
              </w:rPr>
              <w:t>和反冲洗水</w:t>
            </w:r>
            <w:r>
              <w:rPr>
                <w:rFonts w:hint="default" w:ascii="Times New Roman" w:hAnsi="Times New Roman" w:eastAsia="宋体" w:cs="Times New Roman"/>
                <w:color w:val="auto"/>
                <w:sz w:val="21"/>
                <w:szCs w:val="21"/>
                <w:highlight w:val="none"/>
              </w:rPr>
              <w:t>属于清净</w:t>
            </w:r>
            <w:r>
              <w:rPr>
                <w:rFonts w:hint="eastAsia" w:eastAsia="宋体" w:cs="Times New Roman"/>
                <w:color w:val="auto"/>
                <w:sz w:val="21"/>
                <w:szCs w:val="21"/>
                <w:highlight w:val="none"/>
                <w:lang w:val="en-US" w:eastAsia="zh-CN"/>
              </w:rPr>
              <w:t>下</w:t>
            </w:r>
            <w:r>
              <w:rPr>
                <w:rFonts w:hint="default" w:ascii="Times New Roman" w:hAnsi="Times New Roman" w:eastAsia="宋体" w:cs="Times New Roman"/>
                <w:color w:val="auto"/>
                <w:sz w:val="21"/>
                <w:szCs w:val="21"/>
                <w:highlight w:val="none"/>
              </w:rPr>
              <w:t>水，作为冲厕用水，全部用于冲厕所，纳入生活污水排放</w:t>
            </w:r>
            <w:r>
              <w:rPr>
                <w:rFonts w:hint="eastAsia" w:eastAsia="宋体" w:cs="Times New Roman"/>
                <w:color w:val="auto"/>
                <w:sz w:val="21"/>
                <w:szCs w:val="21"/>
                <w:highlight w:val="none"/>
                <w:lang w:eastAsia="zh-CN"/>
              </w:rPr>
              <w:t>。</w:t>
            </w:r>
          </w:p>
          <w:p w14:paraId="4CB5289C">
            <w:pPr>
              <w:pStyle w:val="99"/>
              <w:keepNext w:val="0"/>
              <w:keepLines w:val="0"/>
              <w:pageBreakBefore w:val="0"/>
              <w:widowControl w:val="0"/>
              <w:kinsoku/>
              <w:wordWrap w:val="0"/>
              <w:overflowPunct/>
              <w:topLinePunct w:val="0"/>
              <w:autoSpaceDE/>
              <w:autoSpaceDN/>
              <w:bidi w:val="0"/>
              <w:adjustRightInd/>
              <w:snapToGrid/>
              <w:spacing w:line="360" w:lineRule="auto"/>
              <w:ind w:firstLine="444"/>
              <w:textAlignment w:val="auto"/>
              <w:rPr>
                <w:rFonts w:hint="default" w:ascii="Times New Roman" w:hAnsi="Times New Roman" w:eastAsia="宋体" w:cs="Times New Roman"/>
                <w:color w:val="auto"/>
                <w:sz w:val="21"/>
                <w:szCs w:val="21"/>
                <w:highlight w:val="none"/>
              </w:rPr>
            </w:pPr>
            <w:r>
              <w:rPr>
                <w:rFonts w:hint="eastAsia" w:eastAsia="宋体" w:cs="Times New Roman"/>
                <w:b/>
                <w:bCs/>
                <w:color w:val="auto"/>
                <w:sz w:val="21"/>
                <w:szCs w:val="21"/>
                <w:highlight w:val="none"/>
                <w:lang w:eastAsia="zh-CN"/>
              </w:rPr>
              <w:t>（</w:t>
            </w:r>
            <w:r>
              <w:rPr>
                <w:rFonts w:hint="eastAsia" w:eastAsia="宋体" w:cs="Times New Roman"/>
                <w:b/>
                <w:bCs/>
                <w:color w:val="auto"/>
                <w:sz w:val="21"/>
                <w:szCs w:val="21"/>
                <w:highlight w:val="none"/>
                <w:lang w:val="en-US" w:eastAsia="zh-CN"/>
              </w:rPr>
              <w:t>7</w:t>
            </w:r>
            <w:r>
              <w:rPr>
                <w:rFonts w:hint="eastAsia" w:eastAsia="宋体" w:cs="Times New Roman"/>
                <w:b/>
                <w:bCs/>
                <w:color w:val="auto"/>
                <w:sz w:val="21"/>
                <w:szCs w:val="21"/>
                <w:highlight w:val="none"/>
                <w:lang w:eastAsia="zh-CN"/>
              </w:rPr>
              <w:t>）</w:t>
            </w:r>
            <w:r>
              <w:rPr>
                <w:rFonts w:hint="default" w:ascii="Times New Roman" w:hAnsi="Times New Roman" w:eastAsia="宋体" w:cs="Times New Roman"/>
                <w:b/>
                <w:bCs/>
                <w:color w:val="auto"/>
                <w:sz w:val="21"/>
                <w:szCs w:val="21"/>
                <w:highlight w:val="none"/>
              </w:rPr>
              <w:t>检测</w:t>
            </w:r>
            <w:r>
              <w:rPr>
                <w:rFonts w:hint="default" w:ascii="Times New Roman" w:hAnsi="Times New Roman" w:eastAsia="宋体" w:cs="Times New Roman"/>
                <w:b/>
                <w:bCs/>
                <w:color w:val="auto"/>
                <w:sz w:val="21"/>
                <w:szCs w:val="21"/>
                <w:highlight w:val="none"/>
                <w:lang w:val="en-US" w:eastAsia="zh-CN"/>
              </w:rPr>
              <w:t>前处理设备</w:t>
            </w:r>
            <w:r>
              <w:rPr>
                <w:rFonts w:hint="default" w:ascii="Times New Roman" w:hAnsi="Times New Roman" w:eastAsia="宋体" w:cs="Times New Roman"/>
                <w:b/>
                <w:bCs/>
                <w:color w:val="auto"/>
                <w:sz w:val="21"/>
                <w:szCs w:val="21"/>
                <w:highlight w:val="none"/>
              </w:rPr>
              <w:t>用水</w:t>
            </w:r>
            <w:r>
              <w:rPr>
                <w:rFonts w:hint="eastAsia"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项目</w:t>
            </w:r>
            <w:r>
              <w:rPr>
                <w:rFonts w:hint="default" w:ascii="Times New Roman" w:hAnsi="Times New Roman" w:eastAsia="宋体" w:cs="Times New Roman"/>
                <w:color w:val="auto"/>
                <w:sz w:val="21"/>
                <w:szCs w:val="21"/>
                <w:highlight w:val="none"/>
                <w:lang w:val="en-US" w:eastAsia="zh-CN"/>
              </w:rPr>
              <w:t>电热恒</w:t>
            </w:r>
            <w:r>
              <w:rPr>
                <w:rFonts w:hint="default" w:ascii="Times New Roman" w:hAnsi="Times New Roman" w:eastAsia="宋体" w:cs="Times New Roman"/>
                <w:color w:val="auto"/>
                <w:sz w:val="21"/>
                <w:szCs w:val="21"/>
                <w:highlight w:val="none"/>
              </w:rPr>
              <w:t>温水浴</w:t>
            </w:r>
            <w:r>
              <w:rPr>
                <w:rFonts w:hint="default" w:ascii="Times New Roman" w:hAnsi="Times New Roman" w:eastAsia="宋体" w:cs="Times New Roman"/>
                <w:color w:val="auto"/>
                <w:sz w:val="21"/>
                <w:szCs w:val="21"/>
                <w:highlight w:val="none"/>
                <w:lang w:val="en-US" w:eastAsia="zh-CN"/>
              </w:rPr>
              <w:t>锅</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高压灭菌锅</w:t>
            </w:r>
            <w:r>
              <w:rPr>
                <w:rFonts w:hint="default" w:ascii="Times New Roman" w:hAnsi="Times New Roman" w:eastAsia="宋体" w:cs="Times New Roman"/>
                <w:color w:val="auto"/>
                <w:sz w:val="21"/>
                <w:szCs w:val="21"/>
                <w:highlight w:val="none"/>
              </w:rPr>
              <w:t>等仪器需要使用到自来水，根据企业提供的资料可</w:t>
            </w:r>
            <w:r>
              <w:rPr>
                <w:rFonts w:hint="default" w:ascii="Times New Roman" w:hAnsi="Times New Roman" w:eastAsia="宋体" w:cs="Times New Roman"/>
                <w:color w:val="auto"/>
                <w:sz w:val="21"/>
                <w:szCs w:val="21"/>
                <w:highlight w:val="none"/>
              </w:rPr>
              <w:t>知，</w:t>
            </w:r>
            <w:r>
              <w:rPr>
                <w:rFonts w:hint="default" w:ascii="Times New Roman" w:hAnsi="Times New Roman" w:eastAsia="宋体" w:cs="Times New Roman"/>
                <w:color w:val="auto"/>
                <w:sz w:val="21"/>
                <w:szCs w:val="21"/>
                <w:highlight w:val="none"/>
                <w:lang w:val="en-US" w:eastAsia="zh-CN"/>
              </w:rPr>
              <w:t>电热恒</w:t>
            </w:r>
            <w:r>
              <w:rPr>
                <w:rFonts w:hint="default" w:ascii="Times New Roman" w:hAnsi="Times New Roman" w:eastAsia="宋体" w:cs="Times New Roman"/>
                <w:color w:val="auto"/>
                <w:sz w:val="21"/>
                <w:szCs w:val="21"/>
                <w:highlight w:val="none"/>
              </w:rPr>
              <w:t>温水浴</w:t>
            </w:r>
            <w:r>
              <w:rPr>
                <w:rFonts w:hint="default" w:ascii="Times New Roman" w:hAnsi="Times New Roman" w:eastAsia="宋体" w:cs="Times New Roman"/>
                <w:color w:val="auto"/>
                <w:sz w:val="21"/>
                <w:szCs w:val="21"/>
                <w:highlight w:val="none"/>
                <w:lang w:val="en-US" w:eastAsia="zh-CN"/>
              </w:rPr>
              <w:t>锅</w:t>
            </w:r>
            <w:r>
              <w:rPr>
                <w:rFonts w:hint="default" w:ascii="Times New Roman" w:hAnsi="Times New Roman" w:eastAsia="宋体" w:cs="Times New Roman"/>
                <w:color w:val="auto"/>
                <w:sz w:val="21"/>
                <w:szCs w:val="21"/>
                <w:highlight w:val="none"/>
              </w:rPr>
              <w:t>仪器槽体尺寸约为50cm*40cm*30cm，有效水深约为20cm，</w:t>
            </w:r>
            <w:r>
              <w:rPr>
                <w:rFonts w:hint="default" w:ascii="Times New Roman" w:hAnsi="Times New Roman" w:eastAsia="宋体" w:cs="Times New Roman"/>
                <w:color w:val="auto"/>
                <w:sz w:val="21"/>
                <w:szCs w:val="21"/>
                <w:highlight w:val="none"/>
                <w:lang w:val="en-US" w:eastAsia="zh-CN"/>
              </w:rPr>
              <w:t>高压灭菌锅容积为24L</w:t>
            </w:r>
            <w:r>
              <w:rPr>
                <w:rFonts w:hint="default" w:ascii="Times New Roman" w:hAnsi="Times New Roman" w:eastAsia="宋体" w:cs="Times New Roman"/>
                <w:color w:val="auto"/>
                <w:sz w:val="21"/>
                <w:szCs w:val="21"/>
                <w:highlight w:val="none"/>
              </w:rPr>
              <w:t>，有效</w:t>
            </w:r>
            <w:r>
              <w:rPr>
                <w:rFonts w:hint="default" w:ascii="Times New Roman" w:hAnsi="Times New Roman" w:eastAsia="宋体" w:cs="Times New Roman"/>
                <w:color w:val="auto"/>
                <w:sz w:val="21"/>
                <w:szCs w:val="21"/>
                <w:highlight w:val="none"/>
                <w:lang w:val="en-US" w:eastAsia="zh-CN"/>
              </w:rPr>
              <w:t>容积</w:t>
            </w:r>
            <w:r>
              <w:rPr>
                <w:rFonts w:hint="default" w:ascii="Times New Roman" w:hAnsi="Times New Roman" w:eastAsia="宋体" w:cs="Times New Roman"/>
                <w:color w:val="auto"/>
                <w:sz w:val="21"/>
                <w:szCs w:val="21"/>
                <w:highlight w:val="none"/>
              </w:rPr>
              <w:t>约为</w:t>
            </w:r>
            <w:r>
              <w:rPr>
                <w:rFonts w:hint="default" w:ascii="Times New Roman" w:hAnsi="Times New Roman" w:eastAsia="宋体" w:cs="Times New Roman"/>
                <w:color w:val="auto"/>
                <w:sz w:val="21"/>
                <w:szCs w:val="21"/>
                <w:highlight w:val="none"/>
                <w:lang w:val="en-US" w:eastAsia="zh-CN"/>
              </w:rPr>
              <w:t>22L</w:t>
            </w:r>
            <w:r>
              <w:rPr>
                <w:rFonts w:hint="default" w:ascii="Times New Roman" w:hAnsi="Times New Roman" w:eastAsia="宋体" w:cs="Times New Roman"/>
                <w:color w:val="auto"/>
                <w:sz w:val="21"/>
                <w:szCs w:val="21"/>
                <w:highlight w:val="none"/>
              </w:rPr>
              <w:t>，</w:t>
            </w:r>
            <w:r>
              <w:rPr>
                <w:rFonts w:hint="eastAsia" w:ascii="Times New Roman" w:hAnsi="Times New Roman" w:eastAsia="宋体" w:cs="Times New Roman"/>
                <w:color w:val="auto"/>
                <w:sz w:val="21"/>
                <w:szCs w:val="21"/>
                <w:highlight w:val="none"/>
                <w:lang w:val="en-US" w:eastAsia="zh-CN"/>
              </w:rPr>
              <w:t>因涉及加热水分蒸发大，因此仅需补充用水，不产生废水，补充水量按50%蒸发计算</w:t>
            </w:r>
            <w:r>
              <w:rPr>
                <w:rFonts w:hint="default" w:ascii="Times New Roman" w:hAnsi="Times New Roman" w:eastAsia="宋体" w:cs="Times New Roman"/>
                <w:color w:val="auto"/>
                <w:sz w:val="21"/>
                <w:szCs w:val="21"/>
                <w:highlight w:val="none"/>
              </w:rPr>
              <w:t>，每天补充新鲜用水，检测</w:t>
            </w:r>
            <w:r>
              <w:rPr>
                <w:rFonts w:hint="default" w:ascii="Times New Roman" w:hAnsi="Times New Roman" w:eastAsia="宋体" w:cs="Times New Roman"/>
                <w:color w:val="auto"/>
                <w:sz w:val="21"/>
                <w:szCs w:val="21"/>
                <w:highlight w:val="none"/>
                <w:lang w:val="en-US" w:eastAsia="zh-CN"/>
              </w:rPr>
              <w:t>前处理设备</w:t>
            </w:r>
            <w:r>
              <w:rPr>
                <w:rFonts w:hint="default" w:ascii="Times New Roman" w:hAnsi="Times New Roman" w:eastAsia="宋体" w:cs="Times New Roman"/>
                <w:color w:val="auto"/>
                <w:sz w:val="21"/>
                <w:szCs w:val="21"/>
                <w:highlight w:val="none"/>
              </w:rPr>
              <w:t>给排水情况详见下表：</w:t>
            </w:r>
          </w:p>
          <w:p w14:paraId="4EB80473">
            <w:pPr>
              <w:widowControl/>
              <w:numPr>
                <w:ilvl w:val="0"/>
                <w:numId w:val="0"/>
              </w:numPr>
              <w:spacing w:line="360" w:lineRule="auto"/>
              <w:ind w:leftChars="0"/>
              <w:contextualSpacing/>
              <w:jc w:val="center"/>
              <w:rPr>
                <w:rFonts w:hint="default" w:ascii="Times New Roman" w:hAnsi="Times New Roman" w:eastAsia="宋体" w:cs="Times New Roman"/>
                <w:color w:val="auto"/>
                <w:sz w:val="21"/>
                <w:szCs w:val="21"/>
                <w:highlight w:val="none"/>
              </w:rPr>
            </w:pPr>
            <w:r>
              <w:rPr>
                <w:rFonts w:hint="eastAsia" w:cs="Times New Roman"/>
                <w:b/>
                <w:bCs/>
                <w:color w:val="auto"/>
                <w:kern w:val="2"/>
                <w:sz w:val="21"/>
                <w:szCs w:val="21"/>
                <w:highlight w:val="none"/>
                <w:lang w:val="en-US" w:eastAsia="zh-CN" w:bidi="ar-SA"/>
              </w:rPr>
              <w:t>表9</w:t>
            </w:r>
            <w:r>
              <w:rPr>
                <w:rFonts w:hint="default" w:ascii="Times New Roman" w:hAnsi="Times New Roman" w:eastAsia="宋体" w:cs="Times New Roman"/>
                <w:b/>
                <w:bCs/>
                <w:color w:val="auto"/>
                <w:kern w:val="2"/>
                <w:sz w:val="21"/>
                <w:szCs w:val="21"/>
                <w:highlight w:val="none"/>
                <w:lang w:val="en-US" w:eastAsia="zh-CN" w:bidi="ar-SA"/>
              </w:rPr>
              <w:t>检测前处理设备给排水情况一览表</w:t>
            </w:r>
          </w:p>
          <w:tbl>
            <w:tblPr>
              <w:tblStyle w:val="33"/>
              <w:tblW w:w="4993"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82"/>
              <w:gridCol w:w="580"/>
              <w:gridCol w:w="568"/>
              <w:gridCol w:w="2132"/>
              <w:gridCol w:w="818"/>
              <w:gridCol w:w="719"/>
              <w:gridCol w:w="935"/>
              <w:gridCol w:w="720"/>
              <w:gridCol w:w="550"/>
              <w:gridCol w:w="694"/>
            </w:tblGrid>
            <w:tr w14:paraId="2744F4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8" w:type="pct"/>
                  <w:noWrap w:val="0"/>
                  <w:vAlign w:val="center"/>
                </w:tcPr>
                <w:p w14:paraId="5B907C58">
                  <w:pPr>
                    <w:pStyle w:val="99"/>
                    <w:ind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仪器</w:t>
                  </w:r>
                </w:p>
              </w:tc>
              <w:tc>
                <w:tcPr>
                  <w:tcW w:w="367" w:type="pct"/>
                  <w:noWrap w:val="0"/>
                  <w:vAlign w:val="center"/>
                </w:tcPr>
                <w:p w14:paraId="40783362">
                  <w:pPr>
                    <w:pStyle w:val="99"/>
                    <w:ind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lang w:val="en-US" w:eastAsia="zh-CN"/>
                    </w:rPr>
                    <w:t>前处理设备</w:t>
                  </w:r>
                  <w:r>
                    <w:rPr>
                      <w:rFonts w:hint="default" w:ascii="Times New Roman" w:hAnsi="Times New Roman" w:eastAsia="宋体" w:cs="Times New Roman"/>
                      <w:b/>
                      <w:bCs/>
                      <w:color w:val="auto"/>
                      <w:sz w:val="21"/>
                      <w:szCs w:val="21"/>
                      <w:highlight w:val="none"/>
                    </w:rPr>
                    <w:t>数量</w:t>
                  </w:r>
                </w:p>
              </w:tc>
              <w:tc>
                <w:tcPr>
                  <w:tcW w:w="360" w:type="pct"/>
                  <w:noWrap w:val="0"/>
                  <w:vAlign w:val="center"/>
                </w:tcPr>
                <w:p w14:paraId="40B77086">
                  <w:pPr>
                    <w:pStyle w:val="99"/>
                    <w:ind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配套水槽数量</w:t>
                  </w:r>
                </w:p>
              </w:tc>
              <w:tc>
                <w:tcPr>
                  <w:tcW w:w="1136" w:type="pct"/>
                  <w:noWrap w:val="0"/>
                  <w:vAlign w:val="center"/>
                </w:tcPr>
                <w:p w14:paraId="218FE5F6">
                  <w:pPr>
                    <w:pStyle w:val="99"/>
                    <w:ind w:firstLine="0" w:firstLineChars="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rPr>
                    <w:t>水槽尺寸</w:t>
                  </w:r>
                  <w:r>
                    <w:rPr>
                      <w:rFonts w:hint="default" w:ascii="Times New Roman" w:hAnsi="Times New Roman" w:eastAsia="宋体" w:cs="Times New Roman"/>
                      <w:b/>
                      <w:bCs/>
                      <w:color w:val="auto"/>
                      <w:sz w:val="21"/>
                      <w:szCs w:val="21"/>
                      <w:highlight w:val="none"/>
                      <w:lang w:val="en-US" w:eastAsia="zh-CN"/>
                    </w:rPr>
                    <w:t>/容积</w:t>
                  </w:r>
                </w:p>
              </w:tc>
              <w:tc>
                <w:tcPr>
                  <w:tcW w:w="509" w:type="pct"/>
                  <w:noWrap w:val="0"/>
                  <w:vAlign w:val="center"/>
                </w:tcPr>
                <w:p w14:paraId="7EE11FFA">
                  <w:pPr>
                    <w:pStyle w:val="99"/>
                    <w:ind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总有效体积</w:t>
                  </w:r>
                  <w:r>
                    <w:rPr>
                      <w:rFonts w:hint="default" w:ascii="Times New Roman" w:hAnsi="Times New Roman" w:cs="Times New Roman"/>
                      <w:b/>
                      <w:bCs/>
                      <w:color w:val="auto"/>
                      <w:sz w:val="21"/>
                      <w:szCs w:val="21"/>
                      <w:highlight w:val="none"/>
                    </w:rPr>
                    <w:t>/</w:t>
                  </w:r>
                  <w:r>
                    <w:rPr>
                      <w:rFonts w:hint="default" w:ascii="Times New Roman" w:hAnsi="Times New Roman" w:cs="Times New Roman"/>
                      <w:color w:val="auto"/>
                      <w:kern w:val="0"/>
                      <w:sz w:val="21"/>
                      <w:szCs w:val="21"/>
                      <w:highlight w:val="none"/>
                      <w:lang w:bidi="ar"/>
                    </w:rPr>
                    <w:t>m</w:t>
                  </w:r>
                  <w:r>
                    <w:rPr>
                      <w:rFonts w:hint="default" w:ascii="Times New Roman" w:hAnsi="Times New Roman" w:cs="Times New Roman"/>
                      <w:color w:val="auto"/>
                      <w:kern w:val="0"/>
                      <w:sz w:val="21"/>
                      <w:szCs w:val="21"/>
                      <w:highlight w:val="none"/>
                      <w:vertAlign w:val="superscript"/>
                      <w:lang w:bidi="ar"/>
                    </w:rPr>
                    <w:t>3</w:t>
                  </w:r>
                </w:p>
              </w:tc>
              <w:tc>
                <w:tcPr>
                  <w:tcW w:w="444" w:type="pct"/>
                  <w:noWrap w:val="0"/>
                  <w:vAlign w:val="center"/>
                </w:tcPr>
                <w:p w14:paraId="3CAACAB3">
                  <w:pPr>
                    <w:pStyle w:val="99"/>
                    <w:ind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总循环用水量</w:t>
                  </w:r>
                  <w:r>
                    <w:rPr>
                      <w:rFonts w:hint="default" w:ascii="Times New Roman" w:hAnsi="Times New Roman" w:cs="Times New Roman"/>
                      <w:b/>
                      <w:bCs/>
                      <w:color w:val="auto"/>
                      <w:sz w:val="21"/>
                      <w:szCs w:val="21"/>
                      <w:highlight w:val="none"/>
                    </w:rPr>
                    <w:t>/</w:t>
                  </w:r>
                  <w:r>
                    <w:rPr>
                      <w:rFonts w:hint="default" w:ascii="Times New Roman" w:hAnsi="Times New Roman" w:cs="Times New Roman"/>
                      <w:color w:val="auto"/>
                      <w:kern w:val="0"/>
                      <w:sz w:val="21"/>
                      <w:szCs w:val="21"/>
                      <w:highlight w:val="none"/>
                      <w:lang w:bidi="ar"/>
                    </w:rPr>
                    <w:t>m</w:t>
                  </w:r>
                  <w:r>
                    <w:rPr>
                      <w:rFonts w:hint="default" w:ascii="Times New Roman" w:hAnsi="Times New Roman" w:cs="Times New Roman"/>
                      <w:color w:val="auto"/>
                      <w:kern w:val="0"/>
                      <w:sz w:val="21"/>
                      <w:szCs w:val="21"/>
                      <w:highlight w:val="none"/>
                      <w:vertAlign w:val="superscript"/>
                      <w:lang w:bidi="ar"/>
                    </w:rPr>
                    <w:t>3</w:t>
                  </w:r>
                </w:p>
              </w:tc>
              <w:tc>
                <w:tcPr>
                  <w:tcW w:w="581" w:type="pct"/>
                  <w:noWrap w:val="0"/>
                  <w:vAlign w:val="center"/>
                </w:tcPr>
                <w:p w14:paraId="1951B1C2">
                  <w:pPr>
                    <w:jc w:val="center"/>
                    <w:rPr>
                      <w:rFonts w:hint="default" w:ascii="Times New Roman" w:hAnsi="Times New Roman" w:cs="Times New Roman"/>
                      <w:color w:val="auto"/>
                      <w:szCs w:val="21"/>
                      <w:highlight w:val="none"/>
                    </w:rPr>
                  </w:pPr>
                  <w:r>
                    <w:rPr>
                      <w:rFonts w:hint="default" w:ascii="Times New Roman" w:hAnsi="Times New Roman" w:cs="Times New Roman"/>
                      <w:b/>
                      <w:bCs/>
                      <w:color w:val="auto"/>
                      <w:szCs w:val="21"/>
                      <w:highlight w:val="none"/>
                    </w:rPr>
                    <w:t>每日补充水量依据</w:t>
                  </w:r>
                </w:p>
              </w:tc>
              <w:tc>
                <w:tcPr>
                  <w:tcW w:w="432" w:type="pct"/>
                  <w:noWrap w:val="0"/>
                  <w:vAlign w:val="center"/>
                </w:tcPr>
                <w:p w14:paraId="58E67467">
                  <w:pPr>
                    <w:jc w:val="center"/>
                    <w:rPr>
                      <w:rFonts w:hint="default" w:ascii="Times New Roman" w:hAnsi="Times New Roman" w:cs="Times New Roman"/>
                      <w:color w:val="auto"/>
                      <w:szCs w:val="21"/>
                      <w:highlight w:val="none"/>
                    </w:rPr>
                  </w:pPr>
                  <w:r>
                    <w:rPr>
                      <w:rFonts w:hint="default" w:ascii="Times New Roman" w:hAnsi="Times New Roman" w:cs="Times New Roman"/>
                      <w:b/>
                      <w:bCs/>
                      <w:color w:val="auto"/>
                      <w:szCs w:val="21"/>
                      <w:highlight w:val="none"/>
                    </w:rPr>
                    <w:t>每日新鲜补充水/</w:t>
                  </w:r>
                  <w:r>
                    <w:rPr>
                      <w:rFonts w:hint="default" w:ascii="Times New Roman" w:hAnsi="Times New Roman" w:cs="Times New Roman"/>
                      <w:color w:val="auto"/>
                      <w:kern w:val="0"/>
                      <w:szCs w:val="21"/>
                      <w:highlight w:val="none"/>
                      <w:lang w:bidi="ar"/>
                    </w:rPr>
                    <w:t>m</w:t>
                  </w:r>
                  <w:r>
                    <w:rPr>
                      <w:rFonts w:hint="default" w:ascii="Times New Roman" w:hAnsi="Times New Roman" w:cs="Times New Roman"/>
                      <w:color w:val="auto"/>
                      <w:kern w:val="0"/>
                      <w:szCs w:val="21"/>
                      <w:highlight w:val="none"/>
                      <w:vertAlign w:val="superscript"/>
                      <w:lang w:bidi="ar"/>
                    </w:rPr>
                    <w:t>3</w:t>
                  </w:r>
                </w:p>
              </w:tc>
              <w:tc>
                <w:tcPr>
                  <w:tcW w:w="285" w:type="pct"/>
                  <w:noWrap w:val="0"/>
                  <w:vAlign w:val="center"/>
                </w:tcPr>
                <w:p w14:paraId="4245FB2D">
                  <w:pPr>
                    <w:jc w:val="center"/>
                    <w:rPr>
                      <w:rFonts w:hint="default" w:ascii="Times New Roman" w:hAnsi="Times New Roman" w:cs="Times New Roman"/>
                      <w:color w:val="auto"/>
                      <w:szCs w:val="21"/>
                      <w:highlight w:val="none"/>
                    </w:rPr>
                  </w:pPr>
                  <w:r>
                    <w:rPr>
                      <w:rFonts w:hint="default" w:ascii="Times New Roman" w:hAnsi="Times New Roman" w:cs="Times New Roman"/>
                      <w:b/>
                      <w:bCs/>
                      <w:color w:val="auto"/>
                      <w:szCs w:val="21"/>
                      <w:highlight w:val="none"/>
                    </w:rPr>
                    <w:t>年工作时间/d</w:t>
                  </w:r>
                </w:p>
              </w:tc>
              <w:tc>
                <w:tcPr>
                  <w:tcW w:w="452" w:type="pct"/>
                  <w:noWrap w:val="0"/>
                  <w:vAlign w:val="center"/>
                </w:tcPr>
                <w:p w14:paraId="20CC88A5">
                  <w:pPr>
                    <w:jc w:val="center"/>
                    <w:rPr>
                      <w:rFonts w:hint="default" w:ascii="Times New Roman" w:hAnsi="Times New Roman" w:cs="Times New Roman"/>
                      <w:color w:val="auto"/>
                      <w:szCs w:val="21"/>
                      <w:highlight w:val="none"/>
                    </w:rPr>
                  </w:pPr>
                  <w:r>
                    <w:rPr>
                      <w:rFonts w:hint="default" w:ascii="Times New Roman" w:hAnsi="Times New Roman" w:cs="Times New Roman"/>
                      <w:b/>
                      <w:bCs/>
                      <w:color w:val="auto"/>
                      <w:szCs w:val="21"/>
                      <w:highlight w:val="none"/>
                    </w:rPr>
                    <w:t>年新鲜补充水量/</w:t>
                  </w:r>
                  <w:r>
                    <w:rPr>
                      <w:rFonts w:hint="default" w:ascii="Times New Roman" w:hAnsi="Times New Roman" w:cs="Times New Roman"/>
                      <w:color w:val="auto"/>
                      <w:kern w:val="0"/>
                      <w:szCs w:val="21"/>
                      <w:highlight w:val="none"/>
                      <w:lang w:bidi="ar"/>
                    </w:rPr>
                    <w:t>m</w:t>
                  </w:r>
                  <w:r>
                    <w:rPr>
                      <w:rFonts w:hint="default" w:ascii="Times New Roman" w:hAnsi="Times New Roman" w:cs="Times New Roman"/>
                      <w:color w:val="auto"/>
                      <w:kern w:val="0"/>
                      <w:szCs w:val="21"/>
                      <w:highlight w:val="none"/>
                      <w:vertAlign w:val="superscript"/>
                      <w:lang w:bidi="ar"/>
                    </w:rPr>
                    <w:t>3</w:t>
                  </w:r>
                </w:p>
              </w:tc>
            </w:tr>
            <w:tr w14:paraId="3A87AB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8" w:type="pct"/>
                  <w:noWrap w:val="0"/>
                  <w:vAlign w:val="center"/>
                </w:tcPr>
                <w:p w14:paraId="2B6AA206">
                  <w:pPr>
                    <w:pStyle w:val="99"/>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电热恒</w:t>
                  </w:r>
                  <w:r>
                    <w:rPr>
                      <w:rFonts w:hint="default" w:ascii="Times New Roman" w:hAnsi="Times New Roman" w:eastAsia="宋体" w:cs="Times New Roman"/>
                      <w:color w:val="auto"/>
                      <w:sz w:val="21"/>
                      <w:szCs w:val="21"/>
                      <w:highlight w:val="none"/>
                    </w:rPr>
                    <w:t>温水浴</w:t>
                  </w:r>
                  <w:r>
                    <w:rPr>
                      <w:rFonts w:hint="default" w:ascii="Times New Roman" w:hAnsi="Times New Roman" w:eastAsia="宋体" w:cs="Times New Roman"/>
                      <w:color w:val="auto"/>
                      <w:sz w:val="21"/>
                      <w:szCs w:val="21"/>
                      <w:highlight w:val="none"/>
                      <w:lang w:val="en-US" w:eastAsia="zh-CN"/>
                    </w:rPr>
                    <w:t>锅</w:t>
                  </w:r>
                </w:p>
              </w:tc>
              <w:tc>
                <w:tcPr>
                  <w:tcW w:w="367" w:type="pct"/>
                  <w:noWrap w:val="0"/>
                  <w:vAlign w:val="center"/>
                </w:tcPr>
                <w:p w14:paraId="6A62A9FF">
                  <w:pPr>
                    <w:pStyle w:val="99"/>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rPr>
                    <w:t>台</w:t>
                  </w:r>
                </w:p>
              </w:tc>
              <w:tc>
                <w:tcPr>
                  <w:tcW w:w="360" w:type="pct"/>
                  <w:noWrap w:val="0"/>
                  <w:vAlign w:val="center"/>
                </w:tcPr>
                <w:p w14:paraId="4EBA29C3">
                  <w:pPr>
                    <w:pStyle w:val="99"/>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1个</w:t>
                  </w:r>
                </w:p>
              </w:tc>
              <w:tc>
                <w:tcPr>
                  <w:tcW w:w="1136" w:type="pct"/>
                  <w:noWrap w:val="0"/>
                  <w:vAlign w:val="center"/>
                </w:tcPr>
                <w:p w14:paraId="58C0AB9C">
                  <w:pPr>
                    <w:pStyle w:val="99"/>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50cm*40cm*30cm，有效水深20cm</w:t>
                  </w:r>
                </w:p>
              </w:tc>
              <w:tc>
                <w:tcPr>
                  <w:tcW w:w="509" w:type="pct"/>
                  <w:noWrap w:val="0"/>
                  <w:vAlign w:val="center"/>
                </w:tcPr>
                <w:p w14:paraId="15122571">
                  <w:pPr>
                    <w:pStyle w:val="99"/>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w:t>
                  </w:r>
                  <w:r>
                    <w:rPr>
                      <w:rFonts w:hint="default" w:ascii="Times New Roman" w:hAnsi="Times New Roman" w:eastAsia="宋体" w:cs="Times New Roman"/>
                      <w:color w:val="auto"/>
                      <w:sz w:val="21"/>
                      <w:szCs w:val="21"/>
                      <w:highlight w:val="none"/>
                      <w:lang w:val="en-US" w:eastAsia="zh-CN"/>
                    </w:rPr>
                    <w:t>04</w:t>
                  </w:r>
                </w:p>
              </w:tc>
              <w:tc>
                <w:tcPr>
                  <w:tcW w:w="444" w:type="pct"/>
                  <w:noWrap w:val="0"/>
                  <w:vAlign w:val="center"/>
                </w:tcPr>
                <w:p w14:paraId="0E0B8654">
                  <w:pPr>
                    <w:pStyle w:val="99"/>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w:t>
                  </w:r>
                  <w:r>
                    <w:rPr>
                      <w:rFonts w:hint="default" w:ascii="Times New Roman" w:hAnsi="Times New Roman" w:eastAsia="宋体" w:cs="Times New Roman"/>
                      <w:color w:val="auto"/>
                      <w:sz w:val="21"/>
                      <w:szCs w:val="21"/>
                      <w:highlight w:val="none"/>
                      <w:lang w:val="en-US" w:eastAsia="zh-CN"/>
                    </w:rPr>
                    <w:t>04</w:t>
                  </w:r>
                </w:p>
              </w:tc>
              <w:tc>
                <w:tcPr>
                  <w:tcW w:w="581" w:type="pct"/>
                  <w:vMerge w:val="restart"/>
                  <w:noWrap w:val="0"/>
                  <w:vAlign w:val="center"/>
                </w:tcPr>
                <w:p w14:paraId="16ACBB1B">
                  <w:pPr>
                    <w:pStyle w:val="99"/>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补充用水按照有效体积的50%进行计算</w:t>
                  </w:r>
                </w:p>
              </w:tc>
              <w:tc>
                <w:tcPr>
                  <w:tcW w:w="432" w:type="pct"/>
                  <w:noWrap w:val="0"/>
                  <w:vAlign w:val="center"/>
                </w:tcPr>
                <w:p w14:paraId="11F5C0EC">
                  <w:pPr>
                    <w:pStyle w:val="99"/>
                    <w:ind w:firstLine="0" w:firstLine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0.0</w:t>
                  </w:r>
                  <w:r>
                    <w:rPr>
                      <w:rFonts w:hint="default" w:ascii="Times New Roman" w:hAnsi="Times New Roman" w:eastAsia="宋体" w:cs="Times New Roman"/>
                      <w:color w:val="auto"/>
                      <w:sz w:val="21"/>
                      <w:szCs w:val="21"/>
                      <w:highlight w:val="none"/>
                      <w:lang w:val="en-US" w:eastAsia="zh-CN"/>
                    </w:rPr>
                    <w:t>2</w:t>
                  </w:r>
                </w:p>
              </w:tc>
              <w:tc>
                <w:tcPr>
                  <w:tcW w:w="285" w:type="pct"/>
                  <w:noWrap w:val="0"/>
                  <w:vAlign w:val="center"/>
                </w:tcPr>
                <w:p w14:paraId="33CAE9C3">
                  <w:pPr>
                    <w:pStyle w:val="99"/>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30</w:t>
                  </w:r>
                  <w:r>
                    <w:rPr>
                      <w:rFonts w:hint="default" w:ascii="Times New Roman" w:hAnsi="Times New Roman" w:eastAsia="宋体" w:cs="Times New Roman"/>
                      <w:color w:val="auto"/>
                      <w:sz w:val="21"/>
                      <w:szCs w:val="21"/>
                      <w:highlight w:val="none"/>
                    </w:rPr>
                    <w:t>0</w:t>
                  </w:r>
                </w:p>
              </w:tc>
              <w:tc>
                <w:tcPr>
                  <w:tcW w:w="452" w:type="pct"/>
                  <w:noWrap w:val="0"/>
                  <w:vAlign w:val="center"/>
                </w:tcPr>
                <w:p w14:paraId="75E20D32">
                  <w:pPr>
                    <w:pStyle w:val="99"/>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w:t>
                  </w:r>
                </w:p>
              </w:tc>
            </w:tr>
            <w:tr w14:paraId="432355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8" w:type="pct"/>
                  <w:noWrap w:val="0"/>
                  <w:vAlign w:val="center"/>
                </w:tcPr>
                <w:p w14:paraId="0B0660F1">
                  <w:pPr>
                    <w:pStyle w:val="99"/>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高压灭菌锅</w:t>
                  </w:r>
                </w:p>
              </w:tc>
              <w:tc>
                <w:tcPr>
                  <w:tcW w:w="367" w:type="pct"/>
                  <w:noWrap w:val="0"/>
                  <w:vAlign w:val="center"/>
                </w:tcPr>
                <w:p w14:paraId="31C6061E">
                  <w:pPr>
                    <w:pStyle w:val="99"/>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1台</w:t>
                  </w:r>
                </w:p>
              </w:tc>
              <w:tc>
                <w:tcPr>
                  <w:tcW w:w="360" w:type="pct"/>
                  <w:noWrap w:val="0"/>
                  <w:vAlign w:val="center"/>
                </w:tcPr>
                <w:p w14:paraId="6044E4FD">
                  <w:pPr>
                    <w:pStyle w:val="99"/>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1136" w:type="pct"/>
                  <w:noWrap w:val="0"/>
                  <w:vAlign w:val="center"/>
                </w:tcPr>
                <w:p w14:paraId="5A580D6F">
                  <w:pPr>
                    <w:pStyle w:val="99"/>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24L</w:t>
                  </w:r>
                </w:p>
              </w:tc>
              <w:tc>
                <w:tcPr>
                  <w:tcW w:w="509" w:type="pct"/>
                  <w:noWrap w:val="0"/>
                  <w:vAlign w:val="center"/>
                </w:tcPr>
                <w:p w14:paraId="51BB31F1">
                  <w:pPr>
                    <w:pStyle w:val="99"/>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0.022</w:t>
                  </w:r>
                </w:p>
              </w:tc>
              <w:tc>
                <w:tcPr>
                  <w:tcW w:w="444" w:type="pct"/>
                  <w:noWrap w:val="0"/>
                  <w:vAlign w:val="center"/>
                </w:tcPr>
                <w:p w14:paraId="42728EE7">
                  <w:pPr>
                    <w:pStyle w:val="99"/>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0.022</w:t>
                  </w:r>
                </w:p>
              </w:tc>
              <w:tc>
                <w:tcPr>
                  <w:tcW w:w="581" w:type="pct"/>
                  <w:vMerge w:val="continue"/>
                  <w:noWrap w:val="0"/>
                  <w:vAlign w:val="center"/>
                </w:tcPr>
                <w:p w14:paraId="2032EBD2">
                  <w:pPr>
                    <w:pStyle w:val="99"/>
                    <w:ind w:firstLine="0" w:firstLineChars="0"/>
                    <w:jc w:val="center"/>
                    <w:rPr>
                      <w:rFonts w:hint="default" w:ascii="Times New Roman" w:hAnsi="Times New Roman" w:eastAsia="宋体" w:cs="Times New Roman"/>
                      <w:color w:val="auto"/>
                      <w:sz w:val="21"/>
                      <w:szCs w:val="21"/>
                      <w:highlight w:val="none"/>
                    </w:rPr>
                  </w:pPr>
                </w:p>
              </w:tc>
              <w:tc>
                <w:tcPr>
                  <w:tcW w:w="432" w:type="pct"/>
                  <w:noWrap w:val="0"/>
                  <w:vAlign w:val="center"/>
                </w:tcPr>
                <w:p w14:paraId="5873D08D">
                  <w:pPr>
                    <w:pStyle w:val="99"/>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0.011</w:t>
                  </w:r>
                </w:p>
              </w:tc>
              <w:tc>
                <w:tcPr>
                  <w:tcW w:w="285" w:type="pct"/>
                  <w:noWrap w:val="0"/>
                  <w:vAlign w:val="center"/>
                </w:tcPr>
                <w:p w14:paraId="5BDC25E7">
                  <w:pPr>
                    <w:pStyle w:val="99"/>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300</w:t>
                  </w:r>
                </w:p>
              </w:tc>
              <w:tc>
                <w:tcPr>
                  <w:tcW w:w="452" w:type="pct"/>
                  <w:noWrap w:val="0"/>
                  <w:vAlign w:val="center"/>
                </w:tcPr>
                <w:p w14:paraId="77AD7494">
                  <w:pPr>
                    <w:pStyle w:val="99"/>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3.3</w:t>
                  </w:r>
                </w:p>
              </w:tc>
            </w:tr>
            <w:tr w14:paraId="283B6F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8" w:type="pct"/>
                  <w:gridSpan w:val="7"/>
                  <w:noWrap w:val="0"/>
                  <w:vAlign w:val="center"/>
                </w:tcPr>
                <w:p w14:paraId="0E832725">
                  <w:pPr>
                    <w:pStyle w:val="99"/>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合计</w:t>
                  </w:r>
                </w:p>
              </w:tc>
              <w:tc>
                <w:tcPr>
                  <w:tcW w:w="432" w:type="pct"/>
                  <w:noWrap w:val="0"/>
                  <w:vAlign w:val="center"/>
                </w:tcPr>
                <w:p w14:paraId="5A2D37E8">
                  <w:pPr>
                    <w:pStyle w:val="99"/>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0.0</w:t>
                  </w:r>
                  <w:r>
                    <w:rPr>
                      <w:rFonts w:hint="eastAsia" w:eastAsia="宋体"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lang w:val="en-US" w:eastAsia="zh-CN"/>
                    </w:rPr>
                    <w:t>1</w:t>
                  </w:r>
                </w:p>
              </w:tc>
              <w:tc>
                <w:tcPr>
                  <w:tcW w:w="285" w:type="pct"/>
                  <w:noWrap w:val="0"/>
                  <w:vAlign w:val="center"/>
                </w:tcPr>
                <w:p w14:paraId="4DAA0131">
                  <w:pPr>
                    <w:pStyle w:val="99"/>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452" w:type="pct"/>
                  <w:noWrap w:val="0"/>
                  <w:vAlign w:val="center"/>
                </w:tcPr>
                <w:p w14:paraId="64D7A5E6">
                  <w:pPr>
                    <w:pStyle w:val="99"/>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eastAsia="宋体" w:cs="Times New Roman"/>
                      <w:color w:val="auto"/>
                      <w:sz w:val="21"/>
                      <w:szCs w:val="21"/>
                      <w:highlight w:val="none"/>
                      <w:lang w:val="en-US" w:eastAsia="zh-CN"/>
                    </w:rPr>
                    <w:t>9</w:t>
                  </w:r>
                  <w:r>
                    <w:rPr>
                      <w:rFonts w:hint="default" w:ascii="Times New Roman" w:hAnsi="Times New Roman" w:eastAsia="宋体" w:cs="Times New Roman"/>
                      <w:color w:val="auto"/>
                      <w:sz w:val="21"/>
                      <w:szCs w:val="21"/>
                      <w:highlight w:val="none"/>
                      <w:lang w:val="en-US" w:eastAsia="zh-CN"/>
                    </w:rPr>
                    <w:t>.3</w:t>
                  </w:r>
                </w:p>
              </w:tc>
            </w:tr>
          </w:tbl>
          <w:p w14:paraId="4587AAD4">
            <w:pPr>
              <w:spacing w:line="360" w:lineRule="auto"/>
              <w:ind w:firstLine="420" w:firstLineChars="200"/>
              <w:jc w:val="left"/>
              <w:rPr>
                <w:rFonts w:hint="default" w:ascii="Times New Roman" w:hAnsi="Times New Roman" w:cs="Times New Roman"/>
                <w:color w:val="auto"/>
                <w:szCs w:val="21"/>
                <w:highlight w:val="none"/>
                <w:lang w:eastAsia="zh-CN"/>
              </w:rPr>
            </w:pPr>
            <w:r>
              <w:rPr>
                <w:rFonts w:hint="default" w:ascii="Times New Roman" w:hAnsi="Times New Roman" w:eastAsia="宋体" w:cs="Times New Roman"/>
                <w:color w:val="auto"/>
                <w:sz w:val="21"/>
                <w:szCs w:val="21"/>
                <w:highlight w:val="none"/>
                <w:lang w:val="en-US" w:eastAsia="zh-CN"/>
              </w:rPr>
              <w:t>项目</w:t>
            </w:r>
            <w:r>
              <w:rPr>
                <w:rFonts w:hint="default" w:ascii="Times New Roman" w:hAnsi="Times New Roman" w:eastAsia="宋体" w:cs="Times New Roman"/>
                <w:color w:val="auto"/>
                <w:sz w:val="21"/>
                <w:szCs w:val="21"/>
                <w:highlight w:val="none"/>
              </w:rPr>
              <w:t>检测</w:t>
            </w:r>
            <w:r>
              <w:rPr>
                <w:rFonts w:hint="default" w:ascii="Times New Roman" w:hAnsi="Times New Roman" w:eastAsia="宋体" w:cs="Times New Roman"/>
                <w:color w:val="auto"/>
                <w:sz w:val="21"/>
                <w:szCs w:val="21"/>
                <w:highlight w:val="none"/>
                <w:lang w:val="en-US" w:eastAsia="zh-CN"/>
              </w:rPr>
              <w:t>前处理设备</w:t>
            </w:r>
            <w:r>
              <w:rPr>
                <w:rFonts w:hint="default" w:ascii="Times New Roman" w:hAnsi="Times New Roman" w:eastAsia="宋体" w:cs="Times New Roman"/>
                <w:color w:val="auto"/>
                <w:sz w:val="21"/>
                <w:szCs w:val="21"/>
                <w:highlight w:val="none"/>
              </w:rPr>
              <w:t>用水</w:t>
            </w:r>
            <w:r>
              <w:rPr>
                <w:rFonts w:hint="default" w:ascii="Times New Roman" w:hAnsi="Times New Roman" w:eastAsia="宋体" w:cs="Times New Roman"/>
                <w:color w:val="auto"/>
                <w:sz w:val="21"/>
                <w:szCs w:val="21"/>
                <w:highlight w:val="none"/>
                <w:lang w:val="en-US" w:eastAsia="zh-CN"/>
              </w:rPr>
              <w:t>量为</w:t>
            </w:r>
            <w:r>
              <w:rPr>
                <w:rFonts w:hint="eastAsia" w:cs="Times New Roman"/>
                <w:color w:val="auto"/>
                <w:sz w:val="21"/>
                <w:szCs w:val="21"/>
                <w:highlight w:val="none"/>
                <w:lang w:val="en-US" w:eastAsia="zh-CN"/>
              </w:rPr>
              <w:t>9</w:t>
            </w:r>
            <w:r>
              <w:rPr>
                <w:rFonts w:hint="default" w:ascii="Times New Roman" w:hAnsi="Times New Roman" w:eastAsia="宋体" w:cs="Times New Roman"/>
                <w:color w:val="auto"/>
                <w:sz w:val="21"/>
                <w:szCs w:val="21"/>
                <w:highlight w:val="none"/>
                <w:lang w:val="en-US" w:eastAsia="zh-CN"/>
              </w:rPr>
              <w:t>.3</w:t>
            </w:r>
            <w:r>
              <w:rPr>
                <w:rFonts w:hint="default" w:ascii="Times New Roman" w:hAnsi="Times New Roman" w:cs="Times New Roman"/>
                <w:color w:val="auto"/>
                <w:szCs w:val="21"/>
                <w:highlight w:val="none"/>
              </w:rPr>
              <w:t>t/a</w:t>
            </w:r>
            <w:r>
              <w:rPr>
                <w:rFonts w:hint="default" w:ascii="Times New Roman" w:hAnsi="Times New Roman" w:cs="Times New Roman"/>
                <w:color w:val="auto"/>
                <w:szCs w:val="21"/>
                <w:highlight w:val="none"/>
                <w:lang w:eastAsia="zh-CN"/>
              </w:rPr>
              <w:t>。</w:t>
            </w:r>
          </w:p>
          <w:p w14:paraId="7FAE84F7">
            <w:pPr>
              <w:spacing w:line="360" w:lineRule="auto"/>
              <w:ind w:firstLine="422" w:firstLineChars="200"/>
              <w:jc w:val="left"/>
              <w:rPr>
                <w:rFonts w:hint="default" w:ascii="Times New Roman" w:hAnsi="Times New Roman" w:cs="Times New Roman"/>
                <w:b/>
                <w:bCs/>
                <w:color w:val="auto"/>
                <w:szCs w:val="21"/>
                <w:highlight w:val="none"/>
                <w:lang w:val="en-US" w:eastAsia="zh-CN"/>
              </w:rPr>
            </w:pPr>
            <w:r>
              <w:rPr>
                <w:rFonts w:hint="eastAsia" w:cs="Times New Roman"/>
                <w:b/>
                <w:bCs/>
                <w:color w:val="auto"/>
                <w:sz w:val="21"/>
                <w:szCs w:val="21"/>
                <w:highlight w:val="none"/>
                <w:lang w:eastAsia="zh-CN"/>
              </w:rPr>
              <w:t>（</w:t>
            </w:r>
            <w:r>
              <w:rPr>
                <w:rFonts w:hint="eastAsia" w:cs="Times New Roman"/>
                <w:b/>
                <w:bCs/>
                <w:color w:val="auto"/>
                <w:sz w:val="21"/>
                <w:szCs w:val="21"/>
                <w:highlight w:val="none"/>
                <w:lang w:val="en-US" w:eastAsia="zh-CN"/>
              </w:rPr>
              <w:t>8</w:t>
            </w:r>
            <w:r>
              <w:rPr>
                <w:rFonts w:hint="eastAsia" w:cs="Times New Roman"/>
                <w:b/>
                <w:bCs/>
                <w:color w:val="auto"/>
                <w:sz w:val="21"/>
                <w:szCs w:val="21"/>
                <w:highlight w:val="none"/>
                <w:lang w:eastAsia="zh-CN"/>
              </w:rPr>
              <w:t>）</w:t>
            </w:r>
            <w:r>
              <w:rPr>
                <w:rFonts w:hint="default" w:ascii="Times New Roman" w:hAnsi="Times New Roman" w:eastAsia="宋体" w:cs="Times New Roman"/>
                <w:b/>
                <w:bCs/>
                <w:color w:val="auto"/>
                <w:sz w:val="21"/>
                <w:szCs w:val="21"/>
                <w:highlight w:val="none"/>
              </w:rPr>
              <w:t>喷淋用水</w:t>
            </w:r>
          </w:p>
          <w:p w14:paraId="2727667A">
            <w:pPr>
              <w:pStyle w:val="98"/>
              <w:shd w:val="clear"/>
              <w:spacing w:line="360" w:lineRule="auto"/>
              <w:ind w:firstLine="420" w:firstLineChars="200"/>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项目废气处理设有</w:t>
            </w:r>
            <w:r>
              <w:rPr>
                <w:rFonts w:hint="eastAsia" w:cs="Times New Roman"/>
                <w:color w:val="auto"/>
                <w:sz w:val="21"/>
                <w:szCs w:val="21"/>
                <w:highlight w:val="none"/>
                <w:lang w:val="en-US" w:eastAsia="zh-CN"/>
              </w:rPr>
              <w:t>碱液</w:t>
            </w:r>
            <w:r>
              <w:rPr>
                <w:rFonts w:hint="default" w:ascii="Times New Roman" w:hAnsi="Times New Roman" w:eastAsia="宋体" w:cs="Times New Roman"/>
                <w:color w:val="auto"/>
                <w:sz w:val="21"/>
                <w:szCs w:val="21"/>
                <w:highlight w:val="none"/>
              </w:rPr>
              <w:t>喷淋塔。厂区共设</w:t>
            </w:r>
            <w:r>
              <w:rPr>
                <w:rFonts w:hint="eastAsia"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rPr>
              <w:t>套喷淋</w:t>
            </w:r>
            <w:r>
              <w:rPr>
                <w:rFonts w:hint="eastAsia" w:cs="Times New Roman"/>
                <w:color w:val="auto"/>
                <w:sz w:val="21"/>
                <w:szCs w:val="21"/>
                <w:highlight w:val="none"/>
                <w:lang w:val="en-US" w:eastAsia="zh-CN"/>
              </w:rPr>
              <w:t>塔</w:t>
            </w:r>
            <w:r>
              <w:rPr>
                <w:rFonts w:hint="default" w:ascii="Times New Roman" w:hAnsi="Times New Roman" w:eastAsia="宋体" w:cs="Times New Roman"/>
                <w:color w:val="auto"/>
                <w:sz w:val="21"/>
                <w:szCs w:val="21"/>
                <w:highlight w:val="none"/>
              </w:rPr>
              <w:t>，单座喷淋设备喷淋塔</w:t>
            </w:r>
            <w:r>
              <w:rPr>
                <w:rFonts w:hint="eastAsia" w:cs="Times New Roman"/>
                <w:color w:val="auto"/>
                <w:sz w:val="21"/>
                <w:szCs w:val="21"/>
                <w:highlight w:val="none"/>
                <w:lang w:val="en-US" w:eastAsia="zh-CN"/>
              </w:rPr>
              <w:t>尺寸为2</w:t>
            </w:r>
            <w:r>
              <w:rPr>
                <w:rFonts w:hint="default" w:ascii="Times New Roman" w:hAnsi="Times New Roman" w:eastAsia="宋体" w:cs="Times New Roman"/>
                <w:color w:val="auto"/>
                <w:sz w:val="21"/>
                <w:szCs w:val="21"/>
                <w:highlight w:val="none"/>
              </w:rPr>
              <w:t>m</w:t>
            </w:r>
            <w:r>
              <w:rPr>
                <w:rFonts w:hint="eastAsia" w:cs="Times New Roman"/>
                <w:color w:val="auto"/>
                <w:sz w:val="21"/>
                <w:szCs w:val="21"/>
                <w:highlight w:val="none"/>
                <w:lang w:val="en-US" w:eastAsia="zh-CN"/>
              </w:rPr>
              <w:t>*1.5*2m</w:t>
            </w:r>
            <w:r>
              <w:rPr>
                <w:rFonts w:hint="default" w:ascii="Times New Roman" w:hAnsi="Times New Roman" w:eastAsia="宋体" w:cs="Times New Roman"/>
                <w:color w:val="auto"/>
                <w:sz w:val="21"/>
                <w:szCs w:val="21"/>
                <w:highlight w:val="none"/>
              </w:rPr>
              <w:t>，水池有效深度为0.</w:t>
            </w:r>
            <w:r>
              <w:rPr>
                <w:rFonts w:hint="eastAsia" w:cs="Times New Roman"/>
                <w:color w:val="auto"/>
                <w:sz w:val="21"/>
                <w:szCs w:val="21"/>
                <w:highlight w:val="none"/>
                <w:lang w:val="en-US" w:eastAsia="zh-CN"/>
              </w:rPr>
              <w:t>5</w:t>
            </w:r>
            <w:r>
              <w:rPr>
                <w:rFonts w:hint="default" w:ascii="Times New Roman" w:hAnsi="Times New Roman" w:eastAsia="宋体" w:cs="Times New Roman"/>
                <w:color w:val="auto"/>
                <w:sz w:val="21"/>
                <w:szCs w:val="21"/>
                <w:highlight w:val="none"/>
              </w:rPr>
              <w:t>m，因此单套喷淋塔水池有效体积约为</w:t>
            </w:r>
            <w:r>
              <w:rPr>
                <w:rFonts w:hint="eastAsia" w:cs="Times New Roman"/>
                <w:color w:val="auto"/>
                <w:sz w:val="21"/>
                <w:szCs w:val="21"/>
                <w:highlight w:val="none"/>
                <w:lang w:val="en-US" w:eastAsia="zh-CN"/>
              </w:rPr>
              <w:t>1.5</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w:t>
            </w:r>
            <w:r>
              <w:rPr>
                <w:rFonts w:hint="eastAsia" w:cs="Times New Roman"/>
                <w:color w:val="auto"/>
                <w:sz w:val="21"/>
                <w:szCs w:val="21"/>
                <w:highlight w:val="none"/>
                <w:lang w:val="en-US" w:eastAsia="zh-CN"/>
              </w:rPr>
              <w:t>喷淋液</w:t>
            </w:r>
            <w:r>
              <w:rPr>
                <w:rFonts w:hint="default" w:ascii="Times New Roman" w:hAnsi="Times New Roman" w:eastAsia="宋体" w:cs="Times New Roman"/>
                <w:color w:val="auto"/>
                <w:sz w:val="21"/>
                <w:szCs w:val="21"/>
                <w:highlight w:val="none"/>
              </w:rPr>
              <w:t>每</w:t>
            </w:r>
            <w:r>
              <w:rPr>
                <w:rFonts w:hint="eastAsia" w:cs="Times New Roman"/>
                <w:color w:val="auto"/>
                <w:sz w:val="21"/>
                <w:szCs w:val="21"/>
                <w:highlight w:val="none"/>
                <w:lang w:val="en-US" w:eastAsia="zh-CN"/>
              </w:rPr>
              <w:t>两个</w:t>
            </w:r>
            <w:r>
              <w:rPr>
                <w:rFonts w:hint="default" w:ascii="Times New Roman" w:hAnsi="Times New Roman" w:eastAsia="宋体" w:cs="Times New Roman"/>
                <w:color w:val="auto"/>
                <w:sz w:val="21"/>
                <w:szCs w:val="21"/>
                <w:highlight w:val="none"/>
              </w:rPr>
              <w:t>月更换一次，则喷淋废水的产生量为</w:t>
            </w:r>
            <w:r>
              <w:rPr>
                <w:rFonts w:hint="eastAsia" w:cs="Times New Roman"/>
                <w:color w:val="auto"/>
                <w:sz w:val="21"/>
                <w:szCs w:val="21"/>
                <w:highlight w:val="none"/>
                <w:lang w:val="en-US" w:eastAsia="zh-CN"/>
              </w:rPr>
              <w:t>1.5</w:t>
            </w:r>
            <w:r>
              <w:rPr>
                <w:rFonts w:hint="default" w:ascii="Times New Roman" w:hAnsi="Times New Roman" w:eastAsia="宋体" w:cs="Times New Roman"/>
                <w:color w:val="auto"/>
                <w:sz w:val="21"/>
                <w:szCs w:val="21"/>
                <w:highlight w:val="none"/>
              </w:rPr>
              <w:t>m³/次（</w:t>
            </w:r>
            <w:r>
              <w:rPr>
                <w:rFonts w:hint="eastAsia" w:cs="Times New Roman"/>
                <w:color w:val="auto"/>
                <w:sz w:val="21"/>
                <w:szCs w:val="21"/>
                <w:highlight w:val="none"/>
                <w:lang w:val="en-US" w:eastAsia="zh-CN"/>
              </w:rPr>
              <w:t>9</w:t>
            </w:r>
            <w:r>
              <w:rPr>
                <w:rFonts w:hint="default" w:ascii="Times New Roman" w:hAnsi="Times New Roman" w:eastAsia="宋体" w:cs="Times New Roman"/>
                <w:color w:val="auto"/>
                <w:sz w:val="21"/>
                <w:szCs w:val="21"/>
                <w:highlight w:val="none"/>
              </w:rPr>
              <w:t>m³/a），收集后委托给有处理能力的废水处理机构处理；另外喷淋使用过程中会发生一定损耗，</w:t>
            </w:r>
            <w:r>
              <w:rPr>
                <w:rFonts w:hint="eastAsia" w:cs="Times New Roman"/>
                <w:color w:val="auto"/>
                <w:sz w:val="21"/>
                <w:szCs w:val="21"/>
                <w:highlight w:val="none"/>
                <w:lang w:val="en-US" w:eastAsia="zh-CN"/>
              </w:rPr>
              <w:t>每</w:t>
            </w:r>
            <w:r>
              <w:rPr>
                <w:rFonts w:hint="default" w:ascii="Times New Roman" w:hAnsi="Times New Roman" w:eastAsia="宋体" w:cs="Times New Roman"/>
                <w:color w:val="auto"/>
                <w:sz w:val="21"/>
                <w:szCs w:val="21"/>
                <w:highlight w:val="none"/>
              </w:rPr>
              <w:t>天补充用水量约占有效容积的5%，则补充水量为</w:t>
            </w:r>
            <w:r>
              <w:rPr>
                <w:rFonts w:hint="eastAsia" w:cs="Times New Roman"/>
                <w:color w:val="auto"/>
                <w:sz w:val="21"/>
                <w:szCs w:val="21"/>
                <w:highlight w:val="none"/>
                <w:lang w:val="en-US" w:eastAsia="zh-CN"/>
              </w:rPr>
              <w:t>0.075</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/d（</w:t>
            </w:r>
            <w:r>
              <w:rPr>
                <w:rFonts w:hint="eastAsia" w:cs="Times New Roman"/>
                <w:color w:val="auto"/>
                <w:sz w:val="21"/>
                <w:szCs w:val="21"/>
                <w:highlight w:val="none"/>
                <w:lang w:val="en-US" w:eastAsia="zh-CN"/>
              </w:rPr>
              <w:t>22.5</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/a）。综上可知，喷淋废水的产生量为</w:t>
            </w:r>
            <w:r>
              <w:rPr>
                <w:rFonts w:hint="eastAsia" w:cs="Times New Roman"/>
                <w:color w:val="auto"/>
                <w:sz w:val="21"/>
                <w:szCs w:val="21"/>
                <w:highlight w:val="none"/>
                <w:lang w:val="en-US" w:eastAsia="zh-CN"/>
              </w:rPr>
              <w:t>9</w:t>
            </w:r>
            <w:r>
              <w:rPr>
                <w:rFonts w:hint="default" w:ascii="Times New Roman" w:hAnsi="Times New Roman" w:eastAsia="宋体" w:cs="Times New Roman"/>
                <w:color w:val="auto"/>
                <w:sz w:val="21"/>
                <w:szCs w:val="21"/>
                <w:highlight w:val="none"/>
              </w:rPr>
              <w:t>t/a，蒸发损耗量为</w:t>
            </w:r>
            <w:r>
              <w:rPr>
                <w:rFonts w:hint="eastAsia" w:cs="Times New Roman"/>
                <w:color w:val="auto"/>
                <w:sz w:val="21"/>
                <w:szCs w:val="21"/>
                <w:highlight w:val="none"/>
                <w:lang w:val="en-US" w:eastAsia="zh-CN"/>
              </w:rPr>
              <w:t>22.5</w:t>
            </w:r>
            <w:r>
              <w:rPr>
                <w:rFonts w:hint="default" w:ascii="Times New Roman" w:hAnsi="Times New Roman" w:eastAsia="宋体" w:cs="Times New Roman"/>
                <w:color w:val="auto"/>
                <w:sz w:val="21"/>
                <w:szCs w:val="21"/>
                <w:highlight w:val="none"/>
              </w:rPr>
              <w:t>t/a，则喷淋总用水量为</w:t>
            </w:r>
            <w:r>
              <w:rPr>
                <w:rFonts w:hint="eastAsia" w:cs="Times New Roman"/>
                <w:color w:val="auto"/>
                <w:sz w:val="21"/>
                <w:szCs w:val="21"/>
                <w:highlight w:val="none"/>
                <w:lang w:val="en-US" w:eastAsia="zh-CN"/>
              </w:rPr>
              <w:t>31.5</w:t>
            </w:r>
            <w:r>
              <w:rPr>
                <w:rFonts w:hint="default" w:ascii="Times New Roman" w:hAnsi="Times New Roman" w:eastAsia="宋体" w:cs="Times New Roman"/>
                <w:color w:val="auto"/>
                <w:sz w:val="21"/>
                <w:szCs w:val="21"/>
                <w:highlight w:val="none"/>
              </w:rPr>
              <w:t>t/a。</w:t>
            </w:r>
          </w:p>
          <w:p w14:paraId="2F3D52A4">
            <w:pPr>
              <w:spacing w:line="360" w:lineRule="auto"/>
              <w:ind w:firstLine="420" w:firstLineChars="20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Cs w:val="21"/>
                <w:highlight w:val="none"/>
                <w:lang w:val="en-US" w:eastAsia="zh-CN"/>
              </w:rPr>
              <w:t>喷淋液中</w:t>
            </w:r>
            <w:r>
              <w:rPr>
                <w:rFonts w:hint="default" w:ascii="Times New Roman" w:hAnsi="Times New Roman" w:cs="Times New Roman"/>
                <w:color w:val="auto"/>
                <w:szCs w:val="21"/>
                <w:highlight w:val="none"/>
                <w:lang w:val="en-US" w:eastAsia="zh-CN"/>
              </w:rPr>
              <w:t>氢氧化钠浓度为10%，总喷淋</w:t>
            </w:r>
            <w:r>
              <w:rPr>
                <w:rFonts w:hint="default" w:ascii="Times New Roman" w:hAnsi="Times New Roman" w:eastAsia="宋体" w:cs="Times New Roman"/>
                <w:color w:val="auto"/>
                <w:sz w:val="21"/>
                <w:szCs w:val="21"/>
                <w:highlight w:val="none"/>
              </w:rPr>
              <w:t>用水</w:t>
            </w:r>
            <w:r>
              <w:rPr>
                <w:rFonts w:hint="default" w:ascii="Times New Roman" w:hAnsi="Times New Roman" w:cs="Times New Roman"/>
                <w:color w:val="auto"/>
                <w:szCs w:val="21"/>
                <w:highlight w:val="none"/>
                <w:lang w:val="en-US" w:eastAsia="zh-CN"/>
              </w:rPr>
              <w:t>量为</w:t>
            </w:r>
            <w:r>
              <w:rPr>
                <w:rFonts w:hint="eastAsia" w:cs="Times New Roman"/>
                <w:color w:val="auto"/>
                <w:szCs w:val="21"/>
                <w:highlight w:val="none"/>
                <w:lang w:val="en-US" w:eastAsia="zh-CN"/>
              </w:rPr>
              <w:t>31.5</w:t>
            </w:r>
            <w:r>
              <w:rPr>
                <w:rFonts w:hint="default" w:ascii="Times New Roman" w:hAnsi="Times New Roman" w:cs="Times New Roman"/>
                <w:color w:val="auto"/>
                <w:szCs w:val="21"/>
                <w:highlight w:val="none"/>
                <w:lang w:val="en-US" w:eastAsia="zh-CN"/>
              </w:rPr>
              <w:t>t，则氢氧化钠用量约为</w:t>
            </w:r>
            <w:r>
              <w:rPr>
                <w:rFonts w:hint="eastAsia" w:cs="Times New Roman"/>
                <w:color w:val="auto"/>
                <w:szCs w:val="21"/>
                <w:highlight w:val="none"/>
                <w:lang w:val="en-US" w:eastAsia="zh-CN"/>
              </w:rPr>
              <w:t>3.15</w:t>
            </w:r>
            <w:r>
              <w:rPr>
                <w:rFonts w:hint="default" w:ascii="Times New Roman" w:hAnsi="Times New Roman" w:cs="Times New Roman"/>
                <w:color w:val="auto"/>
                <w:szCs w:val="21"/>
                <w:highlight w:val="none"/>
                <w:lang w:val="en-US" w:eastAsia="zh-CN"/>
              </w:rPr>
              <w:t>吨。</w:t>
            </w:r>
          </w:p>
          <w:p w14:paraId="051DA4A5">
            <w:pPr>
              <w:widowControl/>
              <w:numPr>
                <w:ilvl w:val="0"/>
                <w:numId w:val="0"/>
              </w:numPr>
              <w:spacing w:line="360" w:lineRule="auto"/>
              <w:ind w:leftChars="0"/>
              <w:contextualSpacing/>
              <w:jc w:val="center"/>
              <w:rPr>
                <w:rFonts w:hint="default" w:ascii="Times New Roman" w:hAnsi="Times New Roman" w:eastAsia="宋体" w:cs="Times New Roman"/>
                <w:b/>
                <w:bCs/>
                <w:color w:val="auto"/>
                <w:kern w:val="2"/>
                <w:sz w:val="21"/>
                <w:szCs w:val="21"/>
                <w:highlight w:val="none"/>
                <w:lang w:val="en-US" w:eastAsia="zh-CN" w:bidi="ar-SA"/>
              </w:rPr>
            </w:pPr>
            <w:r>
              <w:rPr>
                <w:rFonts w:hint="eastAsia" w:cs="Times New Roman"/>
                <w:b/>
                <w:bCs/>
                <w:color w:val="auto"/>
                <w:kern w:val="2"/>
                <w:sz w:val="21"/>
                <w:szCs w:val="21"/>
                <w:highlight w:val="none"/>
                <w:lang w:val="en-US" w:eastAsia="zh-CN" w:bidi="ar-SA"/>
              </w:rPr>
              <w:t>表10</w:t>
            </w:r>
            <w:r>
              <w:rPr>
                <w:rFonts w:hint="default" w:ascii="Times New Roman" w:hAnsi="Times New Roman" w:eastAsia="宋体" w:cs="Times New Roman"/>
                <w:b/>
                <w:bCs/>
                <w:color w:val="auto"/>
                <w:kern w:val="2"/>
                <w:sz w:val="21"/>
                <w:szCs w:val="21"/>
                <w:highlight w:val="none"/>
                <w:lang w:val="en-US" w:eastAsia="zh-CN" w:bidi="ar-SA"/>
              </w:rPr>
              <w:t>项目给排水情况一览表</w:t>
            </w:r>
          </w:p>
          <w:tbl>
            <w:tblPr>
              <w:tblStyle w:val="33"/>
              <w:tblW w:w="499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89"/>
              <w:gridCol w:w="1390"/>
              <w:gridCol w:w="1477"/>
              <w:gridCol w:w="1655"/>
              <w:gridCol w:w="2489"/>
            </w:tblGrid>
            <w:tr w14:paraId="5FC2A3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4" w:hRule="atLeast"/>
                <w:jc w:val="center"/>
              </w:trPr>
              <w:tc>
                <w:tcPr>
                  <w:tcW w:w="827" w:type="pct"/>
                  <w:noWrap w:val="0"/>
                  <w:vAlign w:val="center"/>
                </w:tcPr>
                <w:p w14:paraId="16A19374">
                  <w:pPr>
                    <w:pStyle w:val="40"/>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序号</w:t>
                  </w:r>
                </w:p>
              </w:tc>
              <w:tc>
                <w:tcPr>
                  <w:tcW w:w="827" w:type="pct"/>
                  <w:noWrap w:val="0"/>
                  <w:vAlign w:val="center"/>
                </w:tcPr>
                <w:p w14:paraId="31B89848">
                  <w:pPr>
                    <w:pStyle w:val="40"/>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类别</w:t>
                  </w:r>
                </w:p>
              </w:tc>
              <w:tc>
                <w:tcPr>
                  <w:tcW w:w="879" w:type="pct"/>
                  <w:noWrap w:val="0"/>
                  <w:vAlign w:val="center"/>
                </w:tcPr>
                <w:p w14:paraId="0700E22E">
                  <w:pPr>
                    <w:pStyle w:val="4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b/>
                      <w:bCs/>
                      <w:color w:val="auto"/>
                      <w:sz w:val="21"/>
                      <w:szCs w:val="21"/>
                      <w:highlight w:val="none"/>
                    </w:rPr>
                    <w:t>用水量</w:t>
                  </w:r>
                  <w:r>
                    <w:rPr>
                      <w:rFonts w:hint="default" w:ascii="Times New Roman" w:hAnsi="Times New Roman" w:cs="Times New Roman"/>
                      <w:b/>
                      <w:bCs/>
                      <w:color w:val="auto"/>
                      <w:sz w:val="21"/>
                      <w:szCs w:val="21"/>
                      <w:highlight w:val="none"/>
                      <w:lang w:val="en-US" w:eastAsia="zh-CN"/>
                    </w:rPr>
                    <w:t>(t/a)</w:t>
                  </w:r>
                </w:p>
              </w:tc>
              <w:tc>
                <w:tcPr>
                  <w:tcW w:w="985" w:type="pct"/>
                  <w:noWrap w:val="0"/>
                  <w:vAlign w:val="center"/>
                </w:tcPr>
                <w:p w14:paraId="48DD3B18">
                  <w:pPr>
                    <w:jc w:val="center"/>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rPr>
                    <w:t>废水排放量</w:t>
                  </w:r>
                  <w:r>
                    <w:rPr>
                      <w:rFonts w:hint="default" w:ascii="Times New Roman" w:hAnsi="Times New Roman" w:cs="Times New Roman"/>
                      <w:b/>
                      <w:bCs/>
                      <w:color w:val="auto"/>
                      <w:sz w:val="21"/>
                      <w:szCs w:val="21"/>
                      <w:highlight w:val="none"/>
                      <w:lang w:val="en-US" w:eastAsia="zh-CN"/>
                    </w:rPr>
                    <w:t>(t/a）</w:t>
                  </w:r>
                </w:p>
              </w:tc>
              <w:tc>
                <w:tcPr>
                  <w:tcW w:w="1481" w:type="pct"/>
                  <w:noWrap w:val="0"/>
                  <w:vAlign w:val="center"/>
                </w:tcPr>
                <w:p w14:paraId="3EEDEF2B">
                  <w:pPr>
                    <w:pStyle w:val="40"/>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排污去向</w:t>
                  </w:r>
                </w:p>
              </w:tc>
            </w:tr>
            <w:tr w14:paraId="69F1C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jc w:val="center"/>
              </w:trPr>
              <w:tc>
                <w:tcPr>
                  <w:tcW w:w="827" w:type="pct"/>
                  <w:noWrap w:val="0"/>
                  <w:vAlign w:val="center"/>
                </w:tcPr>
                <w:p w14:paraId="3E9C548A">
                  <w:pPr>
                    <w:pStyle w:val="4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w:t>
                  </w:r>
                </w:p>
              </w:tc>
              <w:tc>
                <w:tcPr>
                  <w:tcW w:w="827" w:type="pct"/>
                  <w:noWrap w:val="0"/>
                  <w:vAlign w:val="center"/>
                </w:tcPr>
                <w:p w14:paraId="3774D33C">
                  <w:pPr>
                    <w:pStyle w:val="4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生活用水</w:t>
                  </w:r>
                </w:p>
              </w:tc>
              <w:tc>
                <w:tcPr>
                  <w:tcW w:w="879" w:type="pct"/>
                  <w:noWrap w:val="0"/>
                  <w:vAlign w:val="center"/>
                </w:tcPr>
                <w:p w14:paraId="73D26893">
                  <w:pPr>
                    <w:pStyle w:val="98"/>
                    <w:widowControl w:val="0"/>
                    <w:adjustRightInd w:val="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96.688</w:t>
                  </w:r>
                </w:p>
              </w:tc>
              <w:tc>
                <w:tcPr>
                  <w:tcW w:w="985" w:type="pct"/>
                  <w:vMerge w:val="restart"/>
                  <w:noWrap w:val="0"/>
                  <w:vAlign w:val="center"/>
                </w:tcPr>
                <w:p w14:paraId="43334F6D">
                  <w:pPr>
                    <w:autoSpaceDE w:val="0"/>
                    <w:autoSpaceDN w:val="0"/>
                    <w:adjustRightInd w:val="0"/>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90</w:t>
                  </w:r>
                </w:p>
              </w:tc>
              <w:tc>
                <w:tcPr>
                  <w:tcW w:w="1481" w:type="pct"/>
                  <w:vMerge w:val="restart"/>
                  <w:noWrap w:val="0"/>
                  <w:vAlign w:val="center"/>
                </w:tcPr>
                <w:p w14:paraId="5EF8B5D3">
                  <w:pPr>
                    <w:pStyle w:val="98"/>
                    <w:widowControl w:val="0"/>
                    <w:adjustRightInd w:val="0"/>
                    <w:jc w:val="center"/>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化粪池预处理后经市政管网排入</w:t>
                  </w:r>
                  <w:r>
                    <w:rPr>
                      <w:rFonts w:hint="default" w:ascii="Times New Roman" w:hAnsi="Times New Roman" w:cs="Times New Roman"/>
                      <w:color w:val="auto"/>
                      <w:highlight w:val="none"/>
                      <w:lang w:eastAsia="zh-CN"/>
                    </w:rPr>
                    <w:t>中山市珍家山污水处理有限公司</w:t>
                  </w:r>
                </w:p>
              </w:tc>
            </w:tr>
            <w:tr w14:paraId="322422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jc w:val="center"/>
              </w:trPr>
              <w:tc>
                <w:tcPr>
                  <w:tcW w:w="827" w:type="pct"/>
                  <w:noWrap w:val="0"/>
                  <w:vAlign w:val="center"/>
                </w:tcPr>
                <w:p w14:paraId="046B166A">
                  <w:pPr>
                    <w:pStyle w:val="98"/>
                    <w:widowControl w:val="0"/>
                    <w:adjustRightInd w:val="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2</w:t>
                  </w:r>
                </w:p>
              </w:tc>
              <w:tc>
                <w:tcPr>
                  <w:tcW w:w="827" w:type="pct"/>
                  <w:noWrap w:val="0"/>
                  <w:vAlign w:val="center"/>
                </w:tcPr>
                <w:p w14:paraId="5D71A7D0">
                  <w:pPr>
                    <w:pStyle w:val="40"/>
                    <w:rPr>
                      <w:rFonts w:hint="default" w:ascii="Times New Roman" w:hAnsi="Times New Roman" w:cs="Times New Roman"/>
                      <w:color w:val="auto"/>
                      <w:sz w:val="21"/>
                      <w:szCs w:val="21"/>
                      <w:highlight w:val="none"/>
                    </w:rPr>
                  </w:pPr>
                  <w:r>
                    <w:rPr>
                      <w:rFonts w:hint="eastAsia" w:ascii="Times New Roman" w:cs="Times New Roman"/>
                      <w:color w:val="auto"/>
                      <w:sz w:val="21"/>
                      <w:szCs w:val="21"/>
                      <w:highlight w:val="none"/>
                      <w:lang w:val="en-US" w:eastAsia="zh-CN"/>
                    </w:rPr>
                    <w:t>纯水机</w:t>
                  </w:r>
                  <w:r>
                    <w:rPr>
                      <w:rFonts w:hint="default" w:ascii="Times New Roman" w:hAnsi="Times New Roman" w:eastAsia="宋体" w:cs="Times New Roman"/>
                      <w:color w:val="auto"/>
                      <w:sz w:val="21"/>
                      <w:szCs w:val="21"/>
                      <w:highlight w:val="none"/>
                    </w:rPr>
                    <w:t>用水</w:t>
                  </w:r>
                </w:p>
              </w:tc>
              <w:tc>
                <w:tcPr>
                  <w:tcW w:w="879" w:type="pct"/>
                  <w:noWrap w:val="0"/>
                  <w:vAlign w:val="center"/>
                </w:tcPr>
                <w:p w14:paraId="60B2B76B">
                  <w:pPr>
                    <w:pStyle w:val="98"/>
                    <w:widowControl w:val="0"/>
                    <w:adjustRightInd w:val="0"/>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4.68（制纯水1.8+反冲洗水2.88）</w:t>
                  </w:r>
                </w:p>
              </w:tc>
              <w:tc>
                <w:tcPr>
                  <w:tcW w:w="985" w:type="pct"/>
                  <w:vMerge w:val="continue"/>
                  <w:noWrap w:val="0"/>
                  <w:vAlign w:val="center"/>
                </w:tcPr>
                <w:p w14:paraId="0965D65E">
                  <w:pPr>
                    <w:autoSpaceDE w:val="0"/>
                    <w:autoSpaceDN w:val="0"/>
                    <w:adjustRightInd w:val="0"/>
                    <w:jc w:val="center"/>
                    <w:rPr>
                      <w:rFonts w:hint="default" w:ascii="Times New Roman" w:hAnsi="Times New Roman" w:cs="Times New Roman"/>
                      <w:color w:val="auto"/>
                      <w:szCs w:val="21"/>
                      <w:highlight w:val="none"/>
                      <w:lang w:val="en-US" w:eastAsia="zh-CN"/>
                    </w:rPr>
                  </w:pPr>
                </w:p>
              </w:tc>
              <w:tc>
                <w:tcPr>
                  <w:tcW w:w="1481" w:type="pct"/>
                  <w:vMerge w:val="continue"/>
                  <w:noWrap w:val="0"/>
                  <w:vAlign w:val="center"/>
                </w:tcPr>
                <w:p w14:paraId="091A91C3">
                  <w:pPr>
                    <w:pStyle w:val="98"/>
                    <w:widowControl w:val="0"/>
                    <w:adjustRightInd w:val="0"/>
                    <w:jc w:val="center"/>
                    <w:rPr>
                      <w:rFonts w:hint="default" w:ascii="Times New Roman" w:hAnsi="Times New Roman" w:cs="Times New Roman"/>
                      <w:color w:val="auto"/>
                      <w:highlight w:val="none"/>
                    </w:rPr>
                  </w:pPr>
                </w:p>
              </w:tc>
            </w:tr>
            <w:tr w14:paraId="6912ED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jc w:val="center"/>
              </w:trPr>
              <w:tc>
                <w:tcPr>
                  <w:tcW w:w="827" w:type="pct"/>
                  <w:noWrap w:val="0"/>
                  <w:vAlign w:val="center"/>
                </w:tcPr>
                <w:p w14:paraId="24CEA9FF">
                  <w:pPr>
                    <w:pStyle w:val="98"/>
                    <w:widowControl w:val="0"/>
                    <w:adjustRightInd w:val="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3</w:t>
                  </w:r>
                </w:p>
              </w:tc>
              <w:tc>
                <w:tcPr>
                  <w:tcW w:w="827" w:type="pct"/>
                  <w:vMerge w:val="restart"/>
                  <w:noWrap w:val="0"/>
                  <w:vAlign w:val="center"/>
                </w:tcPr>
                <w:p w14:paraId="7FF15F39">
                  <w:pPr>
                    <w:pStyle w:val="98"/>
                    <w:widowControl w:val="0"/>
                    <w:adjustRightInd w:val="0"/>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highlight w:val="none"/>
                    </w:rPr>
                    <w:t>手工清洗用水</w:t>
                  </w:r>
                </w:p>
              </w:tc>
              <w:tc>
                <w:tcPr>
                  <w:tcW w:w="879" w:type="pct"/>
                  <w:vMerge w:val="restart"/>
                  <w:noWrap w:val="0"/>
                  <w:vAlign w:val="center"/>
                </w:tcPr>
                <w:p w14:paraId="1BECCC46">
                  <w:pPr>
                    <w:pStyle w:val="98"/>
                    <w:widowControl w:val="0"/>
                    <w:adjustRightInd w:val="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highlight w:val="none"/>
                      <w:lang w:val="en-US" w:eastAsia="zh-CN"/>
                    </w:rPr>
                    <w:t>3.78</w:t>
                  </w:r>
                  <w:r>
                    <w:rPr>
                      <w:rFonts w:hint="eastAsia" w:ascii="Times New Roman" w:hAnsi="Times New Roman" w:eastAsia="宋体" w:cs="Times New Roman"/>
                      <w:color w:val="auto"/>
                      <w:highlight w:val="none"/>
                      <w:lang w:val="en-US" w:eastAsia="zh-CN"/>
                    </w:rPr>
                    <w:t>（纯水0.</w:t>
                  </w:r>
                  <w:r>
                    <w:rPr>
                      <w:rFonts w:hint="eastAsia" w:cs="Times New Roman"/>
                      <w:color w:val="auto"/>
                      <w:highlight w:val="none"/>
                      <w:lang w:val="en-US" w:eastAsia="zh-CN"/>
                    </w:rPr>
                    <w:t>54</w:t>
                  </w:r>
                  <w:r>
                    <w:rPr>
                      <w:rFonts w:hint="eastAsia" w:ascii="Times New Roman" w:hAnsi="Times New Roman" w:eastAsia="宋体" w:cs="Times New Roman"/>
                      <w:color w:val="auto"/>
                      <w:highlight w:val="none"/>
                      <w:lang w:val="en-US" w:eastAsia="zh-CN"/>
                    </w:rPr>
                    <w:t>+新鲜水</w:t>
                  </w:r>
                  <w:r>
                    <w:rPr>
                      <w:rFonts w:hint="eastAsia" w:cs="Times New Roman"/>
                      <w:color w:val="auto"/>
                      <w:highlight w:val="none"/>
                      <w:lang w:val="en-US" w:eastAsia="zh-CN"/>
                    </w:rPr>
                    <w:t>3.24</w:t>
                  </w:r>
                  <w:r>
                    <w:rPr>
                      <w:rFonts w:hint="eastAsia" w:ascii="Times New Roman" w:hAnsi="Times New Roman" w:eastAsia="宋体" w:cs="Times New Roman"/>
                      <w:color w:val="auto"/>
                      <w:highlight w:val="none"/>
                      <w:lang w:val="en-US" w:eastAsia="zh-CN"/>
                    </w:rPr>
                    <w:t>）</w:t>
                  </w:r>
                </w:p>
              </w:tc>
              <w:tc>
                <w:tcPr>
                  <w:tcW w:w="985" w:type="pct"/>
                  <w:noWrap w:val="0"/>
                  <w:vAlign w:val="center"/>
                </w:tcPr>
                <w:p w14:paraId="39D7EC6A">
                  <w:pPr>
                    <w:autoSpaceDE w:val="0"/>
                    <w:autoSpaceDN w:val="0"/>
                    <w:adjustRightInd w:val="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2.592</w:t>
                  </w:r>
                </w:p>
              </w:tc>
              <w:tc>
                <w:tcPr>
                  <w:tcW w:w="1481" w:type="pct"/>
                  <w:noWrap w:val="0"/>
                  <w:vAlign w:val="center"/>
                </w:tcPr>
                <w:p w14:paraId="0DD9D036">
                  <w:pPr>
                    <w:adjustRightInd w:val="0"/>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rPr>
                    <w:t>交由有废水处理能力的单位转移处理</w:t>
                  </w:r>
                </w:p>
              </w:tc>
            </w:tr>
            <w:tr w14:paraId="0BED2F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jc w:val="center"/>
              </w:trPr>
              <w:tc>
                <w:tcPr>
                  <w:tcW w:w="827" w:type="pct"/>
                  <w:noWrap w:val="0"/>
                  <w:vAlign w:val="center"/>
                </w:tcPr>
                <w:p w14:paraId="1FF06E42">
                  <w:pPr>
                    <w:pStyle w:val="98"/>
                    <w:widowControl w:val="0"/>
                    <w:adjustRightInd w:val="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4</w:t>
                  </w:r>
                </w:p>
              </w:tc>
              <w:tc>
                <w:tcPr>
                  <w:tcW w:w="827" w:type="pct"/>
                  <w:vMerge w:val="continue"/>
                  <w:noWrap w:val="0"/>
                  <w:vAlign w:val="center"/>
                </w:tcPr>
                <w:p w14:paraId="1F9A85D4">
                  <w:pPr>
                    <w:pStyle w:val="40"/>
                    <w:rPr>
                      <w:rFonts w:hint="default" w:ascii="Times New Roman" w:hAnsi="Times New Roman" w:eastAsia="宋体" w:cs="Times New Roman"/>
                      <w:color w:val="auto"/>
                      <w:sz w:val="21"/>
                      <w:szCs w:val="21"/>
                      <w:highlight w:val="none"/>
                    </w:rPr>
                  </w:pPr>
                </w:p>
              </w:tc>
              <w:tc>
                <w:tcPr>
                  <w:tcW w:w="879" w:type="pct"/>
                  <w:vMerge w:val="continue"/>
                  <w:noWrap w:val="0"/>
                  <w:vAlign w:val="center"/>
                </w:tcPr>
                <w:p w14:paraId="2772A827">
                  <w:pPr>
                    <w:pStyle w:val="98"/>
                    <w:widowControl w:val="0"/>
                    <w:adjustRightInd w:val="0"/>
                    <w:jc w:val="center"/>
                    <w:rPr>
                      <w:rFonts w:hint="default" w:ascii="Times New Roman" w:hAnsi="Times New Roman" w:cs="Times New Roman"/>
                      <w:color w:val="auto"/>
                      <w:highlight w:val="none"/>
                      <w:lang w:val="en-US" w:eastAsia="zh-CN"/>
                    </w:rPr>
                  </w:pPr>
                </w:p>
              </w:tc>
              <w:tc>
                <w:tcPr>
                  <w:tcW w:w="985" w:type="pct"/>
                  <w:noWrap w:val="0"/>
                  <w:vAlign w:val="center"/>
                </w:tcPr>
                <w:p w14:paraId="1E1C3417">
                  <w:pPr>
                    <w:autoSpaceDE w:val="0"/>
                    <w:autoSpaceDN w:val="0"/>
                    <w:adjustRightInd w:val="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Cs w:val="21"/>
                      <w:highlight w:val="none"/>
                      <w:lang w:val="en-US" w:eastAsia="zh-CN"/>
                    </w:rPr>
                    <w:t>0.81</w:t>
                  </w:r>
                </w:p>
              </w:tc>
              <w:tc>
                <w:tcPr>
                  <w:tcW w:w="1481" w:type="pct"/>
                  <w:noWrap w:val="0"/>
                  <w:vAlign w:val="center"/>
                </w:tcPr>
                <w:p w14:paraId="4137A0FE">
                  <w:pP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rPr>
                    <w:t>交由具有相关危险废物经营许可证的单位处理</w:t>
                  </w:r>
                </w:p>
              </w:tc>
            </w:tr>
            <w:tr w14:paraId="24A41C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2" w:hRule="atLeast"/>
                <w:jc w:val="center"/>
              </w:trPr>
              <w:tc>
                <w:tcPr>
                  <w:tcW w:w="827" w:type="pct"/>
                  <w:noWrap w:val="0"/>
                  <w:vAlign w:val="center"/>
                </w:tcPr>
                <w:p w14:paraId="3FE3C285">
                  <w:pPr>
                    <w:pStyle w:val="98"/>
                    <w:widowControl w:val="0"/>
                    <w:adjustRightInd w:val="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5</w:t>
                  </w:r>
                </w:p>
              </w:tc>
              <w:tc>
                <w:tcPr>
                  <w:tcW w:w="827" w:type="pct"/>
                  <w:noWrap w:val="0"/>
                  <w:vAlign w:val="center"/>
                </w:tcPr>
                <w:p w14:paraId="23F345EB">
                  <w:pPr>
                    <w:pStyle w:val="98"/>
                    <w:widowControl w:val="0"/>
                    <w:adjustRightIn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超声波用水</w:t>
                  </w:r>
                </w:p>
              </w:tc>
              <w:tc>
                <w:tcPr>
                  <w:tcW w:w="879" w:type="pct"/>
                  <w:noWrap w:val="0"/>
                  <w:vAlign w:val="center"/>
                </w:tcPr>
                <w:p w14:paraId="2CAFBD4A">
                  <w:pPr>
                    <w:pStyle w:val="98"/>
                    <w:widowControl w:val="0"/>
                    <w:adjustRightInd w:val="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6.15</w:t>
                  </w:r>
                </w:p>
              </w:tc>
              <w:tc>
                <w:tcPr>
                  <w:tcW w:w="985" w:type="pct"/>
                  <w:noWrap w:val="0"/>
                  <w:vAlign w:val="center"/>
                </w:tcPr>
                <w:p w14:paraId="56353CA1">
                  <w:pPr>
                    <w:autoSpaceDE w:val="0"/>
                    <w:autoSpaceDN w:val="0"/>
                    <w:adjustRightInd w:val="0"/>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3.9</w:t>
                  </w:r>
                </w:p>
              </w:tc>
              <w:tc>
                <w:tcPr>
                  <w:tcW w:w="1481" w:type="pct"/>
                  <w:noWrap w:val="0"/>
                  <w:vAlign w:val="center"/>
                </w:tcPr>
                <w:p w14:paraId="2B782151">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交由有废水处理能力的单位转移处理</w:t>
                  </w:r>
                </w:p>
              </w:tc>
            </w:tr>
            <w:tr w14:paraId="1EE201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7" w:type="pct"/>
                  <w:noWrap w:val="0"/>
                  <w:vAlign w:val="center"/>
                </w:tcPr>
                <w:p w14:paraId="13EA2CEA">
                  <w:pPr>
                    <w:pStyle w:val="98"/>
                    <w:widowControl w:val="0"/>
                    <w:adjustRightInd w:val="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6</w:t>
                  </w:r>
                </w:p>
              </w:tc>
              <w:tc>
                <w:tcPr>
                  <w:tcW w:w="827" w:type="pct"/>
                  <w:noWrap w:val="0"/>
                  <w:vAlign w:val="center"/>
                </w:tcPr>
                <w:p w14:paraId="71F4EF9F">
                  <w:pPr>
                    <w:pStyle w:val="98"/>
                    <w:widowControl w:val="0"/>
                    <w:adjustRightInd w:val="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水样废水</w:t>
                  </w:r>
                </w:p>
              </w:tc>
              <w:tc>
                <w:tcPr>
                  <w:tcW w:w="879" w:type="pct"/>
                  <w:noWrap w:val="0"/>
                  <w:vAlign w:val="center"/>
                </w:tcPr>
                <w:p w14:paraId="3A690712">
                  <w:pPr>
                    <w:pStyle w:val="98"/>
                    <w:widowControl w:val="0"/>
                    <w:adjustRightInd w:val="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highlight w:val="none"/>
                      <w:lang w:val="en-US" w:eastAsia="zh-CN"/>
                    </w:rPr>
                    <w:t>/</w:t>
                  </w:r>
                </w:p>
              </w:tc>
              <w:tc>
                <w:tcPr>
                  <w:tcW w:w="985" w:type="pct"/>
                  <w:noWrap w:val="0"/>
                  <w:vAlign w:val="center"/>
                </w:tcPr>
                <w:p w14:paraId="636FF0F5">
                  <w:pPr>
                    <w:autoSpaceDE w:val="0"/>
                    <w:autoSpaceDN w:val="0"/>
                    <w:adjustRightInd w:val="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Cs w:val="21"/>
                      <w:highlight w:val="none"/>
                      <w:lang w:val="en-US" w:eastAsia="zh-CN"/>
                    </w:rPr>
                    <w:t>0.24</w:t>
                  </w:r>
                </w:p>
              </w:tc>
              <w:tc>
                <w:tcPr>
                  <w:tcW w:w="1481" w:type="pct"/>
                  <w:noWrap w:val="0"/>
                  <w:vAlign w:val="center"/>
                </w:tcPr>
                <w:p w14:paraId="32456B62">
                  <w:pPr>
                    <w:adjustRightInd w:val="0"/>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rPr>
                    <w:t>交由有废水处理能力的单位转移处理</w:t>
                  </w:r>
                </w:p>
              </w:tc>
            </w:tr>
            <w:tr w14:paraId="019168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7" w:type="pct"/>
                  <w:noWrap w:val="0"/>
                  <w:vAlign w:val="center"/>
                </w:tcPr>
                <w:p w14:paraId="261A2F14">
                  <w:pPr>
                    <w:pStyle w:val="98"/>
                    <w:widowControl w:val="0"/>
                    <w:adjustRightInd w:val="0"/>
                    <w:jc w:val="center"/>
                    <w:rPr>
                      <w:rFonts w:hint="default" w:ascii="Times New Roman" w:hAnsi="Times New Roman" w:eastAsia="宋体" w:cs="Times New Roman"/>
                      <w:color w:val="auto"/>
                      <w:spacing w:val="6"/>
                      <w:kern w:val="0"/>
                      <w:sz w:val="21"/>
                      <w:szCs w:val="21"/>
                      <w:highlight w:val="none"/>
                      <w:lang w:val="en-US" w:eastAsia="zh-CN" w:bidi="ar"/>
                    </w:rPr>
                  </w:pPr>
                  <w:r>
                    <w:rPr>
                      <w:rFonts w:hint="default" w:ascii="Times New Roman" w:hAnsi="Times New Roman" w:eastAsia="宋体" w:cs="Times New Roman"/>
                      <w:color w:val="auto"/>
                      <w:spacing w:val="6"/>
                      <w:kern w:val="0"/>
                      <w:sz w:val="21"/>
                      <w:szCs w:val="21"/>
                      <w:highlight w:val="none"/>
                      <w:lang w:val="en-US" w:eastAsia="zh-CN" w:bidi="ar"/>
                    </w:rPr>
                    <w:t>7</w:t>
                  </w:r>
                </w:p>
              </w:tc>
              <w:tc>
                <w:tcPr>
                  <w:tcW w:w="827" w:type="pct"/>
                  <w:noWrap w:val="0"/>
                  <w:vAlign w:val="center"/>
                </w:tcPr>
                <w:p w14:paraId="6F2BFE5D">
                  <w:pPr>
                    <w:pStyle w:val="98"/>
                    <w:widowControl w:val="0"/>
                    <w:adjustRightInd w:val="0"/>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eastAsia="宋体" w:cs="Times New Roman"/>
                      <w:color w:val="auto"/>
                      <w:spacing w:val="6"/>
                      <w:kern w:val="0"/>
                      <w:sz w:val="21"/>
                      <w:szCs w:val="21"/>
                      <w:highlight w:val="none"/>
                      <w:lang w:val="en-US" w:eastAsia="zh-CN" w:bidi="ar"/>
                    </w:rPr>
                    <w:t>实验检测用水和检测废水</w:t>
                  </w:r>
                </w:p>
              </w:tc>
              <w:tc>
                <w:tcPr>
                  <w:tcW w:w="879" w:type="pct"/>
                  <w:noWrap w:val="0"/>
                  <w:vAlign w:val="center"/>
                </w:tcPr>
                <w:p w14:paraId="6514FA7E">
                  <w:pPr>
                    <w:pStyle w:val="98"/>
                    <w:widowControl w:val="0"/>
                    <w:adjustRightInd w:val="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highlight w:val="none"/>
                      <w:lang w:val="en-US" w:eastAsia="zh-CN"/>
                    </w:rPr>
                    <w:t>/</w:t>
                  </w:r>
                </w:p>
              </w:tc>
              <w:tc>
                <w:tcPr>
                  <w:tcW w:w="985" w:type="pct"/>
                  <w:noWrap w:val="0"/>
                  <w:vAlign w:val="center"/>
                </w:tcPr>
                <w:p w14:paraId="5A6A34A6">
                  <w:pPr>
                    <w:autoSpaceDE w:val="0"/>
                    <w:autoSpaceDN w:val="0"/>
                    <w:adjustRightInd w:val="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lang w:val="en-US" w:eastAsia="zh-CN"/>
                    </w:rPr>
                    <w:t>0.</w:t>
                  </w:r>
                  <w:r>
                    <w:rPr>
                      <w:rFonts w:hint="eastAsia" w:cs="Times New Roman"/>
                      <w:color w:val="auto"/>
                      <w:szCs w:val="21"/>
                      <w:highlight w:val="none"/>
                      <w:lang w:val="en-US" w:eastAsia="zh-CN"/>
                    </w:rPr>
                    <w:t>656</w:t>
                  </w:r>
                </w:p>
              </w:tc>
              <w:tc>
                <w:tcPr>
                  <w:tcW w:w="1481" w:type="pct"/>
                  <w:noWrap w:val="0"/>
                  <w:vAlign w:val="center"/>
                </w:tcPr>
                <w:p w14:paraId="1746E98C">
                  <w:pPr>
                    <w:pStyle w:val="40"/>
                    <w:rPr>
                      <w:rFonts w:hint="default" w:ascii="Times New Roman" w:hAnsi="Times New Roman" w:eastAsia="宋体" w:cs="Times New Roman"/>
                      <w:snapToGrid w:val="0"/>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交由具有相关危险废物经营许可证的单位处理</w:t>
                  </w:r>
                </w:p>
              </w:tc>
            </w:tr>
            <w:tr w14:paraId="5113D0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7" w:type="pct"/>
                  <w:noWrap w:val="0"/>
                  <w:vAlign w:val="center"/>
                </w:tcPr>
                <w:p w14:paraId="3C4D8CB3">
                  <w:pPr>
                    <w:pStyle w:val="98"/>
                    <w:widowControl w:val="0"/>
                    <w:adjustRightInd w:val="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8</w:t>
                  </w:r>
                </w:p>
              </w:tc>
              <w:tc>
                <w:tcPr>
                  <w:tcW w:w="827" w:type="pct"/>
                  <w:noWrap w:val="0"/>
                  <w:vAlign w:val="center"/>
                </w:tcPr>
                <w:p w14:paraId="40E6C0CC">
                  <w:pPr>
                    <w:pStyle w:val="98"/>
                    <w:widowControl w:val="0"/>
                    <w:adjustRightInd w:val="0"/>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highlight w:val="none"/>
                    </w:rPr>
                    <w:t>检测</w:t>
                  </w:r>
                  <w:r>
                    <w:rPr>
                      <w:rFonts w:hint="default" w:ascii="Times New Roman" w:hAnsi="Times New Roman" w:eastAsia="宋体" w:cs="Times New Roman"/>
                      <w:color w:val="auto"/>
                      <w:sz w:val="21"/>
                      <w:szCs w:val="21"/>
                      <w:highlight w:val="none"/>
                      <w:lang w:val="en-US" w:eastAsia="zh-CN"/>
                    </w:rPr>
                    <w:t>前处理设备</w:t>
                  </w:r>
                  <w:r>
                    <w:rPr>
                      <w:rFonts w:hint="default" w:ascii="Times New Roman" w:hAnsi="Times New Roman" w:cs="Times New Roman"/>
                      <w:color w:val="auto"/>
                      <w:highlight w:val="none"/>
                    </w:rPr>
                    <w:t>用水</w:t>
                  </w:r>
                </w:p>
              </w:tc>
              <w:tc>
                <w:tcPr>
                  <w:tcW w:w="879" w:type="pct"/>
                  <w:noWrap w:val="0"/>
                  <w:vAlign w:val="center"/>
                </w:tcPr>
                <w:p w14:paraId="5E301498">
                  <w:pPr>
                    <w:pStyle w:val="98"/>
                    <w:widowControl w:val="0"/>
                    <w:adjustRightInd w:val="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9.3</w:t>
                  </w:r>
                </w:p>
              </w:tc>
              <w:tc>
                <w:tcPr>
                  <w:tcW w:w="985" w:type="pct"/>
                  <w:noWrap w:val="0"/>
                  <w:vAlign w:val="center"/>
                </w:tcPr>
                <w:p w14:paraId="54811AAC">
                  <w:pPr>
                    <w:autoSpaceDE w:val="0"/>
                    <w:autoSpaceDN w:val="0"/>
                    <w:adjustRightInd w:val="0"/>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w:t>
                  </w:r>
                </w:p>
              </w:tc>
              <w:tc>
                <w:tcPr>
                  <w:tcW w:w="1481" w:type="pct"/>
                  <w:noWrap w:val="0"/>
                  <w:vAlign w:val="center"/>
                </w:tcPr>
                <w:p w14:paraId="3306C573">
                  <w:pPr>
                    <w:pStyle w:val="40"/>
                    <w:rPr>
                      <w:rFonts w:hint="default" w:ascii="Times New Roman" w:hAnsi="Times New Roman" w:eastAsia="宋体" w:cs="Times New Roman"/>
                      <w:snapToGrid w:val="0"/>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损耗蒸发</w:t>
                  </w:r>
                </w:p>
              </w:tc>
            </w:tr>
            <w:tr w14:paraId="12E5CC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7" w:type="pct"/>
                  <w:noWrap w:val="0"/>
                  <w:vAlign w:val="center"/>
                </w:tcPr>
                <w:p w14:paraId="7FDA57E8">
                  <w:pPr>
                    <w:pStyle w:val="98"/>
                    <w:widowControl w:val="0"/>
                    <w:adjustRightInd w:val="0"/>
                    <w:jc w:val="center"/>
                    <w:rPr>
                      <w:rFonts w:hint="default" w:ascii="Times New Roman" w:hAnsi="Times New Roman" w:eastAsia="宋体" w:cs="Times New Roman"/>
                      <w:color w:val="auto"/>
                      <w:spacing w:val="6"/>
                      <w:kern w:val="0"/>
                      <w:sz w:val="21"/>
                      <w:szCs w:val="21"/>
                      <w:highlight w:val="none"/>
                      <w:lang w:val="en-US" w:eastAsia="zh-CN" w:bidi="ar"/>
                    </w:rPr>
                  </w:pPr>
                  <w:r>
                    <w:rPr>
                      <w:rFonts w:hint="default" w:ascii="Times New Roman" w:hAnsi="Times New Roman" w:eastAsia="宋体" w:cs="Times New Roman"/>
                      <w:color w:val="auto"/>
                      <w:spacing w:val="6"/>
                      <w:kern w:val="0"/>
                      <w:sz w:val="21"/>
                      <w:szCs w:val="21"/>
                      <w:highlight w:val="none"/>
                      <w:lang w:val="en-US" w:eastAsia="zh-CN" w:bidi="ar"/>
                    </w:rPr>
                    <w:t>9</w:t>
                  </w:r>
                </w:p>
              </w:tc>
              <w:tc>
                <w:tcPr>
                  <w:tcW w:w="827" w:type="pct"/>
                  <w:noWrap w:val="0"/>
                  <w:vAlign w:val="center"/>
                </w:tcPr>
                <w:p w14:paraId="4B7D0DAB">
                  <w:pPr>
                    <w:pStyle w:val="98"/>
                    <w:widowControl w:val="0"/>
                    <w:adjustRightInd w:val="0"/>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highlight w:val="none"/>
                    </w:rPr>
                    <w:t>喷淋用水</w:t>
                  </w:r>
                </w:p>
              </w:tc>
              <w:tc>
                <w:tcPr>
                  <w:tcW w:w="879" w:type="pct"/>
                  <w:noWrap w:val="0"/>
                  <w:vAlign w:val="center"/>
                </w:tcPr>
                <w:p w14:paraId="2BCD6910">
                  <w:pPr>
                    <w:pStyle w:val="98"/>
                    <w:widowControl w:val="0"/>
                    <w:adjustRightInd w:val="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31.5</w:t>
                  </w:r>
                </w:p>
              </w:tc>
              <w:tc>
                <w:tcPr>
                  <w:tcW w:w="985" w:type="pct"/>
                  <w:noWrap w:val="0"/>
                  <w:vAlign w:val="center"/>
                </w:tcPr>
                <w:p w14:paraId="2E9DF580">
                  <w:pPr>
                    <w:autoSpaceDE w:val="0"/>
                    <w:autoSpaceDN w:val="0"/>
                    <w:adjustRightInd w:val="0"/>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9</w:t>
                  </w:r>
                </w:p>
              </w:tc>
              <w:tc>
                <w:tcPr>
                  <w:tcW w:w="1481" w:type="pct"/>
                  <w:noWrap w:val="0"/>
                  <w:vAlign w:val="center"/>
                </w:tcPr>
                <w:p w14:paraId="3541AFBB">
                  <w:pPr>
                    <w:adjustRightIn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交由有废水处理能力的单位转移处理</w:t>
                  </w:r>
                </w:p>
              </w:tc>
            </w:tr>
            <w:tr w14:paraId="1D3072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54" w:type="pct"/>
                  <w:gridSpan w:val="2"/>
                  <w:noWrap w:val="0"/>
                  <w:vAlign w:val="center"/>
                </w:tcPr>
                <w:p w14:paraId="4299FC30">
                  <w:pPr>
                    <w:pStyle w:val="98"/>
                    <w:widowControl w:val="0"/>
                    <w:adjustRightInd w:val="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合计</w:t>
                  </w:r>
                </w:p>
              </w:tc>
              <w:tc>
                <w:tcPr>
                  <w:tcW w:w="879" w:type="pct"/>
                  <w:noWrap w:val="0"/>
                  <w:vAlign w:val="center"/>
                </w:tcPr>
                <w:p w14:paraId="273FE839">
                  <w:pPr>
                    <w:pStyle w:val="98"/>
                    <w:widowControl w:val="0"/>
                    <w:adjustRightInd w:val="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151.558</w:t>
                  </w:r>
                </w:p>
              </w:tc>
              <w:tc>
                <w:tcPr>
                  <w:tcW w:w="985" w:type="pct"/>
                  <w:noWrap w:val="0"/>
                  <w:vAlign w:val="center"/>
                </w:tcPr>
                <w:p w14:paraId="749D8CC2">
                  <w:pPr>
                    <w:autoSpaceDE w:val="0"/>
                    <w:autoSpaceDN w:val="0"/>
                    <w:adjustRightInd w:val="0"/>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107.198</w:t>
                  </w:r>
                </w:p>
              </w:tc>
              <w:tc>
                <w:tcPr>
                  <w:tcW w:w="1481" w:type="pct"/>
                  <w:noWrap w:val="0"/>
                  <w:vAlign w:val="center"/>
                </w:tcPr>
                <w:p w14:paraId="006F55E6">
                  <w:pPr>
                    <w:adjustRightInd w:val="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w:t>
                  </w:r>
                </w:p>
              </w:tc>
            </w:tr>
          </w:tbl>
          <w:p w14:paraId="056B6921">
            <w:pPr>
              <w:shd w:val="clear"/>
              <w:rPr>
                <w:rFonts w:hint="default" w:ascii="Times New Roman" w:hAnsi="Times New Roman" w:eastAsia="宋体" w:cs="Times New Roman"/>
                <w:b/>
                <w:bCs/>
                <w:color w:val="auto"/>
                <w:spacing w:val="-1"/>
                <w:sz w:val="24"/>
                <w:szCs w:val="24"/>
                <w:highlight w:val="none"/>
                <w:lang w:val="en-US" w:eastAsia="zh-CN"/>
              </w:rPr>
            </w:pPr>
          </w:p>
          <w:p w14:paraId="1C9A62A1">
            <w:pPr>
              <w:shd w:val="clear"/>
              <w:jc w:val="center"/>
              <w:rPr>
                <w:rFonts w:hint="default" w:ascii="Times New Roman" w:hAnsi="Times New Roman" w:eastAsia="宋体" w:cs="Times New Roman"/>
                <w:b/>
                <w:bCs/>
                <w:color w:val="auto"/>
                <w:spacing w:val="-1"/>
                <w:sz w:val="21"/>
                <w:szCs w:val="21"/>
                <w:highlight w:val="none"/>
                <w:lang w:val="en-US" w:eastAsia="zh-CN"/>
              </w:rPr>
            </w:pPr>
            <w:r>
              <w:rPr>
                <w:rFonts w:hint="default" w:ascii="Times New Roman" w:hAnsi="Times New Roman" w:eastAsia="宋体" w:cs="Times New Roman"/>
                <w:b/>
                <w:bCs/>
                <w:color w:val="auto"/>
                <w:spacing w:val="-1"/>
                <w:sz w:val="21"/>
                <w:szCs w:val="21"/>
                <w:highlight w:val="none"/>
                <w:lang w:val="en-US" w:eastAsia="zh-CN"/>
              </w:rPr>
              <w:object>
                <v:shape id="_x0000_i1025" o:spt="75" type="#_x0000_t75" style="height:438.05pt;width:424.45pt;" o:ole="t" filled="f" o:preferrelative="t" stroked="f" coordsize="21600,21600">
                  <v:path/>
                  <v:fill on="f" focussize="0,0"/>
                  <v:stroke on="f"/>
                  <v:imagedata r:id="rId15" o:title=""/>
                  <o:lock v:ext="edit" aspectratio="f"/>
                  <w10:wrap type="none"/>
                  <w10:anchorlock/>
                </v:shape>
                <o:OLEObject Type="Embed" ProgID="Visio.Drawing.15" ShapeID="_x0000_i1025" DrawAspect="Content" ObjectID="_1468075725" r:id="rId14">
                  <o:LockedField>false</o:LockedField>
                </o:OLEObject>
              </w:object>
            </w:r>
            <w:r>
              <w:rPr>
                <w:rFonts w:hint="eastAsia" w:cs="Times New Roman"/>
                <w:b/>
                <w:bCs/>
                <w:color w:val="auto"/>
                <w:spacing w:val="-1"/>
                <w:sz w:val="21"/>
                <w:szCs w:val="21"/>
                <w:highlight w:val="none"/>
                <w:lang w:val="en-US" w:eastAsia="zh-CN"/>
              </w:rPr>
              <w:t>图1水平衡图</w:t>
            </w:r>
          </w:p>
          <w:p w14:paraId="00CA728F">
            <w:pPr>
              <w:pageBreakBefore w:val="0"/>
              <w:widowControl w:val="0"/>
              <w:shd w:val="clear"/>
              <w:kinsoku/>
              <w:bidi w:val="0"/>
              <w:spacing w:line="360" w:lineRule="auto"/>
              <w:ind w:firstLine="478" w:firstLineChars="200"/>
              <w:jc w:val="both"/>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spacing w:val="-1"/>
                <w:sz w:val="24"/>
                <w:szCs w:val="24"/>
                <w:highlight w:val="none"/>
                <w:lang w:val="en-US" w:eastAsia="zh-CN"/>
              </w:rPr>
              <w:t>7、能耗情况</w:t>
            </w:r>
          </w:p>
          <w:p w14:paraId="0D3F5670">
            <w:pPr>
              <w:keepNext w:val="0"/>
              <w:keepLines w:val="0"/>
              <w:pageBreakBefore w:val="0"/>
              <w:widowControl w:val="0"/>
              <w:shd w:val="clear"/>
              <w:kinsoku/>
              <w:wordWrap/>
              <w:overflowPunct/>
              <w:topLinePunct w:val="0"/>
              <w:autoSpaceDE/>
              <w:autoSpaceDN/>
              <w:bidi w:val="0"/>
              <w:adjustRightInd/>
              <w:snapToGrid/>
              <w:spacing w:line="360" w:lineRule="auto"/>
              <w:ind w:firstLine="482" w:firstLineChars="200"/>
              <w:jc w:val="center"/>
              <w:textAlignment w:val="auto"/>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表</w:t>
            </w:r>
            <w:r>
              <w:rPr>
                <w:rFonts w:hint="eastAsia" w:cs="Times New Roman"/>
                <w:b/>
                <w:bCs/>
                <w:color w:val="auto"/>
                <w:kern w:val="2"/>
                <w:sz w:val="24"/>
                <w:szCs w:val="24"/>
                <w:highlight w:val="none"/>
                <w:lang w:val="en-US" w:eastAsia="zh-CN" w:bidi="ar-SA"/>
              </w:rPr>
              <w:t>11</w:t>
            </w:r>
            <w:r>
              <w:rPr>
                <w:rFonts w:hint="default" w:ascii="Times New Roman" w:hAnsi="Times New Roman" w:eastAsia="宋体" w:cs="Times New Roman"/>
                <w:b/>
                <w:bCs/>
                <w:color w:val="auto"/>
                <w:kern w:val="2"/>
                <w:sz w:val="24"/>
                <w:szCs w:val="24"/>
                <w:highlight w:val="none"/>
                <w:lang w:val="en-US" w:eastAsia="zh-CN" w:bidi="ar-SA"/>
              </w:rPr>
              <w:t>主要资源和能源消耗一览表</w:t>
            </w:r>
          </w:p>
          <w:tbl>
            <w:tblPr>
              <w:tblStyle w:val="34"/>
              <w:tblW w:w="509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73"/>
              <w:gridCol w:w="2037"/>
              <w:gridCol w:w="1681"/>
            </w:tblGrid>
            <w:tr w14:paraId="5051F0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73" w:type="dxa"/>
                  <w:noWrap w:val="0"/>
                  <w:vAlign w:val="center"/>
                </w:tcPr>
                <w:p w14:paraId="4A79E7D3">
                  <w:pPr>
                    <w:keepNext/>
                    <w:keepLines/>
                    <w:pageBreakBefore w:val="0"/>
                    <w:widowControl w:val="0"/>
                    <w:numPr>
                      <w:ilvl w:val="0"/>
                      <w:numId w:val="0"/>
                    </w:numPr>
                    <w:shd w:val="clear"/>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bCs w:val="0"/>
                      <w:color w:val="auto"/>
                      <w:kern w:val="2"/>
                      <w:sz w:val="21"/>
                      <w:szCs w:val="21"/>
                      <w:highlight w:val="none"/>
                      <w:vertAlign w:val="baseline"/>
                      <w:lang w:val="en-US" w:eastAsia="zh-CN" w:bidi="ar-SA"/>
                    </w:rPr>
                  </w:pPr>
                  <w:r>
                    <w:rPr>
                      <w:rFonts w:hint="default" w:ascii="Times New Roman" w:hAnsi="Times New Roman" w:eastAsia="宋体" w:cs="Times New Roman"/>
                      <w:b/>
                      <w:bCs w:val="0"/>
                      <w:color w:val="auto"/>
                      <w:kern w:val="2"/>
                      <w:sz w:val="21"/>
                      <w:szCs w:val="21"/>
                      <w:highlight w:val="none"/>
                      <w:vertAlign w:val="baseline"/>
                      <w:lang w:val="en-US" w:eastAsia="zh-CN" w:bidi="ar-SA"/>
                    </w:rPr>
                    <w:t>名称</w:t>
                  </w:r>
                </w:p>
              </w:tc>
              <w:tc>
                <w:tcPr>
                  <w:tcW w:w="2037" w:type="dxa"/>
                  <w:noWrap w:val="0"/>
                  <w:vAlign w:val="center"/>
                </w:tcPr>
                <w:p w14:paraId="7293E3C2">
                  <w:pPr>
                    <w:keepNext/>
                    <w:keepLines/>
                    <w:pageBreakBefore w:val="0"/>
                    <w:widowControl w:val="0"/>
                    <w:numPr>
                      <w:ilvl w:val="0"/>
                      <w:numId w:val="0"/>
                    </w:numPr>
                    <w:shd w:val="clear"/>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bCs w:val="0"/>
                      <w:color w:val="auto"/>
                      <w:kern w:val="2"/>
                      <w:sz w:val="21"/>
                      <w:szCs w:val="21"/>
                      <w:highlight w:val="none"/>
                      <w:vertAlign w:val="baseline"/>
                      <w:lang w:val="en-US" w:eastAsia="zh-CN" w:bidi="ar-SA"/>
                    </w:rPr>
                  </w:pPr>
                  <w:r>
                    <w:rPr>
                      <w:rFonts w:hint="default" w:ascii="Times New Roman" w:hAnsi="Times New Roman" w:eastAsia="宋体" w:cs="Times New Roman"/>
                      <w:b/>
                      <w:bCs w:val="0"/>
                      <w:color w:val="auto"/>
                      <w:kern w:val="2"/>
                      <w:sz w:val="21"/>
                      <w:szCs w:val="21"/>
                      <w:highlight w:val="none"/>
                      <w:vertAlign w:val="baseline"/>
                      <w:lang w:val="en-US" w:eastAsia="zh-CN" w:bidi="ar-SA"/>
                    </w:rPr>
                    <w:t>年用量</w:t>
                  </w:r>
                </w:p>
              </w:tc>
              <w:tc>
                <w:tcPr>
                  <w:tcW w:w="1681" w:type="dxa"/>
                  <w:noWrap w:val="0"/>
                  <w:vAlign w:val="center"/>
                </w:tcPr>
                <w:p w14:paraId="5CB36CD5">
                  <w:pPr>
                    <w:keepNext/>
                    <w:keepLines/>
                    <w:pageBreakBefore w:val="0"/>
                    <w:widowControl w:val="0"/>
                    <w:numPr>
                      <w:ilvl w:val="0"/>
                      <w:numId w:val="0"/>
                    </w:numPr>
                    <w:shd w:val="clear"/>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bCs w:val="0"/>
                      <w:color w:val="auto"/>
                      <w:kern w:val="2"/>
                      <w:sz w:val="21"/>
                      <w:szCs w:val="21"/>
                      <w:highlight w:val="none"/>
                      <w:vertAlign w:val="baseline"/>
                      <w:lang w:val="en-US" w:eastAsia="zh-CN" w:bidi="ar-SA"/>
                    </w:rPr>
                  </w:pPr>
                  <w:r>
                    <w:rPr>
                      <w:rFonts w:hint="default" w:ascii="Times New Roman" w:hAnsi="Times New Roman" w:eastAsia="宋体" w:cs="Times New Roman"/>
                      <w:b/>
                      <w:bCs w:val="0"/>
                      <w:color w:val="auto"/>
                      <w:kern w:val="2"/>
                      <w:sz w:val="21"/>
                      <w:szCs w:val="21"/>
                      <w:highlight w:val="none"/>
                      <w:vertAlign w:val="baseline"/>
                      <w:lang w:val="en-US" w:eastAsia="zh-CN" w:bidi="ar-SA"/>
                    </w:rPr>
                    <w:t>备注</w:t>
                  </w:r>
                </w:p>
              </w:tc>
            </w:tr>
            <w:tr w14:paraId="700A71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73" w:type="dxa"/>
                  <w:noWrap w:val="0"/>
                  <w:vAlign w:val="center"/>
                </w:tcPr>
                <w:p w14:paraId="37262C0B">
                  <w:pPr>
                    <w:keepNext/>
                    <w:keepLines/>
                    <w:pageBreakBefore w:val="0"/>
                    <w:widowControl w:val="0"/>
                    <w:numPr>
                      <w:ilvl w:val="0"/>
                      <w:numId w:val="0"/>
                    </w:numPr>
                    <w:shd w:val="clear"/>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color w:val="auto"/>
                      <w:kern w:val="2"/>
                      <w:sz w:val="21"/>
                      <w:szCs w:val="21"/>
                      <w:highlight w:val="none"/>
                      <w:vertAlign w:val="baseline"/>
                      <w:lang w:val="en-US" w:eastAsia="zh-CN" w:bidi="ar-SA"/>
                    </w:rPr>
                  </w:pPr>
                  <w:r>
                    <w:rPr>
                      <w:rFonts w:hint="default" w:ascii="Times New Roman" w:hAnsi="Times New Roman" w:eastAsia="宋体" w:cs="Times New Roman"/>
                      <w:b w:val="0"/>
                      <w:bCs/>
                      <w:color w:val="auto"/>
                      <w:kern w:val="2"/>
                      <w:sz w:val="21"/>
                      <w:szCs w:val="21"/>
                      <w:highlight w:val="none"/>
                      <w:vertAlign w:val="baseline"/>
                      <w:lang w:val="en-US" w:eastAsia="zh-CN" w:bidi="ar-SA"/>
                    </w:rPr>
                    <w:t>电</w:t>
                  </w:r>
                </w:p>
              </w:tc>
              <w:tc>
                <w:tcPr>
                  <w:tcW w:w="2037" w:type="dxa"/>
                  <w:noWrap w:val="0"/>
                  <w:vAlign w:val="center"/>
                </w:tcPr>
                <w:p w14:paraId="169DB797">
                  <w:pPr>
                    <w:keepNext/>
                    <w:keepLines/>
                    <w:pageBreakBefore w:val="0"/>
                    <w:widowControl w:val="0"/>
                    <w:numPr>
                      <w:ilvl w:val="0"/>
                      <w:numId w:val="0"/>
                    </w:numPr>
                    <w:shd w:val="clear"/>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color w:val="auto"/>
                      <w:kern w:val="2"/>
                      <w:sz w:val="21"/>
                      <w:szCs w:val="21"/>
                      <w:highlight w:val="none"/>
                      <w:vertAlign w:val="baseline"/>
                      <w:lang w:val="en-US" w:eastAsia="zh-CN" w:bidi="ar-SA"/>
                    </w:rPr>
                  </w:pPr>
                  <w:r>
                    <w:rPr>
                      <w:rFonts w:hint="eastAsia" w:cs="Times New Roman"/>
                      <w:b w:val="0"/>
                      <w:bCs/>
                      <w:color w:val="auto"/>
                      <w:kern w:val="2"/>
                      <w:sz w:val="21"/>
                      <w:szCs w:val="21"/>
                      <w:highlight w:val="none"/>
                      <w:vertAlign w:val="baseline"/>
                      <w:lang w:val="en-US" w:eastAsia="zh-CN" w:bidi="ar-SA"/>
                    </w:rPr>
                    <w:t>100</w:t>
                  </w:r>
                  <w:r>
                    <w:rPr>
                      <w:rFonts w:hint="default" w:ascii="Times New Roman" w:hAnsi="Times New Roman" w:eastAsia="宋体" w:cs="Times New Roman"/>
                      <w:b w:val="0"/>
                      <w:bCs/>
                      <w:color w:val="auto"/>
                      <w:kern w:val="2"/>
                      <w:sz w:val="21"/>
                      <w:szCs w:val="21"/>
                      <w:highlight w:val="none"/>
                      <w:vertAlign w:val="baseline"/>
                      <w:lang w:val="en-US" w:eastAsia="zh-CN" w:bidi="ar-SA"/>
                    </w:rPr>
                    <w:t>万度</w:t>
                  </w:r>
                </w:p>
              </w:tc>
              <w:tc>
                <w:tcPr>
                  <w:tcW w:w="1681" w:type="dxa"/>
                  <w:noWrap w:val="0"/>
                  <w:vAlign w:val="center"/>
                </w:tcPr>
                <w:p w14:paraId="1744E978">
                  <w:pPr>
                    <w:keepNext/>
                    <w:keepLines/>
                    <w:pageBreakBefore w:val="0"/>
                    <w:widowControl w:val="0"/>
                    <w:numPr>
                      <w:ilvl w:val="0"/>
                      <w:numId w:val="0"/>
                    </w:numPr>
                    <w:shd w:val="clear"/>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color w:val="auto"/>
                      <w:kern w:val="2"/>
                      <w:sz w:val="21"/>
                      <w:szCs w:val="21"/>
                      <w:highlight w:val="none"/>
                      <w:vertAlign w:val="baseline"/>
                      <w:lang w:val="en-US" w:eastAsia="zh-CN" w:bidi="ar-SA"/>
                    </w:rPr>
                  </w:pPr>
                  <w:r>
                    <w:rPr>
                      <w:rFonts w:hint="default" w:ascii="Times New Roman" w:hAnsi="Times New Roman" w:eastAsia="宋体" w:cs="Times New Roman"/>
                      <w:b w:val="0"/>
                      <w:bCs/>
                      <w:color w:val="auto"/>
                      <w:kern w:val="2"/>
                      <w:sz w:val="21"/>
                      <w:szCs w:val="21"/>
                      <w:highlight w:val="none"/>
                      <w:vertAlign w:val="baseline"/>
                      <w:lang w:val="en-US" w:eastAsia="zh-CN" w:bidi="ar-SA"/>
                    </w:rPr>
                    <w:t>市政供电</w:t>
                  </w:r>
                </w:p>
              </w:tc>
            </w:tr>
            <w:tr w14:paraId="44E26D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9" w:hRule="atLeast"/>
                <w:jc w:val="center"/>
              </w:trPr>
              <w:tc>
                <w:tcPr>
                  <w:tcW w:w="1373" w:type="dxa"/>
                  <w:noWrap w:val="0"/>
                  <w:vAlign w:val="center"/>
                </w:tcPr>
                <w:p w14:paraId="22892ED7">
                  <w:pPr>
                    <w:keepNext/>
                    <w:keepLines/>
                    <w:pageBreakBefore w:val="0"/>
                    <w:widowControl w:val="0"/>
                    <w:numPr>
                      <w:ilvl w:val="0"/>
                      <w:numId w:val="0"/>
                    </w:numPr>
                    <w:shd w:val="clear"/>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color w:val="auto"/>
                      <w:kern w:val="2"/>
                      <w:sz w:val="21"/>
                      <w:szCs w:val="21"/>
                      <w:highlight w:val="none"/>
                      <w:vertAlign w:val="baseline"/>
                      <w:lang w:val="en-US" w:eastAsia="zh-CN" w:bidi="ar-SA"/>
                    </w:rPr>
                  </w:pPr>
                  <w:r>
                    <w:rPr>
                      <w:rFonts w:hint="default" w:ascii="Times New Roman" w:hAnsi="Times New Roman" w:eastAsia="宋体" w:cs="Times New Roman"/>
                      <w:b w:val="0"/>
                      <w:bCs/>
                      <w:color w:val="auto"/>
                      <w:kern w:val="2"/>
                      <w:sz w:val="21"/>
                      <w:szCs w:val="21"/>
                      <w:highlight w:val="none"/>
                      <w:vertAlign w:val="baseline"/>
                      <w:lang w:val="en-US" w:eastAsia="zh-CN" w:bidi="ar-SA"/>
                    </w:rPr>
                    <w:t>水</w:t>
                  </w:r>
                </w:p>
              </w:tc>
              <w:tc>
                <w:tcPr>
                  <w:tcW w:w="2037" w:type="dxa"/>
                  <w:noWrap w:val="0"/>
                  <w:vAlign w:val="center"/>
                </w:tcPr>
                <w:p w14:paraId="52BF06DF">
                  <w:pPr>
                    <w:keepNext/>
                    <w:keepLines/>
                    <w:pageBreakBefore w:val="0"/>
                    <w:widowControl w:val="0"/>
                    <w:numPr>
                      <w:ilvl w:val="0"/>
                      <w:numId w:val="0"/>
                    </w:numPr>
                    <w:shd w:val="clear"/>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color w:val="auto"/>
                      <w:kern w:val="2"/>
                      <w:sz w:val="21"/>
                      <w:szCs w:val="21"/>
                      <w:highlight w:val="none"/>
                      <w:vertAlign w:val="baseline"/>
                      <w:lang w:val="en-US" w:eastAsia="zh-CN" w:bidi="ar-SA"/>
                    </w:rPr>
                  </w:pPr>
                  <w:r>
                    <w:rPr>
                      <w:rFonts w:hint="eastAsia" w:cs="Times New Roman"/>
                      <w:color w:val="auto"/>
                      <w:spacing w:val="20"/>
                      <w:highlight w:val="none"/>
                      <w:lang w:val="en-US" w:eastAsia="zh-CN"/>
                    </w:rPr>
                    <w:t>151.558</w:t>
                  </w:r>
                  <w:r>
                    <w:rPr>
                      <w:rFonts w:hint="default" w:ascii="Times New Roman" w:hAnsi="Times New Roman" w:eastAsia="宋体" w:cs="Times New Roman"/>
                      <w:color w:val="auto"/>
                      <w:spacing w:val="20"/>
                      <w:highlight w:val="none"/>
                      <w:lang w:val="en-US" w:eastAsia="zh-CN"/>
                    </w:rPr>
                    <w:t>吨</w:t>
                  </w:r>
                </w:p>
              </w:tc>
              <w:tc>
                <w:tcPr>
                  <w:tcW w:w="1681" w:type="dxa"/>
                  <w:noWrap w:val="0"/>
                  <w:vAlign w:val="center"/>
                </w:tcPr>
                <w:p w14:paraId="683F8114">
                  <w:pPr>
                    <w:keepNext/>
                    <w:keepLines/>
                    <w:pageBreakBefore w:val="0"/>
                    <w:widowControl w:val="0"/>
                    <w:numPr>
                      <w:ilvl w:val="0"/>
                      <w:numId w:val="0"/>
                    </w:numPr>
                    <w:shd w:val="clear"/>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color w:val="auto"/>
                      <w:kern w:val="2"/>
                      <w:sz w:val="21"/>
                      <w:szCs w:val="21"/>
                      <w:highlight w:val="none"/>
                      <w:vertAlign w:val="baseline"/>
                      <w:lang w:val="en-US" w:eastAsia="zh-CN" w:bidi="ar-SA"/>
                    </w:rPr>
                  </w:pPr>
                  <w:r>
                    <w:rPr>
                      <w:rFonts w:hint="default" w:ascii="Times New Roman" w:hAnsi="Times New Roman" w:eastAsia="宋体" w:cs="Times New Roman"/>
                      <w:b w:val="0"/>
                      <w:bCs/>
                      <w:color w:val="auto"/>
                      <w:kern w:val="2"/>
                      <w:sz w:val="21"/>
                      <w:szCs w:val="21"/>
                      <w:highlight w:val="none"/>
                      <w:vertAlign w:val="baseline"/>
                      <w:lang w:val="en-US" w:eastAsia="zh-CN" w:bidi="ar-SA"/>
                    </w:rPr>
                    <w:t>市政供水</w:t>
                  </w:r>
                </w:p>
              </w:tc>
            </w:tr>
          </w:tbl>
          <w:p w14:paraId="52DC39ED">
            <w:pPr>
              <w:keepNext w:val="0"/>
              <w:keepLines w:val="0"/>
              <w:pageBreakBefore w:val="0"/>
              <w:widowControl w:val="0"/>
              <w:numPr>
                <w:ilvl w:val="0"/>
                <w:numId w:val="7"/>
              </w:numPr>
              <w:shd w:val="clear"/>
              <w:kinsoku/>
              <w:wordWrap/>
              <w:overflowPunct/>
              <w:topLinePunct w:val="0"/>
              <w:autoSpaceDE/>
              <w:autoSpaceDN/>
              <w:bidi w:val="0"/>
              <w:adjustRightInd/>
              <w:snapToGrid/>
              <w:spacing w:line="360" w:lineRule="auto"/>
              <w:ind w:firstLine="482" w:firstLineChars="200"/>
              <w:jc w:val="both"/>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平面布置情况</w:t>
            </w:r>
          </w:p>
          <w:p w14:paraId="77FE9D5A">
            <w:pPr>
              <w:pStyle w:val="40"/>
              <w:shd w:val="clear"/>
              <w:spacing w:line="360" w:lineRule="auto"/>
              <w:ind w:firstLine="420" w:firstLineChars="200"/>
              <w:jc w:val="left"/>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项目</w:t>
            </w:r>
            <w:r>
              <w:rPr>
                <w:rFonts w:hint="eastAsia" w:ascii="Times New Roman" w:cs="Times New Roman"/>
                <w:b w:val="0"/>
                <w:bCs/>
                <w:color w:val="auto"/>
                <w:sz w:val="21"/>
                <w:szCs w:val="21"/>
                <w:highlight w:val="none"/>
                <w:lang w:val="en-US" w:eastAsia="zh-CN"/>
              </w:rPr>
              <w:t>租用</w:t>
            </w:r>
            <w:r>
              <w:rPr>
                <w:rFonts w:hint="default" w:ascii="Times New Roman" w:hAnsi="Times New Roman" w:eastAsia="宋体" w:cs="Times New Roman"/>
                <w:color w:val="auto"/>
                <w:sz w:val="21"/>
                <w:szCs w:val="21"/>
                <w:highlight w:val="none"/>
                <w:lang w:val="en-US" w:eastAsia="zh-CN"/>
              </w:rPr>
              <w:t>1栋</w:t>
            </w:r>
            <w:r>
              <w:rPr>
                <w:rFonts w:hint="eastAsia" w:ascii="Times New Roman" w:cs="Times New Roman"/>
                <w:color w:val="auto"/>
                <w:sz w:val="21"/>
                <w:szCs w:val="21"/>
                <w:highlight w:val="none"/>
                <w:lang w:val="en-US" w:eastAsia="zh-CN"/>
              </w:rPr>
              <w:t>（共8</w:t>
            </w:r>
            <w:r>
              <w:rPr>
                <w:rFonts w:hint="default" w:ascii="Times New Roman" w:hAnsi="Times New Roman" w:eastAsia="宋体" w:cs="Times New Roman"/>
                <w:color w:val="auto"/>
                <w:sz w:val="21"/>
                <w:szCs w:val="21"/>
                <w:highlight w:val="none"/>
                <w:lang w:val="en-US" w:eastAsia="zh-CN"/>
              </w:rPr>
              <w:t>层</w:t>
            </w:r>
            <w:r>
              <w:rPr>
                <w:rFonts w:hint="eastAsia" w:ascii="Times New Roman"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钢筋混凝土结构建筑</w:t>
            </w:r>
            <w:r>
              <w:rPr>
                <w:rFonts w:hint="eastAsia" w:ascii="Times New Roman" w:cs="Times New Roman"/>
                <w:b w:val="0"/>
                <w:bCs/>
                <w:color w:val="auto"/>
                <w:sz w:val="21"/>
                <w:szCs w:val="21"/>
                <w:highlight w:val="none"/>
                <w:lang w:val="en-US" w:eastAsia="zh-CN"/>
              </w:rPr>
              <w:t>的第八层南面区域，所在建筑</w:t>
            </w:r>
            <w:r>
              <w:rPr>
                <w:rFonts w:hint="eastAsia" w:cs="Times New Roman"/>
                <w:b w:val="0"/>
                <w:bCs/>
                <w:color w:val="auto"/>
                <w:sz w:val="21"/>
                <w:szCs w:val="21"/>
                <w:highlight w:val="none"/>
                <w:lang w:val="en-US" w:eastAsia="zh-CN"/>
              </w:rPr>
              <w:t>1层为华宇（中山）服装有限公司，2层为中山炫超照明科技有限公司，3层为腾泓电子（中山）有限公司，4层为赫斯莱德（广东）科技有限公司，5层为广东圣和电气工程有限公司，6层为宇成精密模具有限公司，7层为北面为深圳市凯威精密配件有限公司中山分公司、南面为中山市瑞耐博国际贸易有限公司，8层北面为中山众成财富企业管理合伙企业</w:t>
            </w:r>
            <w:r>
              <w:rPr>
                <w:rFonts w:hint="default" w:ascii="Times New Roman" w:hAnsi="Times New Roman" w:eastAsia="宋体" w:cs="Times New Roman"/>
                <w:b w:val="0"/>
                <w:bCs/>
                <w:color w:val="auto"/>
                <w:sz w:val="21"/>
                <w:szCs w:val="21"/>
                <w:highlight w:val="none"/>
                <w:lang w:val="en-US" w:eastAsia="zh-CN"/>
              </w:rPr>
              <w:t>。</w:t>
            </w:r>
            <w:r>
              <w:rPr>
                <w:rFonts w:hint="default" w:ascii="Times New Roman" w:hAnsi="Times New Roman" w:eastAsia="宋体" w:cs="Times New Roman"/>
                <w:color w:val="auto"/>
                <w:sz w:val="21"/>
                <w:szCs w:val="21"/>
                <w:highlight w:val="none"/>
                <w:lang w:eastAsia="zh-CN"/>
              </w:rPr>
              <w:t>项目最近敏感点（</w:t>
            </w:r>
            <w:r>
              <w:rPr>
                <w:rFonts w:hint="eastAsia" w:cs="Times New Roman"/>
                <w:color w:val="auto"/>
                <w:sz w:val="21"/>
                <w:szCs w:val="21"/>
                <w:highlight w:val="none"/>
                <w:lang w:val="en-US" w:eastAsia="zh-CN"/>
              </w:rPr>
              <w:t>西城派出所沙边驻警站</w:t>
            </w:r>
            <w:r>
              <w:rPr>
                <w:rFonts w:hint="default" w:ascii="Times New Roman" w:hAnsi="Times New Roman" w:eastAsia="宋体" w:cs="Times New Roman"/>
                <w:color w:val="auto"/>
                <w:sz w:val="21"/>
                <w:szCs w:val="21"/>
                <w:highlight w:val="none"/>
                <w:lang w:eastAsia="zh-CN"/>
              </w:rPr>
              <w:t>）位于项目</w:t>
            </w:r>
            <w:r>
              <w:rPr>
                <w:rFonts w:hint="eastAsia" w:ascii="Times New Roman" w:cs="Times New Roman"/>
                <w:color w:val="auto"/>
                <w:sz w:val="21"/>
                <w:szCs w:val="21"/>
                <w:highlight w:val="none"/>
                <w:lang w:val="en-US" w:eastAsia="zh-CN"/>
              </w:rPr>
              <w:t>东南</w:t>
            </w:r>
            <w:r>
              <w:rPr>
                <w:rFonts w:hint="default" w:ascii="Times New Roman" w:hAnsi="Times New Roman" w:eastAsia="宋体" w:cs="Times New Roman"/>
                <w:color w:val="auto"/>
                <w:sz w:val="21"/>
                <w:szCs w:val="21"/>
                <w:highlight w:val="none"/>
                <w:lang w:eastAsia="zh-CN"/>
              </w:rPr>
              <w:t>面</w:t>
            </w:r>
            <w:r>
              <w:rPr>
                <w:rFonts w:hint="default" w:ascii="Times New Roman" w:hAnsi="Times New Roman" w:eastAsia="宋体" w:cs="Times New Roman"/>
                <w:color w:val="auto"/>
                <w:sz w:val="21"/>
                <w:szCs w:val="21"/>
                <w:highlight w:val="none"/>
                <w:lang w:eastAsia="zh-CN"/>
              </w:rPr>
              <w:t>，距离项目约</w:t>
            </w:r>
            <w:r>
              <w:rPr>
                <w:rFonts w:hint="eastAsia" w:ascii="Times New Roman" w:cs="Times New Roman"/>
                <w:color w:val="auto"/>
                <w:sz w:val="21"/>
                <w:szCs w:val="21"/>
                <w:highlight w:val="none"/>
                <w:lang w:val="en-US" w:eastAsia="zh-CN"/>
              </w:rPr>
              <w:t>120</w:t>
            </w:r>
            <w:r>
              <w:rPr>
                <w:rFonts w:hint="default" w:ascii="Times New Roman" w:hAnsi="Times New Roman" w:eastAsia="宋体" w:cs="Times New Roman"/>
                <w:color w:val="auto"/>
                <w:sz w:val="21"/>
                <w:szCs w:val="21"/>
                <w:highlight w:val="none"/>
                <w:lang w:eastAsia="zh-CN"/>
              </w:rPr>
              <w:t>米</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产噪设备尽可能往厂区中部摆放，</w:t>
            </w:r>
            <w:r>
              <w:rPr>
                <w:rFonts w:hint="default" w:ascii="Times New Roman" w:hAnsi="Times New Roman" w:eastAsia="宋体" w:cs="Times New Roman"/>
                <w:color w:val="auto"/>
                <w:spacing w:val="7"/>
                <w:sz w:val="21"/>
                <w:szCs w:val="21"/>
                <w:highlight w:val="none"/>
                <w:lang w:val="en-US" w:eastAsia="zh-CN"/>
              </w:rPr>
              <w:t>高噪声设备位于厂区中部，</w:t>
            </w:r>
            <w:r>
              <w:rPr>
                <w:rFonts w:hint="default" w:ascii="Times New Roman" w:hAnsi="Times New Roman" w:eastAsia="宋体" w:cs="Times New Roman"/>
                <w:color w:val="auto"/>
                <w:sz w:val="21"/>
                <w:szCs w:val="21"/>
                <w:highlight w:val="none"/>
                <w:lang w:val="en-US" w:eastAsia="zh-CN"/>
              </w:rPr>
              <w:t>高噪声设备距离项目最近敏感点（</w:t>
            </w:r>
            <w:r>
              <w:rPr>
                <w:rFonts w:hint="eastAsia" w:cs="Times New Roman"/>
                <w:color w:val="auto"/>
                <w:sz w:val="21"/>
                <w:szCs w:val="21"/>
                <w:highlight w:val="none"/>
                <w:lang w:val="en-US" w:eastAsia="zh-CN"/>
              </w:rPr>
              <w:t>西城派出所沙边驻警站</w:t>
            </w:r>
            <w:r>
              <w:rPr>
                <w:rFonts w:hint="default"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为</w:t>
            </w:r>
            <w:r>
              <w:rPr>
                <w:rFonts w:hint="eastAsia" w:ascii="Times New Roman" w:cs="Times New Roman"/>
                <w:color w:val="auto"/>
                <w:sz w:val="21"/>
                <w:szCs w:val="21"/>
                <w:highlight w:val="none"/>
                <w:lang w:val="en-US" w:eastAsia="zh-CN"/>
              </w:rPr>
              <w:t>133</w:t>
            </w:r>
            <w:r>
              <w:rPr>
                <w:rFonts w:hint="default" w:ascii="Times New Roman" w:hAnsi="Times New Roman" w:eastAsia="宋体" w:cs="Times New Roman"/>
                <w:color w:val="auto"/>
                <w:sz w:val="21"/>
                <w:szCs w:val="21"/>
                <w:highlight w:val="none"/>
                <w:lang w:val="en-US" w:eastAsia="zh-CN"/>
              </w:rPr>
              <w:t>m</w:t>
            </w:r>
            <w:r>
              <w:rPr>
                <w:rFonts w:hint="default" w:ascii="Times New Roman" w:hAnsi="Times New Roman" w:eastAsia="宋体" w:cs="Times New Roman"/>
                <w:color w:val="auto"/>
                <w:spacing w:val="7"/>
                <w:sz w:val="21"/>
                <w:szCs w:val="21"/>
                <w:highlight w:val="none"/>
                <w:lang w:val="en-US" w:eastAsia="zh-CN"/>
              </w:rPr>
              <w:t>。项目主要产噪设备经墙壁隔声、减</w:t>
            </w:r>
            <w:r>
              <w:rPr>
                <w:rFonts w:hint="eastAsia" w:ascii="Times New Roman" w:cs="Times New Roman"/>
                <w:color w:val="auto"/>
                <w:spacing w:val="7"/>
                <w:sz w:val="21"/>
                <w:szCs w:val="21"/>
                <w:highlight w:val="none"/>
                <w:lang w:val="en-US" w:eastAsia="zh-CN"/>
              </w:rPr>
              <w:t>振</w:t>
            </w:r>
            <w:r>
              <w:rPr>
                <w:rFonts w:hint="default" w:ascii="Times New Roman" w:hAnsi="Times New Roman" w:eastAsia="宋体" w:cs="Times New Roman"/>
                <w:color w:val="auto"/>
                <w:spacing w:val="7"/>
                <w:sz w:val="21"/>
                <w:szCs w:val="21"/>
                <w:highlight w:val="none"/>
                <w:lang w:val="en-US" w:eastAsia="zh-CN"/>
              </w:rPr>
              <w:t>处理后，项目产生的噪声不会对周围敏感点造成影响。</w:t>
            </w:r>
            <w:r>
              <w:rPr>
                <w:rFonts w:hint="default" w:ascii="Times New Roman" w:hAnsi="Times New Roman" w:eastAsia="宋体" w:cs="Times New Roman"/>
                <w:color w:val="auto"/>
                <w:sz w:val="21"/>
                <w:szCs w:val="21"/>
                <w:highlight w:val="none"/>
                <w:lang w:val="en-US" w:eastAsia="zh-CN"/>
              </w:rPr>
              <w:t>项目酸雾废</w:t>
            </w:r>
            <w:r>
              <w:rPr>
                <w:rFonts w:hint="eastAsia" w:ascii="Times New Roman" w:cs="Times New Roman"/>
                <w:color w:val="auto"/>
                <w:sz w:val="21"/>
                <w:szCs w:val="21"/>
                <w:highlight w:val="none"/>
                <w:lang w:val="en-US" w:eastAsia="zh-CN"/>
              </w:rPr>
              <w:t>气</w:t>
            </w:r>
            <w:r>
              <w:rPr>
                <w:rFonts w:hint="default" w:ascii="Times New Roman" w:hAnsi="Times New Roman" w:eastAsia="宋体" w:cs="Times New Roman"/>
                <w:color w:val="auto"/>
                <w:sz w:val="21"/>
                <w:szCs w:val="21"/>
                <w:highlight w:val="none"/>
                <w:lang w:val="en-US" w:eastAsia="zh-CN"/>
              </w:rPr>
              <w:t>经通风柜收集后</w:t>
            </w:r>
            <w:r>
              <w:rPr>
                <w:rFonts w:hint="eastAsia" w:ascii="Times New Roman" w:cs="Times New Roman"/>
                <w:color w:val="auto"/>
                <w:sz w:val="21"/>
                <w:szCs w:val="21"/>
                <w:highlight w:val="none"/>
                <w:lang w:val="en-US" w:eastAsia="zh-CN"/>
              </w:rPr>
              <w:t>，经</w:t>
            </w:r>
            <w:r>
              <w:rPr>
                <w:rFonts w:hint="default" w:ascii="Times New Roman" w:hAnsi="Times New Roman" w:eastAsia="宋体" w:cs="Times New Roman"/>
                <w:color w:val="auto"/>
                <w:sz w:val="21"/>
                <w:szCs w:val="21"/>
                <w:highlight w:val="none"/>
                <w:lang w:val="en-US" w:eastAsia="zh-CN"/>
              </w:rPr>
              <w:t>碱液喷淋塔处理后</w:t>
            </w:r>
            <w:r>
              <w:rPr>
                <w:rFonts w:hint="eastAsia" w:ascii="Times New Roman" w:cs="Times New Roman"/>
                <w:color w:val="auto"/>
                <w:sz w:val="21"/>
                <w:szCs w:val="21"/>
                <w:highlight w:val="none"/>
                <w:lang w:val="en-US" w:eastAsia="zh-CN"/>
              </w:rPr>
              <w:t>通过G1</w:t>
            </w:r>
            <w:r>
              <w:rPr>
                <w:rFonts w:hint="default" w:ascii="Times New Roman" w:hAnsi="Times New Roman" w:eastAsia="宋体" w:cs="Times New Roman"/>
                <w:color w:val="auto"/>
                <w:sz w:val="21"/>
                <w:szCs w:val="21"/>
                <w:highlight w:val="none"/>
                <w:lang w:val="en-US" w:eastAsia="zh-CN"/>
              </w:rPr>
              <w:t>排气筒排放；</w:t>
            </w:r>
            <w:r>
              <w:rPr>
                <w:rFonts w:hint="eastAsia" w:ascii="Times New Roman" w:cs="Times New Roman"/>
                <w:color w:val="auto"/>
                <w:sz w:val="21"/>
                <w:szCs w:val="21"/>
                <w:highlight w:val="none"/>
                <w:lang w:val="en-US" w:eastAsia="zh-CN"/>
              </w:rPr>
              <w:t>项目</w:t>
            </w:r>
            <w:r>
              <w:rPr>
                <w:rFonts w:hint="default" w:ascii="Times New Roman" w:hAnsi="Times New Roman" w:eastAsia="宋体" w:cs="Times New Roman"/>
                <w:color w:val="auto"/>
                <w:sz w:val="21"/>
                <w:szCs w:val="21"/>
                <w:highlight w:val="none"/>
                <w:lang w:val="en-US" w:eastAsia="zh-CN"/>
              </w:rPr>
              <w:t>有机废气、粉尘废气一起经密闭车间+通风柜收集后汇入到1套</w:t>
            </w:r>
            <w:r>
              <w:rPr>
                <w:rFonts w:hint="eastAsia" w:ascii="Times New Roman" w:cs="Times New Roman"/>
                <w:color w:val="auto"/>
                <w:sz w:val="21"/>
                <w:szCs w:val="21"/>
                <w:highlight w:val="none"/>
                <w:lang w:val="en-US" w:eastAsia="zh-CN"/>
              </w:rPr>
              <w:t>单</w:t>
            </w:r>
            <w:r>
              <w:rPr>
                <w:rFonts w:hint="default" w:ascii="Times New Roman" w:hAnsi="Times New Roman" w:eastAsia="宋体" w:cs="Times New Roman"/>
                <w:color w:val="auto"/>
                <w:sz w:val="21"/>
                <w:szCs w:val="21"/>
                <w:highlight w:val="none"/>
                <w:lang w:val="en-US" w:eastAsia="zh-CN"/>
              </w:rPr>
              <w:t>级活性炭吸附装置进行处理后经</w:t>
            </w:r>
            <w:r>
              <w:rPr>
                <w:rFonts w:hint="eastAsia" w:ascii="Times New Roman" w:cs="Times New Roman"/>
                <w:color w:val="auto"/>
                <w:sz w:val="21"/>
                <w:szCs w:val="21"/>
                <w:highlight w:val="none"/>
                <w:lang w:val="en-US" w:eastAsia="zh-CN"/>
              </w:rPr>
              <w:t>G2</w:t>
            </w:r>
            <w:r>
              <w:rPr>
                <w:rFonts w:hint="default" w:ascii="Times New Roman" w:hAnsi="Times New Roman" w:eastAsia="宋体" w:cs="Times New Roman"/>
                <w:color w:val="auto"/>
                <w:sz w:val="21"/>
                <w:szCs w:val="21"/>
                <w:highlight w:val="none"/>
                <w:lang w:val="en-US" w:eastAsia="zh-CN"/>
              </w:rPr>
              <w:t>排气筒排放。生产废气排放口分布在厂区</w:t>
            </w:r>
            <w:r>
              <w:rPr>
                <w:rFonts w:hint="eastAsia" w:ascii="Times New Roman" w:cs="Times New Roman"/>
                <w:color w:val="auto"/>
                <w:sz w:val="21"/>
                <w:szCs w:val="21"/>
                <w:highlight w:val="none"/>
                <w:lang w:val="en-US" w:eastAsia="zh-CN"/>
              </w:rPr>
              <w:t>北</w:t>
            </w:r>
            <w:r>
              <w:rPr>
                <w:rFonts w:hint="default" w:ascii="Times New Roman" w:hAnsi="Times New Roman" w:eastAsia="宋体" w:cs="Times New Roman"/>
                <w:color w:val="auto"/>
                <w:sz w:val="21"/>
                <w:szCs w:val="21"/>
                <w:highlight w:val="none"/>
                <w:lang w:val="en-US" w:eastAsia="zh-CN"/>
              </w:rPr>
              <w:t>部，</w:t>
            </w:r>
            <w:r>
              <w:rPr>
                <w:rFonts w:hint="default" w:ascii="Times New Roman" w:hAnsi="Times New Roman" w:eastAsia="宋体" w:cs="Times New Roman"/>
                <w:color w:val="auto"/>
                <w:spacing w:val="7"/>
                <w:sz w:val="21"/>
                <w:szCs w:val="21"/>
                <w:highlight w:val="none"/>
                <w:lang w:val="en-US" w:eastAsia="zh-CN"/>
              </w:rPr>
              <w:t>G1排放口距离项目最近敏感点（</w:t>
            </w:r>
            <w:r>
              <w:rPr>
                <w:rFonts w:hint="eastAsia" w:cs="Times New Roman"/>
                <w:color w:val="auto"/>
                <w:sz w:val="21"/>
                <w:szCs w:val="21"/>
                <w:highlight w:val="none"/>
                <w:lang w:val="en-US" w:eastAsia="zh-CN"/>
              </w:rPr>
              <w:t>西城派出所沙边驻警站</w:t>
            </w:r>
            <w:r>
              <w:rPr>
                <w:rFonts w:hint="default" w:ascii="Times New Roman" w:hAnsi="Times New Roman" w:eastAsia="宋体" w:cs="Times New Roman"/>
                <w:color w:val="auto"/>
                <w:spacing w:val="7"/>
                <w:sz w:val="21"/>
                <w:szCs w:val="21"/>
                <w:highlight w:val="none"/>
                <w:lang w:val="en-US" w:eastAsia="zh-CN"/>
              </w:rPr>
              <w:t>）为</w:t>
            </w:r>
            <w:r>
              <w:rPr>
                <w:rFonts w:hint="eastAsia" w:ascii="Times New Roman" w:cs="Times New Roman"/>
                <w:color w:val="auto"/>
                <w:spacing w:val="7"/>
                <w:sz w:val="21"/>
                <w:szCs w:val="21"/>
                <w:highlight w:val="none"/>
                <w:lang w:val="en-US" w:eastAsia="zh-CN"/>
              </w:rPr>
              <w:t>146</w:t>
            </w:r>
            <w:r>
              <w:rPr>
                <w:rFonts w:hint="default" w:ascii="Times New Roman" w:hAnsi="Times New Roman" w:eastAsia="宋体" w:cs="Times New Roman"/>
                <w:color w:val="auto"/>
                <w:spacing w:val="7"/>
                <w:sz w:val="21"/>
                <w:szCs w:val="21"/>
                <w:highlight w:val="none"/>
                <w:lang w:val="en-US" w:eastAsia="zh-CN"/>
              </w:rPr>
              <w:t>m</w:t>
            </w:r>
            <w:r>
              <w:rPr>
                <w:rFonts w:hint="default" w:ascii="Times New Roman" w:hAnsi="Times New Roman" w:eastAsia="宋体" w:cs="Times New Roman"/>
                <w:color w:val="auto"/>
                <w:spacing w:val="7"/>
                <w:sz w:val="21"/>
                <w:szCs w:val="21"/>
                <w:highlight w:val="none"/>
                <w:lang w:val="en-US" w:eastAsia="zh-CN"/>
              </w:rPr>
              <w:t>，G2排放口距离项目最近敏感点（</w:t>
            </w:r>
            <w:r>
              <w:rPr>
                <w:rFonts w:hint="eastAsia" w:cs="Times New Roman"/>
                <w:color w:val="auto"/>
                <w:sz w:val="21"/>
                <w:szCs w:val="21"/>
                <w:highlight w:val="none"/>
                <w:lang w:val="en-US" w:eastAsia="zh-CN"/>
              </w:rPr>
              <w:t>西城派出所沙边驻警站</w:t>
            </w:r>
            <w:r>
              <w:rPr>
                <w:rFonts w:hint="default" w:ascii="Times New Roman" w:hAnsi="Times New Roman" w:eastAsia="宋体" w:cs="Times New Roman"/>
                <w:color w:val="auto"/>
                <w:spacing w:val="7"/>
                <w:sz w:val="21"/>
                <w:szCs w:val="21"/>
                <w:highlight w:val="none"/>
                <w:lang w:val="en-US" w:eastAsia="zh-CN"/>
              </w:rPr>
              <w:t>）为</w:t>
            </w:r>
            <w:r>
              <w:rPr>
                <w:rFonts w:hint="eastAsia" w:ascii="Times New Roman" w:cs="Times New Roman"/>
                <w:color w:val="auto"/>
                <w:spacing w:val="7"/>
                <w:sz w:val="21"/>
                <w:szCs w:val="21"/>
                <w:highlight w:val="none"/>
                <w:lang w:val="en-US" w:eastAsia="zh-CN"/>
              </w:rPr>
              <w:t>144</w:t>
            </w:r>
            <w:r>
              <w:rPr>
                <w:rFonts w:hint="default" w:ascii="Times New Roman" w:hAnsi="Times New Roman" w:eastAsia="宋体" w:cs="Times New Roman"/>
                <w:color w:val="auto"/>
                <w:spacing w:val="7"/>
                <w:sz w:val="21"/>
                <w:szCs w:val="21"/>
                <w:highlight w:val="none"/>
                <w:lang w:val="en-US" w:eastAsia="zh-CN"/>
              </w:rPr>
              <w:t>m</w:t>
            </w:r>
            <w:r>
              <w:rPr>
                <w:rFonts w:hint="default" w:ascii="Times New Roman" w:hAnsi="Times New Roman" w:eastAsia="宋体" w:cs="Times New Roman"/>
                <w:color w:val="auto"/>
                <w:spacing w:val="7"/>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废气经治理后达标排放，排放废气不会对周围敏感点造成影响，</w:t>
            </w:r>
            <w:r>
              <w:rPr>
                <w:rFonts w:hint="default" w:ascii="Times New Roman" w:hAnsi="Times New Roman" w:eastAsia="宋体" w:cs="Times New Roman"/>
                <w:color w:val="auto"/>
                <w:sz w:val="21"/>
                <w:szCs w:val="21"/>
                <w:highlight w:val="none"/>
                <w:lang w:eastAsia="zh-CN"/>
              </w:rPr>
              <w:t>因此本项目的平面布置基本合理</w:t>
            </w:r>
            <w:r>
              <w:rPr>
                <w:rFonts w:hint="default" w:ascii="Times New Roman" w:hAnsi="Times New Roman" w:eastAsia="宋体" w:cs="Times New Roman"/>
                <w:color w:val="auto"/>
                <w:sz w:val="21"/>
                <w:szCs w:val="21"/>
                <w:highlight w:val="none"/>
                <w:lang w:val="en-US" w:eastAsia="zh-CN"/>
              </w:rPr>
              <w:t>。</w:t>
            </w:r>
          </w:p>
          <w:p w14:paraId="00FD285C">
            <w:pPr>
              <w:keepNext w:val="0"/>
              <w:keepLines w:val="0"/>
              <w:pageBreakBefore w:val="0"/>
              <w:widowControl w:val="0"/>
              <w:shd w:val="clear"/>
              <w:kinsoku/>
              <w:wordWrap/>
              <w:overflowPunct/>
              <w:topLinePunct w:val="0"/>
              <w:autoSpaceDE/>
              <w:autoSpaceDN/>
              <w:bidi w:val="0"/>
              <w:adjustRightInd/>
              <w:snapToGrid/>
              <w:spacing w:line="360" w:lineRule="auto"/>
              <w:ind w:left="0" w:firstLine="482" w:firstLineChars="200"/>
              <w:jc w:val="both"/>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9、项目四至情况</w:t>
            </w:r>
          </w:p>
          <w:p w14:paraId="00C7314A">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sz w:val="21"/>
                <w:szCs w:val="21"/>
                <w:highlight w:val="none"/>
                <w:lang w:val="en-US" w:eastAsia="zh-CN"/>
              </w:rPr>
              <w:t>本项目</w:t>
            </w:r>
            <w:r>
              <w:rPr>
                <w:rFonts w:hint="eastAsia" w:cs="Times New Roman"/>
                <w:color w:val="auto"/>
                <w:sz w:val="21"/>
                <w:szCs w:val="21"/>
                <w:highlight w:val="none"/>
                <w:lang w:val="en-US" w:eastAsia="zh-CN"/>
              </w:rPr>
              <w:t>租用</w:t>
            </w:r>
            <w:r>
              <w:rPr>
                <w:rFonts w:hint="default" w:ascii="Times New Roman" w:hAnsi="Times New Roman" w:eastAsia="宋体" w:cs="Times New Roman"/>
                <w:color w:val="auto"/>
                <w:sz w:val="21"/>
                <w:szCs w:val="21"/>
                <w:highlight w:val="none"/>
                <w:lang w:val="en-US" w:eastAsia="zh-CN"/>
              </w:rPr>
              <w:t>在1栋（共</w:t>
            </w:r>
            <w:r>
              <w:rPr>
                <w:rFonts w:hint="eastAsia" w:cs="Times New Roman"/>
                <w:color w:val="auto"/>
                <w:sz w:val="21"/>
                <w:szCs w:val="21"/>
                <w:highlight w:val="none"/>
                <w:lang w:val="en-US" w:eastAsia="zh-CN"/>
              </w:rPr>
              <w:t>8</w:t>
            </w:r>
            <w:r>
              <w:rPr>
                <w:rFonts w:hint="default" w:ascii="Times New Roman" w:hAnsi="Times New Roman" w:eastAsia="宋体" w:cs="Times New Roman"/>
                <w:color w:val="auto"/>
                <w:sz w:val="21"/>
                <w:szCs w:val="21"/>
                <w:highlight w:val="none"/>
                <w:lang w:val="en-US" w:eastAsia="zh-CN"/>
              </w:rPr>
              <w:t>层）钢混结构厂房的第</w:t>
            </w:r>
            <w:r>
              <w:rPr>
                <w:rFonts w:hint="eastAsia" w:cs="Times New Roman"/>
                <w:color w:val="auto"/>
                <w:sz w:val="21"/>
                <w:szCs w:val="21"/>
                <w:highlight w:val="none"/>
                <w:lang w:val="en-US" w:eastAsia="zh-CN"/>
              </w:rPr>
              <w:t>八层南面区域，</w:t>
            </w:r>
            <w:r>
              <w:rPr>
                <w:rFonts w:hint="eastAsia" w:ascii="Times New Roman" w:cs="Times New Roman"/>
                <w:b w:val="0"/>
                <w:bCs/>
                <w:color w:val="auto"/>
                <w:sz w:val="21"/>
                <w:szCs w:val="21"/>
                <w:highlight w:val="none"/>
                <w:lang w:val="en-US" w:eastAsia="zh-CN"/>
              </w:rPr>
              <w:t>所在建筑</w:t>
            </w:r>
            <w:r>
              <w:rPr>
                <w:rFonts w:hint="eastAsia" w:cs="Times New Roman"/>
                <w:b w:val="0"/>
                <w:bCs/>
                <w:color w:val="auto"/>
                <w:sz w:val="21"/>
                <w:szCs w:val="21"/>
                <w:highlight w:val="none"/>
                <w:lang w:val="en-US" w:eastAsia="zh-CN"/>
              </w:rPr>
              <w:t>1层为华宇（中山）服装有限公司，2层为中山炫超照明科技有限公司，3层为腾泓电子（中山）有限公司，4层为赫斯莱德（广东）科技有限公司，5层为广东圣和电气工程有限公司，6层为宇成精密模具有限公司，7层为北面为深圳市凯威精密配件有限公司中山分公司、南面为中山市瑞耐博国际贸易有限公司，8层北面为中山众成财富企业管理合伙企业</w:t>
            </w:r>
            <w:r>
              <w:rPr>
                <w:rFonts w:hint="default" w:ascii="Times New Roman" w:hAnsi="Times New Roman" w:eastAsia="宋体" w:cs="Times New Roman"/>
                <w:b w:val="0"/>
                <w:bCs/>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项目所在</w:t>
            </w:r>
            <w:r>
              <w:rPr>
                <w:rFonts w:hint="eastAsia" w:cs="Times New Roman"/>
                <w:color w:val="auto"/>
                <w:sz w:val="21"/>
                <w:szCs w:val="21"/>
                <w:highlight w:val="none"/>
                <w:lang w:val="en-US" w:eastAsia="zh-CN"/>
              </w:rPr>
              <w:t>地</w:t>
            </w:r>
            <w:r>
              <w:rPr>
                <w:rFonts w:hint="default" w:ascii="Times New Roman" w:hAnsi="Times New Roman" w:eastAsia="宋体" w:cs="Times New Roman"/>
                <w:color w:val="auto"/>
                <w:sz w:val="21"/>
                <w:szCs w:val="21"/>
                <w:highlight w:val="none"/>
                <w:lang w:val="en-US" w:eastAsia="zh-CN"/>
              </w:rPr>
              <w:t>西面为</w:t>
            </w:r>
            <w:r>
              <w:rPr>
                <w:rFonts w:ascii="Arial" w:hAnsi="Arial" w:eastAsia="宋体" w:cs="Arial"/>
                <w:b w:val="0"/>
                <w:bCs w:val="0"/>
                <w:i w:val="0"/>
                <w:iCs w:val="0"/>
                <w:caps w:val="0"/>
                <w:color w:val="auto"/>
                <w:spacing w:val="0"/>
                <w:sz w:val="21"/>
                <w:szCs w:val="21"/>
                <w:highlight w:val="none"/>
                <w:shd w:val="clear" w:fill="FFFFFF"/>
              </w:rPr>
              <w:t>协昱电子</w:t>
            </w:r>
            <w:r>
              <w:rPr>
                <w:rFonts w:hint="eastAsia" w:ascii="Arial" w:hAnsi="Arial" w:cs="Arial"/>
                <w:b w:val="0"/>
                <w:bCs w:val="0"/>
                <w:i w:val="0"/>
                <w:iCs w:val="0"/>
                <w:caps w:val="0"/>
                <w:color w:val="auto"/>
                <w:spacing w:val="0"/>
                <w:sz w:val="21"/>
                <w:szCs w:val="21"/>
                <w:highlight w:val="none"/>
                <w:shd w:val="clear" w:fill="FFFFFF"/>
                <w:lang w:val="en-US" w:eastAsia="zh-CN"/>
              </w:rPr>
              <w:t>公司</w:t>
            </w:r>
            <w:r>
              <w:rPr>
                <w:rFonts w:hint="default" w:ascii="Times New Roman" w:hAnsi="Times New Roman" w:eastAsia="宋体" w:cs="Times New Roman"/>
                <w:color w:val="auto"/>
                <w:sz w:val="21"/>
                <w:szCs w:val="21"/>
                <w:highlight w:val="none"/>
                <w:lang w:val="en-US" w:eastAsia="zh-CN"/>
              </w:rPr>
              <w:t>；南面为</w:t>
            </w:r>
            <w:r>
              <w:rPr>
                <w:rFonts w:hint="eastAsia" w:cs="Times New Roman"/>
                <w:color w:val="auto"/>
                <w:sz w:val="21"/>
                <w:szCs w:val="21"/>
                <w:highlight w:val="none"/>
                <w:lang w:val="en-US" w:eastAsia="zh-CN"/>
              </w:rPr>
              <w:t>沙边路</w:t>
            </w:r>
            <w:r>
              <w:rPr>
                <w:rFonts w:hint="default"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隔路为润兴达工业园</w:t>
            </w:r>
            <w:r>
              <w:rPr>
                <w:rFonts w:hint="default" w:ascii="Times New Roman" w:hAnsi="Times New Roman" w:eastAsia="宋体" w:cs="Times New Roman"/>
                <w:color w:val="auto"/>
                <w:sz w:val="21"/>
                <w:szCs w:val="21"/>
                <w:highlight w:val="none"/>
                <w:lang w:val="en-US" w:eastAsia="zh-CN"/>
              </w:rPr>
              <w:t>；东面为</w:t>
            </w:r>
            <w:r>
              <w:rPr>
                <w:rFonts w:hint="eastAsia" w:cs="Times New Roman"/>
                <w:color w:val="auto"/>
                <w:sz w:val="21"/>
                <w:szCs w:val="21"/>
                <w:highlight w:val="none"/>
                <w:lang w:val="en-US" w:eastAsia="zh-CN"/>
              </w:rPr>
              <w:t>保安室和广东靖鹏电力工程有限公司</w:t>
            </w:r>
            <w:r>
              <w:rPr>
                <w:rFonts w:hint="default" w:ascii="Times New Roman" w:hAnsi="Times New Roman" w:eastAsia="宋体" w:cs="Times New Roman"/>
                <w:color w:val="auto"/>
                <w:sz w:val="21"/>
                <w:szCs w:val="21"/>
                <w:highlight w:val="none"/>
                <w:lang w:val="en-US" w:eastAsia="zh-CN"/>
              </w:rPr>
              <w:t>；北面为</w:t>
            </w:r>
            <w:r>
              <w:rPr>
                <w:rFonts w:hint="eastAsia" w:cs="Times New Roman"/>
                <w:color w:val="auto"/>
                <w:sz w:val="21"/>
                <w:szCs w:val="21"/>
                <w:highlight w:val="none"/>
                <w:lang w:val="en-US" w:eastAsia="zh-CN"/>
              </w:rPr>
              <w:t>欧科木业有限公司和</w:t>
            </w:r>
            <w:r>
              <w:rPr>
                <w:rFonts w:hint="eastAsia" w:cs="Times New Roman"/>
                <w:b w:val="0"/>
                <w:bCs/>
                <w:color w:val="auto"/>
                <w:sz w:val="21"/>
                <w:szCs w:val="21"/>
                <w:highlight w:val="none"/>
                <w:lang w:val="en-US" w:eastAsia="zh-CN"/>
              </w:rPr>
              <w:t>中山众成财富企业管理合伙企业</w:t>
            </w:r>
            <w:r>
              <w:rPr>
                <w:rFonts w:hint="default" w:ascii="Times New Roman" w:hAnsi="Times New Roman" w:eastAsia="宋体" w:cs="Times New Roman"/>
                <w:color w:val="auto"/>
                <w:sz w:val="21"/>
                <w:szCs w:val="21"/>
                <w:highlight w:val="none"/>
                <w:lang w:val="en-US" w:eastAsia="zh-CN"/>
              </w:rPr>
              <w:t>。</w:t>
            </w:r>
          </w:p>
          <w:p w14:paraId="0EF63668">
            <w:pPr>
              <w:pStyle w:val="40"/>
              <w:keepNext w:val="0"/>
              <w:keepLines w:val="0"/>
              <w:pageBreakBefore w:val="0"/>
              <w:widowControl w:val="0"/>
              <w:shd w:val="clear"/>
              <w:kinsoku/>
              <w:bidi w:val="0"/>
              <w:snapToGrid/>
              <w:spacing w:line="360" w:lineRule="auto"/>
              <w:ind w:firstLine="420" w:firstLineChars="200"/>
              <w:jc w:val="both"/>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sz w:val="21"/>
                <w:szCs w:val="21"/>
                <w:highlight w:val="none"/>
              </w:rPr>
              <w:t>项目四至情况详见附图</w:t>
            </w:r>
            <w:r>
              <w:rPr>
                <w:rFonts w:hint="default" w:ascii="Times New Roman" w:hAnsi="Times New Roman" w:eastAsia="宋体" w:cs="Times New Roman"/>
                <w:color w:val="auto"/>
                <w:sz w:val="21"/>
                <w:szCs w:val="21"/>
                <w:highlight w:val="none"/>
                <w:lang w:val="en-US" w:eastAsia="zh-CN"/>
              </w:rPr>
              <w:t>1</w:t>
            </w:r>
            <w:r>
              <w:rPr>
                <w:rFonts w:hint="eastAsia" w:ascii="Times New Roman" w:hAnsi="Times New Roman" w:eastAsia="宋体" w:cs="Times New Roman"/>
                <w:color w:val="auto"/>
                <w:sz w:val="21"/>
                <w:szCs w:val="21"/>
                <w:highlight w:val="none"/>
                <w:lang w:val="en-US" w:eastAsia="zh-CN"/>
              </w:rPr>
              <w:t>。</w:t>
            </w:r>
          </w:p>
        </w:tc>
      </w:tr>
      <w:tr w14:paraId="719F40D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46" w:hRule="atLeast"/>
        </w:trPr>
        <w:tc>
          <w:tcPr>
            <w:tcW w:w="588" w:type="dxa"/>
            <w:noWrap w:val="0"/>
            <w:vAlign w:val="center"/>
          </w:tcPr>
          <w:p w14:paraId="053EF8B4">
            <w:pPr>
              <w:pStyle w:val="30"/>
              <w:shd w:val="clear"/>
              <w:adjustRightInd w:val="0"/>
              <w:snapToGrid w:val="0"/>
              <w:spacing w:before="0" w:beforeAutospacing="0" w:after="0" w:afterAutospacing="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工艺流程和产排污环节</w:t>
            </w:r>
          </w:p>
        </w:tc>
        <w:tc>
          <w:tcPr>
            <w:tcW w:w="8396" w:type="dxa"/>
            <w:noWrap w:val="0"/>
            <w:vAlign w:val="top"/>
          </w:tcPr>
          <w:p w14:paraId="72F057B0">
            <w:pPr>
              <w:shd w:val="clear"/>
              <w:adjustRightInd w:val="0"/>
              <w:snapToGrid w:val="0"/>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工艺流程简述：</w:t>
            </w:r>
          </w:p>
          <w:p w14:paraId="0BEA6717">
            <w:pPr>
              <w:numPr>
                <w:ilvl w:val="0"/>
                <w:numId w:val="8"/>
              </w:numPr>
              <w:shd w:val="clear"/>
              <w:adjustRightInd w:val="0"/>
              <w:snapToGrid w:val="0"/>
              <w:ind w:firstLine="422" w:firstLineChars="200"/>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cs="Times New Roman"/>
                <w:b/>
                <w:bCs/>
                <w:color w:val="auto"/>
                <w:highlight w:val="none"/>
              </w:rPr>
              <w:t>样品检测总工艺</w:t>
            </w:r>
            <w:r>
              <w:rPr>
                <w:rFonts w:hint="eastAsia"/>
                <w:b/>
                <w:bCs/>
                <w:color w:val="auto"/>
                <w:highlight w:val="none"/>
                <w:lang w:val="en-US" w:eastAsia="zh-CN"/>
              </w:rPr>
              <w:t>流程图</w:t>
            </w:r>
            <w:r>
              <w:rPr>
                <w:rFonts w:hint="default" w:ascii="Times New Roman" w:hAnsi="Times New Roman" w:eastAsia="宋体" w:cs="Times New Roman"/>
                <w:b/>
                <w:bCs/>
                <w:color w:val="auto"/>
                <w:sz w:val="24"/>
                <w:szCs w:val="24"/>
                <w:highlight w:val="none"/>
                <w:lang w:val="en-US" w:eastAsia="zh-CN"/>
              </w:rPr>
              <w:t>：</w:t>
            </w:r>
          </w:p>
          <w:p w14:paraId="5A68107A">
            <w:pPr>
              <w:pStyle w:val="40"/>
              <w:widowControl w:val="0"/>
              <w:numPr>
                <w:ilvl w:val="0"/>
                <w:numId w:val="0"/>
              </w:numPr>
              <w:shd w:val="clear"/>
              <w:wordWrap w:val="0"/>
              <w:overflowPunct w:val="0"/>
              <w:topLinePunct/>
              <w:autoSpaceDE w:val="0"/>
              <w:autoSpaceDN w:val="0"/>
              <w:adjustRightInd w:val="0"/>
              <w:jc w:val="center"/>
              <w:rPr>
                <w:rFonts w:hint="default"/>
                <w:color w:val="auto"/>
                <w:highlight w:val="none"/>
                <w:lang w:val="en-US" w:eastAsia="zh-CN"/>
              </w:rPr>
            </w:pPr>
            <w:r>
              <w:rPr>
                <w:color w:val="auto"/>
                <w:sz w:val="24"/>
                <w:highlight w:val="none"/>
              </w:rPr>
              <mc:AlternateContent>
                <mc:Choice Requires="wpc">
                  <w:drawing>
                    <wp:inline distT="0" distB="0" distL="114300" distR="114300">
                      <wp:extent cx="4685030" cy="2596515"/>
                      <wp:effectExtent l="0" t="0" r="0" b="13335"/>
                      <wp:docPr id="132" name="画布 132"/>
                      <wp:cNvGraphicFramePr/>
                      <a:graphic xmlns:a="http://schemas.openxmlformats.org/drawingml/2006/main">
                        <a:graphicData uri="http://schemas.microsoft.com/office/word/2010/wordprocessingCanvas">
                          <wpc:wpc>
                            <wpc:bg/>
                            <wpc:whole/>
                            <pic:pic xmlns:pic="http://schemas.openxmlformats.org/drawingml/2006/picture">
                              <pic:nvPicPr>
                                <pic:cNvPr id="6" name="图片 3"/>
                                <pic:cNvPicPr>
                                  <a:picLocks noChangeAspect="1"/>
                                </pic:cNvPicPr>
                              </pic:nvPicPr>
                              <pic:blipFill>
                                <a:blip r:embed="rId16"/>
                                <a:stretch>
                                  <a:fillRect/>
                                </a:stretch>
                              </pic:blipFill>
                              <pic:spPr>
                                <a:xfrm>
                                  <a:off x="0" y="0"/>
                                  <a:ext cx="4586607" cy="2596515"/>
                                </a:xfrm>
                                <a:prstGeom prst="rect">
                                  <a:avLst/>
                                </a:prstGeom>
                                <a:noFill/>
                                <a:ln>
                                  <a:noFill/>
                                </a:ln>
                              </pic:spPr>
                            </pic:pic>
                          </wpc:wpc>
                        </a:graphicData>
                      </a:graphic>
                    </wp:inline>
                  </w:drawing>
                </mc:Choice>
                <mc:Fallback>
                  <w:pict>
                    <v:group id="_x0000_s1026" o:spid="_x0000_s1026" o:spt="203" style="height:204.45pt;width:368.9pt;" coordsize="4685030,2596515" editas="canvas" o:gfxdata="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">
                      <o:lock v:ext="edit" aspectratio="f"/>
                      <v:shape id="_x0000_s1026" o:spid="_x0000_s1026" style="position:absolute;left:0;top:0;height:2596515;width:4685030;" filled="f" stroked="f" coordsize="21600,21600" o:gfxdata="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">
                        <v:fill on="f" focussize="0,0"/>
                        <v:stroke on="f"/>
                        <v:imagedata o:title=""/>
                        <o:lock v:ext="edit" aspectratio="f"/>
                      </v:shape>
                      <v:shape id="图片 3" o:spid="_x0000_s1026" o:spt="75" type="#_x0000_t75" style="position:absolute;left:0;top:0;height:2596515;width:4586607;" filled="f" o:preferrelative="t" stroked="f" coordsize="21600,21600" o:gfxdata="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">
                        <v:fill on="f" focussize="0,0"/>
                        <v:stroke on="f"/>
                        <v:imagedata r:id="rId16" o:title=""/>
                        <o:lock v:ext="edit" aspectratio="t"/>
                      </v:shape>
                      <w10:wrap type="none"/>
                      <w10:anchorlock/>
                    </v:group>
                  </w:pict>
                </mc:Fallback>
              </mc:AlternateContent>
            </w:r>
          </w:p>
          <w:p w14:paraId="73BB926E">
            <w:pPr>
              <w:keepNext w:val="0"/>
              <w:keepLines w:val="0"/>
              <w:pageBreakBefore w:val="0"/>
              <w:widowControl w:val="0"/>
              <w:shd w:val="clear"/>
              <w:kinsoku/>
              <w:wordWrap/>
              <w:overflowPunct/>
              <w:topLinePunct w:val="0"/>
              <w:autoSpaceDE/>
              <w:autoSpaceDN/>
              <w:bidi w:val="0"/>
              <w:adjustRightInd w:val="0"/>
              <w:snapToGrid w:val="0"/>
              <w:spacing w:line="360" w:lineRule="auto"/>
              <w:ind w:firstLine="422" w:firstLineChars="200"/>
              <w:jc w:val="center"/>
              <w:textAlignment w:val="auto"/>
              <w:rPr>
                <w:rFonts w:hint="eastAsia"/>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图2项目</w:t>
            </w:r>
            <w:r>
              <w:rPr>
                <w:rFonts w:hint="eastAsia"/>
                <w:b/>
                <w:bCs/>
                <w:color w:val="auto"/>
                <w:sz w:val="21"/>
                <w:szCs w:val="21"/>
                <w:highlight w:val="none"/>
                <w:lang w:val="en-US" w:eastAsia="zh-CN"/>
              </w:rPr>
              <w:t>样品检测工艺流程</w:t>
            </w:r>
          </w:p>
          <w:p w14:paraId="15588B8B">
            <w:pPr>
              <w:keepNext w:val="0"/>
              <w:keepLines w:val="0"/>
              <w:pageBreakBefore w:val="0"/>
              <w:widowControl w:val="0"/>
              <w:shd w:val="clear"/>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eastAsia="宋体" w:cs="Times New Roman"/>
                <w:color w:val="auto"/>
                <w:sz w:val="24"/>
                <w:szCs w:val="20"/>
                <w:highlight w:val="none"/>
              </w:rPr>
            </w:pPr>
            <w:r>
              <w:rPr>
                <w:rFonts w:hint="default" w:ascii="Times New Roman" w:hAnsi="Times New Roman" w:eastAsia="宋体" w:cs="Times New Roman"/>
                <w:b/>
                <w:bCs/>
                <w:color w:val="auto"/>
                <w:sz w:val="24"/>
                <w:szCs w:val="24"/>
                <w:highlight w:val="none"/>
              </w:rPr>
              <w:t>工艺流程说明:</w:t>
            </w:r>
          </w:p>
          <w:p w14:paraId="2485ED19">
            <w:pPr>
              <w:pStyle w:val="75"/>
              <w:shd w:val="clear"/>
              <w:spacing w:line="360" w:lineRule="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样品采集：根据检测技术规范及客户要求进行，要使所布设的点位及所采集的样品具有代表性。</w:t>
            </w:r>
          </w:p>
          <w:p w14:paraId="4AC83F3C">
            <w:pPr>
              <w:keepNext w:val="0"/>
              <w:keepLines w:val="0"/>
              <w:pageBreakBefore w:val="0"/>
              <w:widowControl/>
              <w:suppressLineNumbers w:val="0"/>
              <w:kinsoku/>
              <w:wordWrap/>
              <w:overflowPunct/>
              <w:topLinePunct w:val="0"/>
              <w:autoSpaceDE/>
              <w:autoSpaceDN/>
              <w:bidi w:val="0"/>
              <w:adjustRightInd/>
              <w:snapToGrid/>
              <w:spacing w:line="360" w:lineRule="auto"/>
              <w:ind w:firstLine="420" w:firstLineChars="200"/>
              <w:jc w:val="left"/>
              <w:textAlignment w:val="auto"/>
              <w:rPr>
                <w:color w:val="auto"/>
                <w:sz w:val="21"/>
                <w:szCs w:val="21"/>
                <w:highlight w:val="none"/>
              </w:rPr>
            </w:pPr>
            <w:r>
              <w:rPr>
                <w:rFonts w:hint="default" w:ascii="Times New Roman" w:hAnsi="Times New Roman" w:eastAsia="宋体" w:cs="Times New Roman"/>
                <w:color w:val="auto"/>
                <w:sz w:val="21"/>
                <w:szCs w:val="21"/>
                <w:highlight w:val="none"/>
                <w:lang w:val="en-US" w:eastAsia="zh-CN"/>
              </w:rPr>
              <w:t>样品保存：根据不同种类样品的性质及检测要求等对样品分类进行妥善保存</w:t>
            </w:r>
            <w:r>
              <w:rPr>
                <w:rFonts w:hint="eastAsia" w:ascii="宋体" w:hAnsi="宋体" w:eastAsia="宋体" w:cs="宋体"/>
                <w:color w:val="auto"/>
                <w:kern w:val="0"/>
                <w:sz w:val="21"/>
                <w:szCs w:val="21"/>
                <w:highlight w:val="none"/>
                <w:lang w:val="en-US" w:eastAsia="zh-CN" w:bidi="ar"/>
              </w:rPr>
              <w:t>。</w:t>
            </w:r>
          </w:p>
          <w:p w14:paraId="3923CBA7">
            <w:pPr>
              <w:pStyle w:val="75"/>
              <w:shd w:val="clear"/>
              <w:spacing w:line="360" w:lineRule="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实验分析：</w:t>
            </w:r>
            <w:r>
              <w:rPr>
                <w:rFonts w:hint="eastAsia" w:ascii="宋体" w:hAnsi="宋体" w:eastAsia="宋体" w:cs="宋体"/>
                <w:color w:val="auto"/>
                <w:kern w:val="0"/>
                <w:sz w:val="21"/>
                <w:szCs w:val="21"/>
                <w:highlight w:val="none"/>
                <w:lang w:val="en-US" w:eastAsia="zh-CN" w:bidi="ar"/>
              </w:rPr>
              <w:t>根据不同检测指标采用相应检测方法进行监测的过程。本项目中需进行实验分析的样品主要为水样品、土壤样品固废样品和</w:t>
            </w:r>
            <w:r>
              <w:rPr>
                <w:rFonts w:hint="eastAsia" w:ascii="宋体" w:hAnsi="宋体" w:cs="宋体"/>
                <w:color w:val="auto"/>
                <w:kern w:val="0"/>
                <w:sz w:val="21"/>
                <w:szCs w:val="21"/>
                <w:highlight w:val="none"/>
                <w:lang w:val="en-US" w:eastAsia="zh-CN" w:bidi="ar"/>
              </w:rPr>
              <w:t>废气（环境空气）</w:t>
            </w:r>
            <w:r>
              <w:rPr>
                <w:rFonts w:hint="eastAsia" w:ascii="宋体" w:hAnsi="宋体" w:eastAsia="宋体" w:cs="宋体"/>
                <w:color w:val="auto"/>
                <w:kern w:val="0"/>
                <w:sz w:val="21"/>
                <w:szCs w:val="21"/>
                <w:highlight w:val="none"/>
                <w:lang w:val="en-US" w:eastAsia="zh-CN" w:bidi="ar"/>
              </w:rPr>
              <w:t>样品。水样品经过前处理后对其进行加热、消解、萃取处理，处理后进入仪器进行分析并出具结果；土壤样品主要是将风干、研磨后的土壤样品对其进行加热、消解、萃取处理，处理后进入仪器进行分析并出具结果；固废样品主要是将风干、研磨后的</w:t>
            </w:r>
            <w:r>
              <w:rPr>
                <w:rFonts w:hint="eastAsia" w:ascii="宋体" w:hAnsi="宋体" w:cs="宋体"/>
                <w:color w:val="auto"/>
                <w:kern w:val="0"/>
                <w:sz w:val="21"/>
                <w:szCs w:val="21"/>
                <w:highlight w:val="none"/>
                <w:lang w:val="en-US" w:eastAsia="zh-CN" w:bidi="ar"/>
              </w:rPr>
              <w:t>固废</w:t>
            </w:r>
            <w:r>
              <w:rPr>
                <w:rFonts w:hint="eastAsia" w:ascii="宋体" w:hAnsi="宋体" w:eastAsia="宋体" w:cs="宋体"/>
                <w:color w:val="auto"/>
                <w:kern w:val="0"/>
                <w:sz w:val="21"/>
                <w:szCs w:val="21"/>
                <w:highlight w:val="none"/>
                <w:lang w:val="en-US" w:eastAsia="zh-CN" w:bidi="ar"/>
              </w:rPr>
              <w:t>样品对其进行加热、消解、萃取处理，处理后进入仪器进行分析并出具结果</w:t>
            </w:r>
            <w:r>
              <w:rPr>
                <w:rFonts w:hint="eastAsia" w:ascii="宋体" w:hAnsi="宋体" w:cs="宋体"/>
                <w:color w:val="auto"/>
                <w:kern w:val="0"/>
                <w:sz w:val="21"/>
                <w:szCs w:val="21"/>
                <w:highlight w:val="none"/>
                <w:lang w:val="en-US" w:eastAsia="zh-CN" w:bidi="ar"/>
              </w:rPr>
              <w:t>；废气（环境空气）</w:t>
            </w:r>
            <w:r>
              <w:rPr>
                <w:rFonts w:hint="eastAsia" w:ascii="宋体" w:hAnsi="宋体" w:eastAsia="宋体" w:cs="宋体"/>
                <w:color w:val="auto"/>
                <w:kern w:val="0"/>
                <w:sz w:val="21"/>
                <w:szCs w:val="21"/>
                <w:highlight w:val="none"/>
                <w:lang w:val="en-US" w:eastAsia="zh-CN" w:bidi="ar"/>
              </w:rPr>
              <w:t>样品是将在现场带回的采样浓缩介质直接进入仪器中进行分析并出具结果。气体样品在实验分析过程中无剩余样品产生。</w:t>
            </w:r>
            <w:r>
              <w:rPr>
                <w:rFonts w:hint="eastAsia" w:cs="Times New Roman"/>
                <w:color w:val="auto"/>
                <w:sz w:val="21"/>
                <w:szCs w:val="21"/>
                <w:highlight w:val="none"/>
                <w:lang w:val="en-US" w:eastAsia="zh-CN"/>
              </w:rPr>
              <w:t>此</w:t>
            </w:r>
            <w:r>
              <w:rPr>
                <w:rFonts w:hint="default" w:ascii="Times New Roman" w:hAnsi="Times New Roman" w:eastAsia="宋体" w:cs="Times New Roman"/>
                <w:color w:val="auto"/>
                <w:sz w:val="21"/>
                <w:szCs w:val="21"/>
                <w:highlight w:val="none"/>
                <w:lang w:val="en-US" w:eastAsia="zh-CN"/>
              </w:rPr>
              <w:t>过程中会产生一定量的废气、废水、固废和噪声等。</w:t>
            </w:r>
          </w:p>
          <w:p w14:paraId="1B23350A">
            <w:pPr>
              <w:pStyle w:val="75"/>
              <w:shd w:val="clear"/>
              <w:spacing w:line="360" w:lineRule="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实验室清洁：</w:t>
            </w:r>
            <w:r>
              <w:rPr>
                <w:rFonts w:hint="default" w:ascii="Times New Roman" w:hAnsi="Times New Roman" w:eastAsia="宋体" w:cs="Times New Roman"/>
                <w:color w:val="auto"/>
                <w:sz w:val="21"/>
                <w:szCs w:val="21"/>
                <w:highlight w:val="none"/>
                <w:lang w:val="en-US" w:eastAsia="zh-CN"/>
              </w:rPr>
              <w:t>对实验</w:t>
            </w:r>
            <w:r>
              <w:rPr>
                <w:rFonts w:hint="eastAsia" w:cs="Times New Roman"/>
                <w:color w:val="auto"/>
                <w:sz w:val="21"/>
                <w:szCs w:val="21"/>
                <w:highlight w:val="none"/>
                <w:lang w:val="en-US" w:eastAsia="zh-CN"/>
              </w:rPr>
              <w:t>器皿、</w:t>
            </w:r>
            <w:r>
              <w:rPr>
                <w:rFonts w:hint="default" w:ascii="Times New Roman" w:hAnsi="Times New Roman" w:eastAsia="宋体" w:cs="Times New Roman"/>
                <w:color w:val="auto"/>
                <w:sz w:val="21"/>
                <w:szCs w:val="21"/>
                <w:highlight w:val="none"/>
                <w:lang w:val="en-US" w:eastAsia="zh-CN"/>
              </w:rPr>
              <w:t>仪器设备进行清洁</w:t>
            </w:r>
            <w:r>
              <w:rPr>
                <w:rFonts w:hint="default"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此</w:t>
            </w:r>
            <w:r>
              <w:rPr>
                <w:rFonts w:hint="default" w:ascii="Times New Roman" w:hAnsi="Times New Roman" w:eastAsia="宋体" w:cs="Times New Roman"/>
                <w:color w:val="auto"/>
                <w:sz w:val="21"/>
                <w:szCs w:val="21"/>
                <w:highlight w:val="none"/>
                <w:lang w:val="en-US" w:eastAsia="zh-CN"/>
              </w:rPr>
              <w:t>过程中会产生</w:t>
            </w:r>
            <w:r>
              <w:rPr>
                <w:rFonts w:hint="eastAsia" w:cs="Times New Roman"/>
                <w:color w:val="auto"/>
                <w:sz w:val="21"/>
                <w:szCs w:val="21"/>
                <w:highlight w:val="none"/>
                <w:lang w:val="en-US" w:eastAsia="zh-CN"/>
              </w:rPr>
              <w:t>废水、固废</w:t>
            </w:r>
            <w:r>
              <w:rPr>
                <w:rFonts w:hint="default" w:ascii="Times New Roman" w:hAnsi="Times New Roman" w:eastAsia="宋体" w:cs="Times New Roman"/>
                <w:color w:val="auto"/>
                <w:sz w:val="21"/>
                <w:szCs w:val="21"/>
                <w:highlight w:val="none"/>
                <w:lang w:val="en-US" w:eastAsia="zh-CN"/>
              </w:rPr>
              <w:t>等。</w:t>
            </w:r>
          </w:p>
          <w:p w14:paraId="655F0951">
            <w:pPr>
              <w:pStyle w:val="75"/>
              <w:shd w:val="clear"/>
              <w:spacing w:line="360" w:lineRule="auto"/>
              <w:rPr>
                <w:rFonts w:hint="default" w:ascii="宋体" w:hAnsi="宋体" w:eastAsia="宋体" w:cs="宋体"/>
                <w:b/>
                <w:bCs/>
                <w:color w:val="auto"/>
                <w:kern w:val="0"/>
                <w:sz w:val="24"/>
                <w:szCs w:val="24"/>
                <w:highlight w:val="none"/>
                <w:lang w:val="en-US" w:eastAsia="zh-CN" w:bidi="ar-SA"/>
              </w:rPr>
            </w:pPr>
            <w:r>
              <w:rPr>
                <w:rFonts w:hint="default" w:ascii="Times New Roman" w:hAnsi="Times New Roman" w:eastAsia="宋体" w:cs="Times New Roman"/>
                <w:color w:val="auto"/>
                <w:sz w:val="21"/>
                <w:szCs w:val="21"/>
                <w:highlight w:val="none"/>
                <w:lang w:val="en-US" w:eastAsia="zh-CN"/>
              </w:rPr>
              <w:t>分析结果及出具报告</w:t>
            </w:r>
            <w:r>
              <w:rPr>
                <w:rFonts w:hint="default" w:ascii="Times New Roman" w:hAnsi="Times New Roman" w:eastAsia="宋体" w:cs="Times New Roman"/>
                <w:color w:val="auto"/>
                <w:sz w:val="21"/>
                <w:szCs w:val="21"/>
                <w:highlight w:val="none"/>
                <w:lang w:val="en-US" w:eastAsia="zh-CN"/>
              </w:rPr>
              <w:t>：分析整理相关实验数据编制报告，并由相关负责人审核数据结果。待数据审核完毕后，以书面报告形式出具检测报告</w:t>
            </w:r>
            <w:r>
              <w:rPr>
                <w:rFonts w:hint="eastAsia" w:cs="Times New Roman"/>
                <w:color w:val="auto"/>
                <w:sz w:val="21"/>
                <w:szCs w:val="21"/>
                <w:highlight w:val="none"/>
                <w:lang w:val="en-US" w:eastAsia="zh-CN"/>
              </w:rPr>
              <w:t>。</w:t>
            </w:r>
          </w:p>
        </w:tc>
      </w:tr>
      <w:tr w14:paraId="1409F85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783" w:hRule="atLeast"/>
        </w:trPr>
        <w:tc>
          <w:tcPr>
            <w:tcW w:w="588" w:type="dxa"/>
            <w:noWrap w:val="0"/>
            <w:vAlign w:val="center"/>
          </w:tcPr>
          <w:p w14:paraId="3144BBA5">
            <w:pPr>
              <w:pStyle w:val="30"/>
              <w:shd w:val="clear"/>
              <w:adjustRightInd w:val="0"/>
              <w:snapToGrid w:val="0"/>
              <w:spacing w:before="0" w:beforeAutospacing="0" w:after="0" w:afterAutospacing="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kern w:val="2"/>
                <w:sz w:val="21"/>
                <w:szCs w:val="21"/>
                <w:highlight w:val="none"/>
              </w:rPr>
              <w:t>与项目有关的原有环境污染问题</w:t>
            </w:r>
          </w:p>
        </w:tc>
        <w:tc>
          <w:tcPr>
            <w:tcW w:w="8396" w:type="dxa"/>
            <w:noWrap w:val="0"/>
            <w:vAlign w:val="center"/>
          </w:tcPr>
          <w:p w14:paraId="1616B489">
            <w:pPr>
              <w:keepNext w:val="0"/>
              <w:keepLines w:val="0"/>
              <w:pageBreakBefore w:val="0"/>
              <w:widowControl w:val="0"/>
              <w:shd w:val="clear"/>
              <w:kinsoku/>
              <w:wordWrap/>
              <w:overflowPunct/>
              <w:topLinePunct w:val="0"/>
              <w:autoSpaceDE/>
              <w:autoSpaceDN/>
              <w:bidi w:val="0"/>
              <w:adjustRightInd w:val="0"/>
              <w:snapToGrid w:val="0"/>
              <w:ind w:firstLine="408" w:firstLineChars="200"/>
              <w:jc w:val="center"/>
              <w:textAlignment w:val="auto"/>
              <w:rPr>
                <w:rFonts w:hint="default" w:ascii="Times New Roman" w:hAnsi="Times New Roman" w:cs="Times New Roman"/>
                <w:color w:val="auto"/>
                <w:highlight w:val="none"/>
                <w:lang w:val="en-US" w:eastAsia="zh-CN"/>
              </w:rPr>
            </w:pPr>
            <w:r>
              <w:rPr>
                <w:rFonts w:hint="default" w:ascii="Times New Roman" w:hAnsi="Times New Roman" w:eastAsia="宋体" w:cs="Times New Roman"/>
                <w:snapToGrid w:val="0"/>
                <w:color w:val="auto"/>
                <w:spacing w:val="-3"/>
                <w:kern w:val="0"/>
                <w:sz w:val="21"/>
                <w:szCs w:val="21"/>
                <w:highlight w:val="none"/>
                <w:lang w:val="en-US" w:eastAsia="zh-CN" w:bidi="ar-SA"/>
              </w:rPr>
              <w:t>本项目为新建项目，不存在与本项目有关的原有环境</w:t>
            </w:r>
            <w:r>
              <w:rPr>
                <w:rFonts w:hint="default" w:ascii="Times New Roman" w:hAnsi="Times New Roman" w:cs="Times New Roman"/>
                <w:snapToGrid w:val="0"/>
                <w:color w:val="auto"/>
                <w:spacing w:val="-3"/>
                <w:kern w:val="0"/>
                <w:sz w:val="21"/>
                <w:szCs w:val="21"/>
                <w:highlight w:val="none"/>
                <w:lang w:val="en-US" w:eastAsia="zh-CN" w:bidi="ar-SA"/>
              </w:rPr>
              <w:t>污染</w:t>
            </w:r>
            <w:r>
              <w:rPr>
                <w:rFonts w:hint="default" w:ascii="Times New Roman" w:hAnsi="Times New Roman" w:eastAsia="宋体" w:cs="Times New Roman"/>
                <w:snapToGrid w:val="0"/>
                <w:color w:val="auto"/>
                <w:spacing w:val="-3"/>
                <w:kern w:val="0"/>
                <w:sz w:val="21"/>
                <w:szCs w:val="21"/>
                <w:highlight w:val="none"/>
                <w:lang w:val="en-US" w:eastAsia="zh-CN" w:bidi="ar-SA"/>
              </w:rPr>
              <w:t>问题。</w:t>
            </w:r>
          </w:p>
        </w:tc>
      </w:tr>
    </w:tbl>
    <w:p w14:paraId="71E6F266">
      <w:pPr>
        <w:pStyle w:val="30"/>
        <w:shd w:val="clear"/>
        <w:jc w:val="center"/>
        <w:rPr>
          <w:rFonts w:hint="default" w:ascii="Times New Roman" w:hAnsi="Times New Roman" w:eastAsia="宋体" w:cs="Times New Roman"/>
          <w:snapToGrid w:val="0"/>
          <w:color w:val="auto"/>
          <w:sz w:val="36"/>
          <w:szCs w:val="36"/>
          <w:highlight w:val="none"/>
        </w:rPr>
        <w:sectPr>
          <w:footerReference r:id="rId8" w:type="default"/>
          <w:pgSz w:w="11906" w:h="16838"/>
          <w:pgMar w:top="1701" w:right="1531" w:bottom="1701" w:left="1531" w:header="851" w:footer="851" w:gutter="0"/>
          <w:pgNumType w:fmt="decimal"/>
          <w:cols w:space="720" w:num="1"/>
          <w:docGrid w:linePitch="312" w:charSpace="0"/>
        </w:sectPr>
      </w:pPr>
    </w:p>
    <w:p w14:paraId="5D816CF5">
      <w:pPr>
        <w:pStyle w:val="30"/>
        <w:shd w:val="clear"/>
        <w:adjustRightInd w:val="0"/>
        <w:snapToGrid w:val="0"/>
        <w:spacing w:before="0" w:beforeAutospacing="0" w:after="0" w:afterAutospacing="0" w:line="14" w:lineRule="auto"/>
        <w:jc w:val="center"/>
        <w:outlineLvl w:val="9"/>
        <w:rPr>
          <w:rFonts w:hint="default" w:ascii="Times New Roman" w:hAnsi="Times New Roman" w:eastAsia="宋体" w:cs="Times New Roman"/>
          <w:snapToGrid w:val="0"/>
          <w:color w:val="auto"/>
          <w:sz w:val="30"/>
          <w:szCs w:val="30"/>
          <w:highlight w:val="none"/>
        </w:rPr>
      </w:pPr>
    </w:p>
    <w:p w14:paraId="391AA819">
      <w:pPr>
        <w:pStyle w:val="3"/>
        <w:shd w:val="clear"/>
        <w:bidi w:val="0"/>
        <w:jc w:val="center"/>
        <w:rPr>
          <w:rFonts w:hint="default" w:ascii="Times New Roman" w:hAnsi="Times New Roman" w:eastAsia="宋体" w:cs="Times New Roman"/>
          <w:color w:val="auto"/>
          <w:sz w:val="32"/>
          <w:szCs w:val="32"/>
          <w:highlight w:val="none"/>
        </w:rPr>
      </w:pPr>
      <w:bookmarkStart w:id="7" w:name="_Toc3817"/>
      <w:r>
        <w:rPr>
          <w:rFonts w:hint="default" w:ascii="Times New Roman" w:hAnsi="Times New Roman" w:eastAsia="宋体" w:cs="Times New Roman"/>
          <w:color w:val="auto"/>
          <w:sz w:val="32"/>
          <w:szCs w:val="32"/>
          <w:highlight w:val="none"/>
        </w:rPr>
        <w:t>三、区域环境质量现状、环境保护目标及评价标准</w:t>
      </w:r>
      <w:bookmarkEnd w:id="7"/>
    </w:p>
    <w:tbl>
      <w:tblPr>
        <w:tblStyle w:val="33"/>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01"/>
        <w:gridCol w:w="8660"/>
      </w:tblGrid>
      <w:tr w14:paraId="78091BE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01" w:type="dxa"/>
            <w:noWrap w:val="0"/>
            <w:vAlign w:val="center"/>
          </w:tcPr>
          <w:p w14:paraId="501F39C6">
            <w:pPr>
              <w:shd w:val="clea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区域环境质量现状</w:t>
            </w:r>
          </w:p>
        </w:tc>
        <w:tc>
          <w:tcPr>
            <w:tcW w:w="8660" w:type="dxa"/>
            <w:noWrap w:val="0"/>
            <w:vAlign w:val="center"/>
          </w:tcPr>
          <w:p w14:paraId="71E4BC67">
            <w:pPr>
              <w:shd w:val="clear"/>
              <w:snapToGrid w:val="0"/>
              <w:spacing w:line="360" w:lineRule="auto"/>
              <w:ind w:firstLine="482" w:firstLineChars="200"/>
              <w:rPr>
                <w:rFonts w:hint="default" w:ascii="Times New Roman" w:hAnsi="Times New Roman" w:eastAsia="宋体" w:cs="Times New Roman"/>
                <w:b/>
                <w:bCs/>
                <w:color w:val="auto"/>
                <w:sz w:val="24"/>
                <w:szCs w:val="24"/>
                <w:highlight w:val="none"/>
                <w:lang w:val="zh-CN"/>
              </w:rPr>
            </w:pPr>
            <w:r>
              <w:rPr>
                <w:rFonts w:hint="default" w:ascii="Times New Roman" w:hAnsi="Times New Roman" w:eastAsia="宋体" w:cs="Times New Roman"/>
                <w:b/>
                <w:bCs/>
                <w:color w:val="auto"/>
                <w:sz w:val="24"/>
                <w:szCs w:val="24"/>
                <w:highlight w:val="none"/>
              </w:rPr>
              <w:t>一</w:t>
            </w:r>
            <w:r>
              <w:rPr>
                <w:rFonts w:hint="default" w:ascii="Times New Roman" w:hAnsi="Times New Roman" w:eastAsia="宋体" w:cs="Times New Roman"/>
                <w:b/>
                <w:bCs/>
                <w:color w:val="auto"/>
                <w:sz w:val="24"/>
                <w:szCs w:val="24"/>
                <w:highlight w:val="none"/>
                <w:lang w:val="zh-CN"/>
              </w:rPr>
              <w:t>、大气环境</w:t>
            </w:r>
            <w:r>
              <w:rPr>
                <w:rFonts w:hint="default" w:ascii="Times New Roman" w:hAnsi="Times New Roman" w:eastAsia="宋体" w:cs="Times New Roman"/>
                <w:b/>
                <w:bCs/>
                <w:color w:val="auto"/>
                <w:sz w:val="24"/>
                <w:szCs w:val="24"/>
                <w:highlight w:val="none"/>
              </w:rPr>
              <w:t>质量</w:t>
            </w:r>
            <w:r>
              <w:rPr>
                <w:rFonts w:hint="default" w:ascii="Times New Roman" w:hAnsi="Times New Roman" w:eastAsia="宋体" w:cs="Times New Roman"/>
                <w:b/>
                <w:bCs/>
                <w:color w:val="auto"/>
                <w:sz w:val="24"/>
                <w:szCs w:val="24"/>
                <w:highlight w:val="none"/>
                <w:lang w:val="zh-CN"/>
              </w:rPr>
              <w:t>现状</w:t>
            </w:r>
          </w:p>
          <w:p w14:paraId="6506C768">
            <w:pPr>
              <w:shd w:val="clear"/>
              <w:snapToGrid w:val="0"/>
              <w:spacing w:line="360" w:lineRule="auto"/>
              <w:ind w:firstLine="482" w:firstLineChars="200"/>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1、空气质量达标区判定</w:t>
            </w:r>
          </w:p>
          <w:p w14:paraId="5AF4C45D">
            <w:pPr>
              <w:pStyle w:val="76"/>
              <w:shd w:val="clear"/>
              <w:spacing w:line="360" w:lineRule="auto"/>
              <w:ind w:firstLine="420"/>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根据《中山市环境空气质量功能区划》（2020年修改版），项目所在区域为环境空气质量功能二类区，执行《环境空气质量标准》（GB3095</w:t>
            </w:r>
            <w:r>
              <w:rPr>
                <w:rFonts w:hint="eastAsia"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rPr>
              <w:t>-20</w:t>
            </w:r>
            <w:r>
              <w:rPr>
                <w:rFonts w:hint="eastAsia" w:cs="Times New Roman"/>
                <w:color w:val="auto"/>
                <w:sz w:val="21"/>
                <w:szCs w:val="21"/>
                <w:highlight w:val="none"/>
                <w:lang w:val="en-US" w:eastAsia="zh-CN"/>
              </w:rPr>
              <w:t>26</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过渡阶段浓度限值中的二级标准</w:t>
            </w:r>
            <w:r>
              <w:rPr>
                <w:rFonts w:hint="default" w:ascii="Times New Roman" w:hAnsi="Times New Roman" w:eastAsia="宋体" w:cs="Times New Roman"/>
                <w:color w:val="auto"/>
                <w:sz w:val="21"/>
                <w:szCs w:val="21"/>
                <w:highlight w:val="none"/>
              </w:rPr>
              <w:t>。</w:t>
            </w:r>
          </w:p>
          <w:p w14:paraId="72CA1BEB">
            <w:pPr>
              <w:pStyle w:val="76"/>
              <w:shd w:val="clear"/>
              <w:spacing w:line="360" w:lineRule="auto"/>
              <w:ind w:firstLine="420"/>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根据《中山市202</w:t>
            </w:r>
            <w:r>
              <w:rPr>
                <w:rFonts w:hint="default" w:ascii="Times New Roman" w:hAnsi="Times New Roman" w:cs="Times New Roman"/>
                <w:color w:val="auto"/>
                <w:sz w:val="21"/>
                <w:szCs w:val="21"/>
                <w:highlight w:val="none"/>
                <w:lang w:val="en-US" w:eastAsia="zh-CN"/>
              </w:rPr>
              <w:t>4</w:t>
            </w:r>
            <w:r>
              <w:rPr>
                <w:rFonts w:hint="default" w:ascii="Times New Roman" w:hAnsi="Times New Roman" w:eastAsia="宋体" w:cs="Times New Roman"/>
                <w:color w:val="auto"/>
                <w:sz w:val="21"/>
                <w:szCs w:val="21"/>
                <w:highlight w:val="none"/>
              </w:rPr>
              <w:t>年大气环境质量状况公报》，中山市二氧化硫、二氧化氮、可吸入颗粒物、细颗粒物的年均值及相应的日均值特定百分位数浓度值均达到《环境空气质量标准》（GB3095</w:t>
            </w:r>
            <w:r>
              <w:rPr>
                <w:rFonts w:hint="default"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rPr>
              <w:t>20</w:t>
            </w:r>
            <w:r>
              <w:rPr>
                <w:rFonts w:hint="eastAsia" w:cs="Times New Roman"/>
                <w:color w:val="auto"/>
                <w:sz w:val="21"/>
                <w:szCs w:val="21"/>
                <w:highlight w:val="none"/>
                <w:lang w:val="en-US" w:eastAsia="zh-CN"/>
              </w:rPr>
              <w:t>26</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过渡阶段浓度限值中的二级标准</w:t>
            </w:r>
            <w:r>
              <w:rPr>
                <w:rFonts w:hint="default" w:ascii="Times New Roman" w:hAnsi="Times New Roman" w:eastAsia="宋体" w:cs="Times New Roman"/>
                <w:color w:val="auto"/>
                <w:sz w:val="21"/>
                <w:szCs w:val="21"/>
                <w:highlight w:val="none"/>
              </w:rPr>
              <w:t>，一氧化碳日均值第95百分位数浓度值达到《环境空气质量标准》（GB3095</w:t>
            </w:r>
            <w:r>
              <w:rPr>
                <w:rFonts w:hint="default"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rPr>
              <w:t>20</w:t>
            </w:r>
            <w:r>
              <w:rPr>
                <w:rFonts w:hint="eastAsia" w:cs="Times New Roman"/>
                <w:color w:val="auto"/>
                <w:sz w:val="21"/>
                <w:szCs w:val="21"/>
                <w:highlight w:val="none"/>
                <w:lang w:val="en-US" w:eastAsia="zh-CN"/>
              </w:rPr>
              <w:t>26</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过渡阶段浓度限值中的二级标准</w:t>
            </w:r>
            <w:r>
              <w:rPr>
                <w:rFonts w:hint="default" w:ascii="Times New Roman" w:hAnsi="Times New Roman" w:eastAsia="宋体" w:cs="Times New Roman"/>
                <w:color w:val="auto"/>
                <w:sz w:val="21"/>
                <w:szCs w:val="21"/>
                <w:highlight w:val="none"/>
              </w:rPr>
              <w:t>，臭氧日最大8小时滑动平均值的第90百分位数浓度值</w:t>
            </w:r>
            <w:r>
              <w:rPr>
                <w:rFonts w:hint="default" w:ascii="Times New Roman" w:hAnsi="Times New Roman" w:cs="Times New Roman"/>
                <w:color w:val="auto"/>
                <w:sz w:val="21"/>
                <w:szCs w:val="21"/>
                <w:highlight w:val="none"/>
                <w:lang w:val="en-US" w:eastAsia="zh-CN"/>
              </w:rPr>
              <w:t>达到</w:t>
            </w:r>
            <w:r>
              <w:rPr>
                <w:rFonts w:hint="default" w:ascii="Times New Roman" w:hAnsi="Times New Roman" w:eastAsia="宋体" w:cs="Times New Roman"/>
                <w:color w:val="auto"/>
                <w:sz w:val="21"/>
                <w:szCs w:val="21"/>
                <w:highlight w:val="none"/>
              </w:rPr>
              <w:t>《环境空气质量标准》（GB3095</w:t>
            </w:r>
            <w:r>
              <w:rPr>
                <w:rFonts w:hint="eastAsia"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rPr>
              <w:t>20</w:t>
            </w:r>
            <w:r>
              <w:rPr>
                <w:rFonts w:hint="eastAsia" w:cs="Times New Roman"/>
                <w:color w:val="auto"/>
                <w:sz w:val="21"/>
                <w:szCs w:val="21"/>
                <w:highlight w:val="none"/>
                <w:lang w:val="en-US" w:eastAsia="zh-CN"/>
              </w:rPr>
              <w:t>26</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过渡阶段浓度限值中的二级标准</w:t>
            </w:r>
            <w:r>
              <w:rPr>
                <w:rFonts w:hint="default" w:ascii="Times New Roman" w:hAnsi="Times New Roman" w:eastAsia="宋体" w:cs="Times New Roman"/>
                <w:color w:val="auto"/>
                <w:sz w:val="21"/>
                <w:szCs w:val="21"/>
                <w:highlight w:val="none"/>
              </w:rPr>
              <w:t>，项目所在区域为环境空气质量达标区。</w:t>
            </w:r>
          </w:p>
          <w:p w14:paraId="0D5D3707">
            <w:pPr>
              <w:widowControl/>
              <w:numPr>
                <w:ilvl w:val="0"/>
                <w:numId w:val="0"/>
              </w:numPr>
              <w:shd w:val="clear"/>
              <w:spacing w:line="360" w:lineRule="auto"/>
              <w:ind w:left="0" w:leftChars="0" w:firstLine="0" w:firstLineChars="0"/>
              <w:contextualSpacing/>
              <w:jc w:val="center"/>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kern w:val="2"/>
                <w:sz w:val="24"/>
                <w:szCs w:val="24"/>
                <w:highlight w:val="none"/>
                <w:lang w:val="en-US" w:eastAsia="zh-CN" w:bidi="ar-SA"/>
              </w:rPr>
              <w:t>表1</w:t>
            </w:r>
            <w:r>
              <w:rPr>
                <w:rFonts w:hint="eastAsia" w:cs="Times New Roman"/>
                <w:b/>
                <w:bCs/>
                <w:color w:val="auto"/>
                <w:kern w:val="2"/>
                <w:sz w:val="24"/>
                <w:szCs w:val="24"/>
                <w:highlight w:val="none"/>
                <w:lang w:val="en-US" w:eastAsia="zh-CN" w:bidi="ar-SA"/>
              </w:rPr>
              <w:t>2</w:t>
            </w:r>
            <w:r>
              <w:rPr>
                <w:rFonts w:hint="default" w:ascii="Times New Roman" w:hAnsi="Times New Roman" w:eastAsia="宋体" w:cs="Times New Roman"/>
                <w:b/>
                <w:bCs/>
                <w:color w:val="auto"/>
                <w:sz w:val="24"/>
                <w:szCs w:val="24"/>
                <w:highlight w:val="none"/>
              </w:rPr>
              <w:t>中山市区域空气质量现状评价表</w:t>
            </w:r>
          </w:p>
          <w:tbl>
            <w:tblPr>
              <w:tblStyle w:val="33"/>
              <w:tblW w:w="449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2"/>
              <w:gridCol w:w="2092"/>
              <w:gridCol w:w="1200"/>
              <w:gridCol w:w="1296"/>
              <w:gridCol w:w="1120"/>
              <w:gridCol w:w="1130"/>
            </w:tblGrid>
            <w:tr w14:paraId="3AD66B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0" w:type="pct"/>
                  <w:noWrap w:val="0"/>
                  <w:vAlign w:val="center"/>
                </w:tcPr>
                <w:p w14:paraId="47B4C525">
                  <w:pPr>
                    <w:pStyle w:val="77"/>
                    <w:shd w:val="clear"/>
                    <w:spacing w:line="240" w:lineRule="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污染物</w:t>
                  </w:r>
                </w:p>
              </w:tc>
              <w:tc>
                <w:tcPr>
                  <w:tcW w:w="1379" w:type="pct"/>
                  <w:noWrap w:val="0"/>
                  <w:vAlign w:val="center"/>
                </w:tcPr>
                <w:p w14:paraId="08B7FDAD">
                  <w:pPr>
                    <w:pStyle w:val="77"/>
                    <w:shd w:val="clear"/>
                    <w:spacing w:line="240" w:lineRule="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评价指标</w:t>
                  </w:r>
                </w:p>
              </w:tc>
              <w:tc>
                <w:tcPr>
                  <w:tcW w:w="791" w:type="pct"/>
                  <w:noWrap w:val="0"/>
                  <w:vAlign w:val="center"/>
                </w:tcPr>
                <w:p w14:paraId="75A3EA98">
                  <w:pPr>
                    <w:pStyle w:val="77"/>
                    <w:shd w:val="clear"/>
                    <w:spacing w:line="240" w:lineRule="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现状浓度（µg/m</w:t>
                  </w:r>
                  <w:r>
                    <w:rPr>
                      <w:rFonts w:hint="default" w:ascii="Times New Roman" w:hAnsi="Times New Roman" w:eastAsia="宋体" w:cs="Times New Roman"/>
                      <w:b/>
                      <w:bCs/>
                      <w:color w:val="auto"/>
                      <w:highlight w:val="none"/>
                      <w:vertAlign w:val="superscript"/>
                    </w:rPr>
                    <w:t>3</w:t>
                  </w:r>
                  <w:r>
                    <w:rPr>
                      <w:rFonts w:hint="default" w:ascii="Times New Roman" w:hAnsi="Times New Roman" w:eastAsia="宋体" w:cs="Times New Roman"/>
                      <w:b/>
                      <w:bCs/>
                      <w:color w:val="auto"/>
                      <w:highlight w:val="none"/>
                    </w:rPr>
                    <w:t>）</w:t>
                  </w:r>
                </w:p>
              </w:tc>
              <w:tc>
                <w:tcPr>
                  <w:tcW w:w="854" w:type="pct"/>
                  <w:noWrap w:val="0"/>
                  <w:vAlign w:val="center"/>
                </w:tcPr>
                <w:p w14:paraId="7441FA2E">
                  <w:pPr>
                    <w:pStyle w:val="77"/>
                    <w:shd w:val="clear"/>
                    <w:spacing w:line="240" w:lineRule="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标准值（µg/m</w:t>
                  </w:r>
                  <w:r>
                    <w:rPr>
                      <w:rFonts w:hint="default" w:ascii="Times New Roman" w:hAnsi="Times New Roman" w:eastAsia="宋体" w:cs="Times New Roman"/>
                      <w:b/>
                      <w:bCs/>
                      <w:color w:val="auto"/>
                      <w:highlight w:val="none"/>
                      <w:vertAlign w:val="superscript"/>
                    </w:rPr>
                    <w:t>3</w:t>
                  </w:r>
                  <w:r>
                    <w:rPr>
                      <w:rFonts w:hint="default" w:ascii="Times New Roman" w:hAnsi="Times New Roman" w:eastAsia="宋体" w:cs="Times New Roman"/>
                      <w:b/>
                      <w:bCs/>
                      <w:color w:val="auto"/>
                      <w:highlight w:val="none"/>
                    </w:rPr>
                    <w:t>）</w:t>
                  </w:r>
                </w:p>
              </w:tc>
              <w:tc>
                <w:tcPr>
                  <w:tcW w:w="738" w:type="pct"/>
                  <w:noWrap w:val="0"/>
                  <w:vAlign w:val="center"/>
                </w:tcPr>
                <w:p w14:paraId="5F4D8CA5">
                  <w:pPr>
                    <w:pStyle w:val="77"/>
                    <w:shd w:val="clear"/>
                    <w:spacing w:line="240" w:lineRule="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占标率（%）</w:t>
                  </w:r>
                </w:p>
              </w:tc>
              <w:tc>
                <w:tcPr>
                  <w:tcW w:w="745" w:type="pct"/>
                  <w:noWrap w:val="0"/>
                  <w:vAlign w:val="center"/>
                </w:tcPr>
                <w:p w14:paraId="55B24457">
                  <w:pPr>
                    <w:pStyle w:val="77"/>
                    <w:shd w:val="clear"/>
                    <w:spacing w:line="240" w:lineRule="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达标情况</w:t>
                  </w:r>
                </w:p>
              </w:tc>
            </w:tr>
            <w:tr w14:paraId="74A95E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0" w:type="pct"/>
                  <w:vMerge w:val="restart"/>
                  <w:noWrap w:val="0"/>
                  <w:vAlign w:val="center"/>
                </w:tcPr>
                <w:p w14:paraId="4CBD14F0">
                  <w:pPr>
                    <w:pStyle w:val="77"/>
                    <w:shd w:val="clear"/>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SO</w:t>
                  </w:r>
                  <w:r>
                    <w:rPr>
                      <w:rFonts w:hint="default" w:ascii="Times New Roman" w:hAnsi="Times New Roman" w:eastAsia="宋体" w:cs="Times New Roman"/>
                      <w:color w:val="auto"/>
                      <w:highlight w:val="none"/>
                      <w:vertAlign w:val="subscript"/>
                    </w:rPr>
                    <w:t>2</w:t>
                  </w:r>
                </w:p>
              </w:tc>
              <w:tc>
                <w:tcPr>
                  <w:tcW w:w="1379" w:type="pct"/>
                  <w:noWrap w:val="0"/>
                  <w:vAlign w:val="center"/>
                </w:tcPr>
                <w:p w14:paraId="02F960C8">
                  <w:pPr>
                    <w:pStyle w:val="77"/>
                    <w:shd w:val="clear"/>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年平均质量浓度</w:t>
                  </w:r>
                </w:p>
              </w:tc>
              <w:tc>
                <w:tcPr>
                  <w:tcW w:w="791" w:type="pct"/>
                  <w:noWrap w:val="0"/>
                  <w:vAlign w:val="center"/>
                </w:tcPr>
                <w:p w14:paraId="1468DE46">
                  <w:pPr>
                    <w:pStyle w:val="77"/>
                    <w:shd w:val="clear"/>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w:t>
                  </w:r>
                </w:p>
              </w:tc>
              <w:tc>
                <w:tcPr>
                  <w:tcW w:w="854" w:type="pct"/>
                  <w:noWrap w:val="0"/>
                  <w:vAlign w:val="center"/>
                </w:tcPr>
                <w:p w14:paraId="632BDE71">
                  <w:pPr>
                    <w:pStyle w:val="77"/>
                    <w:shd w:val="clear"/>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60</w:t>
                  </w:r>
                </w:p>
              </w:tc>
              <w:tc>
                <w:tcPr>
                  <w:tcW w:w="738" w:type="pct"/>
                  <w:noWrap w:val="0"/>
                  <w:vAlign w:val="center"/>
                </w:tcPr>
                <w:p w14:paraId="02FFA128">
                  <w:pPr>
                    <w:pStyle w:val="77"/>
                    <w:shd w:val="clear"/>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8.33</w:t>
                  </w:r>
                </w:p>
              </w:tc>
              <w:tc>
                <w:tcPr>
                  <w:tcW w:w="745" w:type="pct"/>
                  <w:noWrap w:val="0"/>
                  <w:vAlign w:val="center"/>
                </w:tcPr>
                <w:p w14:paraId="7783C357">
                  <w:pPr>
                    <w:pStyle w:val="77"/>
                    <w:shd w:val="clear"/>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达标</w:t>
                  </w:r>
                </w:p>
              </w:tc>
            </w:tr>
            <w:tr w14:paraId="473659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0" w:type="pct"/>
                  <w:vMerge w:val="continue"/>
                  <w:noWrap w:val="0"/>
                  <w:vAlign w:val="center"/>
                </w:tcPr>
                <w:p w14:paraId="3204FD1F">
                  <w:pPr>
                    <w:pStyle w:val="77"/>
                    <w:shd w:val="clear"/>
                    <w:spacing w:line="240" w:lineRule="auto"/>
                    <w:rPr>
                      <w:rFonts w:hint="default" w:ascii="Times New Roman" w:hAnsi="Times New Roman" w:eastAsia="宋体" w:cs="Times New Roman"/>
                      <w:color w:val="auto"/>
                      <w:highlight w:val="none"/>
                    </w:rPr>
                  </w:pPr>
                </w:p>
              </w:tc>
              <w:tc>
                <w:tcPr>
                  <w:tcW w:w="1379" w:type="pct"/>
                  <w:noWrap w:val="0"/>
                  <w:vAlign w:val="center"/>
                </w:tcPr>
                <w:p w14:paraId="665132CE">
                  <w:pPr>
                    <w:pStyle w:val="77"/>
                    <w:shd w:val="clear"/>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24小时平均第98百分位数</w:t>
                  </w:r>
                </w:p>
              </w:tc>
              <w:tc>
                <w:tcPr>
                  <w:tcW w:w="791" w:type="pct"/>
                  <w:noWrap w:val="0"/>
                  <w:vAlign w:val="center"/>
                </w:tcPr>
                <w:p w14:paraId="2EB784E0">
                  <w:pPr>
                    <w:pStyle w:val="77"/>
                    <w:shd w:val="clear"/>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8</w:t>
                  </w:r>
                </w:p>
              </w:tc>
              <w:tc>
                <w:tcPr>
                  <w:tcW w:w="854" w:type="pct"/>
                  <w:noWrap w:val="0"/>
                  <w:vAlign w:val="center"/>
                </w:tcPr>
                <w:p w14:paraId="33D72F08">
                  <w:pPr>
                    <w:pStyle w:val="77"/>
                    <w:shd w:val="clear"/>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150</w:t>
                  </w:r>
                </w:p>
              </w:tc>
              <w:tc>
                <w:tcPr>
                  <w:tcW w:w="738" w:type="pct"/>
                  <w:noWrap w:val="0"/>
                  <w:vAlign w:val="center"/>
                </w:tcPr>
                <w:p w14:paraId="6D10E4A5">
                  <w:pPr>
                    <w:pStyle w:val="77"/>
                    <w:shd w:val="clear"/>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5.33</w:t>
                  </w:r>
                </w:p>
              </w:tc>
              <w:tc>
                <w:tcPr>
                  <w:tcW w:w="745" w:type="pct"/>
                  <w:noWrap w:val="0"/>
                  <w:vAlign w:val="center"/>
                </w:tcPr>
                <w:p w14:paraId="4C7EF51C">
                  <w:pPr>
                    <w:pStyle w:val="77"/>
                    <w:shd w:val="clear"/>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达标</w:t>
                  </w:r>
                </w:p>
              </w:tc>
            </w:tr>
            <w:tr w14:paraId="4328E5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0" w:type="pct"/>
                  <w:vMerge w:val="restart"/>
                  <w:noWrap w:val="0"/>
                  <w:vAlign w:val="center"/>
                </w:tcPr>
                <w:p w14:paraId="20590993">
                  <w:pPr>
                    <w:pStyle w:val="77"/>
                    <w:shd w:val="clear"/>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NO</w:t>
                  </w:r>
                  <w:r>
                    <w:rPr>
                      <w:rFonts w:hint="default" w:ascii="Times New Roman" w:hAnsi="Times New Roman" w:eastAsia="宋体" w:cs="Times New Roman"/>
                      <w:color w:val="auto"/>
                      <w:highlight w:val="none"/>
                      <w:vertAlign w:val="subscript"/>
                    </w:rPr>
                    <w:t>2</w:t>
                  </w:r>
                </w:p>
              </w:tc>
              <w:tc>
                <w:tcPr>
                  <w:tcW w:w="1379" w:type="pct"/>
                  <w:noWrap w:val="0"/>
                  <w:vAlign w:val="center"/>
                </w:tcPr>
                <w:p w14:paraId="6500AC8B">
                  <w:pPr>
                    <w:pStyle w:val="77"/>
                    <w:shd w:val="clear"/>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年平均质量浓度</w:t>
                  </w:r>
                </w:p>
              </w:tc>
              <w:tc>
                <w:tcPr>
                  <w:tcW w:w="791" w:type="pct"/>
                  <w:noWrap w:val="0"/>
                  <w:vAlign w:val="center"/>
                </w:tcPr>
                <w:p w14:paraId="45C50E61">
                  <w:pPr>
                    <w:pStyle w:val="77"/>
                    <w:shd w:val="clear"/>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2</w:t>
                  </w:r>
                  <w:r>
                    <w:rPr>
                      <w:rFonts w:hint="default" w:ascii="Times New Roman" w:hAnsi="Times New Roman" w:cs="Times New Roman"/>
                      <w:color w:val="auto"/>
                      <w:highlight w:val="none"/>
                      <w:lang w:val="en-US" w:eastAsia="zh-CN"/>
                    </w:rPr>
                    <w:t>2</w:t>
                  </w:r>
                </w:p>
              </w:tc>
              <w:tc>
                <w:tcPr>
                  <w:tcW w:w="854" w:type="pct"/>
                  <w:noWrap w:val="0"/>
                  <w:vAlign w:val="center"/>
                </w:tcPr>
                <w:p w14:paraId="09A7E0D8">
                  <w:pPr>
                    <w:pStyle w:val="77"/>
                    <w:shd w:val="clear"/>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40</w:t>
                  </w:r>
                </w:p>
              </w:tc>
              <w:tc>
                <w:tcPr>
                  <w:tcW w:w="738" w:type="pct"/>
                  <w:noWrap w:val="0"/>
                  <w:vAlign w:val="center"/>
                </w:tcPr>
                <w:p w14:paraId="6B6C9687">
                  <w:pPr>
                    <w:pStyle w:val="77"/>
                    <w:shd w:val="clear"/>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5</w:t>
                  </w:r>
                  <w:r>
                    <w:rPr>
                      <w:rFonts w:hint="default" w:ascii="Times New Roman" w:hAnsi="Times New Roman" w:cs="Times New Roman"/>
                      <w:color w:val="auto"/>
                      <w:highlight w:val="none"/>
                      <w:lang w:val="en-US" w:eastAsia="zh-CN"/>
                    </w:rPr>
                    <w:t>5</w:t>
                  </w:r>
                </w:p>
              </w:tc>
              <w:tc>
                <w:tcPr>
                  <w:tcW w:w="745" w:type="pct"/>
                  <w:noWrap w:val="0"/>
                  <w:vAlign w:val="center"/>
                </w:tcPr>
                <w:p w14:paraId="7D020F6F">
                  <w:pPr>
                    <w:pStyle w:val="77"/>
                    <w:shd w:val="clear"/>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达标</w:t>
                  </w:r>
                </w:p>
              </w:tc>
            </w:tr>
            <w:tr w14:paraId="554C60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0" w:type="pct"/>
                  <w:vMerge w:val="continue"/>
                  <w:noWrap w:val="0"/>
                  <w:vAlign w:val="center"/>
                </w:tcPr>
                <w:p w14:paraId="546AD6FA">
                  <w:pPr>
                    <w:pStyle w:val="77"/>
                    <w:shd w:val="clear"/>
                    <w:spacing w:line="240" w:lineRule="auto"/>
                    <w:rPr>
                      <w:rFonts w:hint="default" w:ascii="Times New Roman" w:hAnsi="Times New Roman" w:eastAsia="宋体" w:cs="Times New Roman"/>
                      <w:color w:val="auto"/>
                      <w:highlight w:val="none"/>
                    </w:rPr>
                  </w:pPr>
                </w:p>
              </w:tc>
              <w:tc>
                <w:tcPr>
                  <w:tcW w:w="1379" w:type="pct"/>
                  <w:noWrap w:val="0"/>
                  <w:vAlign w:val="center"/>
                </w:tcPr>
                <w:p w14:paraId="78DE5650">
                  <w:pPr>
                    <w:pStyle w:val="77"/>
                    <w:shd w:val="clear"/>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24小时平均第98百分位数</w:t>
                  </w:r>
                </w:p>
              </w:tc>
              <w:tc>
                <w:tcPr>
                  <w:tcW w:w="791" w:type="pct"/>
                  <w:noWrap w:val="0"/>
                  <w:vAlign w:val="center"/>
                </w:tcPr>
                <w:p w14:paraId="2E2958EE">
                  <w:pPr>
                    <w:pStyle w:val="77"/>
                    <w:shd w:val="clear"/>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5</w:t>
                  </w:r>
                  <w:r>
                    <w:rPr>
                      <w:rFonts w:hint="default" w:ascii="Times New Roman" w:hAnsi="Times New Roman" w:cs="Times New Roman"/>
                      <w:color w:val="auto"/>
                      <w:highlight w:val="none"/>
                      <w:lang w:val="en-US" w:eastAsia="zh-CN"/>
                    </w:rPr>
                    <w:t>4</w:t>
                  </w:r>
                </w:p>
              </w:tc>
              <w:tc>
                <w:tcPr>
                  <w:tcW w:w="854" w:type="pct"/>
                  <w:noWrap w:val="0"/>
                  <w:vAlign w:val="center"/>
                </w:tcPr>
                <w:p w14:paraId="162C7203">
                  <w:pPr>
                    <w:pStyle w:val="77"/>
                    <w:shd w:val="clear"/>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80</w:t>
                  </w:r>
                </w:p>
              </w:tc>
              <w:tc>
                <w:tcPr>
                  <w:tcW w:w="738" w:type="pct"/>
                  <w:noWrap w:val="0"/>
                  <w:vAlign w:val="center"/>
                </w:tcPr>
                <w:p w14:paraId="610AC88C">
                  <w:pPr>
                    <w:pStyle w:val="77"/>
                    <w:shd w:val="clear"/>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67.5</w:t>
                  </w:r>
                </w:p>
              </w:tc>
              <w:tc>
                <w:tcPr>
                  <w:tcW w:w="745" w:type="pct"/>
                  <w:noWrap w:val="0"/>
                  <w:vAlign w:val="center"/>
                </w:tcPr>
                <w:p w14:paraId="506D806A">
                  <w:pPr>
                    <w:pStyle w:val="77"/>
                    <w:shd w:val="clear"/>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达标</w:t>
                  </w:r>
                </w:p>
              </w:tc>
            </w:tr>
            <w:tr w14:paraId="514AFF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0" w:type="pct"/>
                  <w:vMerge w:val="restart"/>
                  <w:noWrap w:val="0"/>
                  <w:vAlign w:val="center"/>
                </w:tcPr>
                <w:p w14:paraId="23EF6C27">
                  <w:pPr>
                    <w:pStyle w:val="77"/>
                    <w:shd w:val="clear"/>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PM</w:t>
                  </w:r>
                  <w:r>
                    <w:rPr>
                      <w:rFonts w:hint="default" w:ascii="Times New Roman" w:hAnsi="Times New Roman" w:eastAsia="宋体" w:cs="Times New Roman"/>
                      <w:color w:val="auto"/>
                      <w:highlight w:val="none"/>
                      <w:vertAlign w:val="subscript"/>
                    </w:rPr>
                    <w:t>10</w:t>
                  </w:r>
                </w:p>
              </w:tc>
              <w:tc>
                <w:tcPr>
                  <w:tcW w:w="1379" w:type="pct"/>
                  <w:noWrap w:val="0"/>
                  <w:vAlign w:val="center"/>
                </w:tcPr>
                <w:p w14:paraId="287D0944">
                  <w:pPr>
                    <w:pStyle w:val="77"/>
                    <w:shd w:val="clear"/>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年平均质量浓度</w:t>
                  </w:r>
                </w:p>
              </w:tc>
              <w:tc>
                <w:tcPr>
                  <w:tcW w:w="791" w:type="pct"/>
                  <w:noWrap w:val="0"/>
                  <w:vAlign w:val="center"/>
                </w:tcPr>
                <w:p w14:paraId="77625A6C">
                  <w:pPr>
                    <w:pStyle w:val="77"/>
                    <w:shd w:val="clear"/>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3</w:t>
                  </w:r>
                  <w:r>
                    <w:rPr>
                      <w:rFonts w:hint="default" w:ascii="Times New Roman" w:hAnsi="Times New Roman" w:cs="Times New Roman"/>
                      <w:color w:val="auto"/>
                      <w:highlight w:val="none"/>
                      <w:lang w:val="en-US" w:eastAsia="zh-CN"/>
                    </w:rPr>
                    <w:t>4</w:t>
                  </w:r>
                </w:p>
              </w:tc>
              <w:tc>
                <w:tcPr>
                  <w:tcW w:w="1296" w:type="dxa"/>
                  <w:noWrap w:val="0"/>
                  <w:vAlign w:val="center"/>
                </w:tcPr>
                <w:p w14:paraId="4E28F462">
                  <w:pPr>
                    <w:pStyle w:val="77"/>
                    <w:shd w:val="clear"/>
                    <w:spacing w:line="240" w:lineRule="auto"/>
                    <w:rPr>
                      <w:rFonts w:hint="default" w:ascii="Times New Roman" w:hAnsi="Times New Roman" w:eastAsia="宋体" w:cs="Times New Roman"/>
                      <w:color w:val="auto"/>
                      <w:highlight w:val="none"/>
                    </w:rPr>
                  </w:pPr>
                  <w:r>
                    <w:rPr>
                      <w:rFonts w:hint="eastAsia" w:hAnsi="Times New Roman" w:cs="Times New Roman"/>
                      <w:color w:val="auto"/>
                      <w:highlight w:val="none"/>
                      <w:lang w:val="en-US" w:eastAsia="zh-CN"/>
                    </w:rPr>
                    <w:t>60</w:t>
                  </w:r>
                </w:p>
              </w:tc>
              <w:tc>
                <w:tcPr>
                  <w:tcW w:w="1120" w:type="dxa"/>
                  <w:noWrap w:val="0"/>
                  <w:vAlign w:val="center"/>
                </w:tcPr>
                <w:p w14:paraId="0B3D993C">
                  <w:pPr>
                    <w:pStyle w:val="77"/>
                    <w:shd w:val="clear"/>
                    <w:spacing w:line="240" w:lineRule="auto"/>
                    <w:rPr>
                      <w:rFonts w:hint="default" w:ascii="Times New Roman" w:hAnsi="Times New Roman" w:eastAsia="宋体" w:cs="Times New Roman"/>
                      <w:color w:val="auto"/>
                      <w:highlight w:val="none"/>
                      <w:lang w:val="en-US" w:eastAsia="zh-CN"/>
                    </w:rPr>
                  </w:pPr>
                  <w:r>
                    <w:rPr>
                      <w:rFonts w:hint="eastAsia" w:hAnsi="Times New Roman" w:cs="Times New Roman"/>
                      <w:color w:val="auto"/>
                      <w:highlight w:val="none"/>
                      <w:lang w:val="en-US" w:eastAsia="zh-CN"/>
                    </w:rPr>
                    <w:t>56.67</w:t>
                  </w:r>
                </w:p>
              </w:tc>
              <w:tc>
                <w:tcPr>
                  <w:tcW w:w="745" w:type="pct"/>
                  <w:noWrap w:val="0"/>
                  <w:vAlign w:val="center"/>
                </w:tcPr>
                <w:p w14:paraId="437047ED">
                  <w:pPr>
                    <w:pStyle w:val="77"/>
                    <w:shd w:val="clear"/>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达标</w:t>
                  </w:r>
                </w:p>
              </w:tc>
            </w:tr>
            <w:tr w14:paraId="192E2D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0" w:type="pct"/>
                  <w:vMerge w:val="continue"/>
                  <w:noWrap w:val="0"/>
                  <w:vAlign w:val="center"/>
                </w:tcPr>
                <w:p w14:paraId="5A0511E4">
                  <w:pPr>
                    <w:pStyle w:val="77"/>
                    <w:shd w:val="clear"/>
                    <w:spacing w:line="240" w:lineRule="auto"/>
                    <w:rPr>
                      <w:rFonts w:hint="default" w:ascii="Times New Roman" w:hAnsi="Times New Roman" w:eastAsia="宋体" w:cs="Times New Roman"/>
                      <w:color w:val="auto"/>
                      <w:highlight w:val="none"/>
                    </w:rPr>
                  </w:pPr>
                </w:p>
              </w:tc>
              <w:tc>
                <w:tcPr>
                  <w:tcW w:w="1379" w:type="pct"/>
                  <w:noWrap w:val="0"/>
                  <w:vAlign w:val="center"/>
                </w:tcPr>
                <w:p w14:paraId="36689B5E">
                  <w:pPr>
                    <w:pStyle w:val="77"/>
                    <w:shd w:val="clear"/>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24小时平均第95百分位数</w:t>
                  </w:r>
                </w:p>
              </w:tc>
              <w:tc>
                <w:tcPr>
                  <w:tcW w:w="791" w:type="pct"/>
                  <w:noWrap w:val="0"/>
                  <w:vAlign w:val="center"/>
                </w:tcPr>
                <w:p w14:paraId="7ED3391B">
                  <w:pPr>
                    <w:pStyle w:val="77"/>
                    <w:shd w:val="clear"/>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68</w:t>
                  </w:r>
                </w:p>
              </w:tc>
              <w:tc>
                <w:tcPr>
                  <w:tcW w:w="1296" w:type="dxa"/>
                  <w:noWrap w:val="0"/>
                  <w:vAlign w:val="center"/>
                </w:tcPr>
                <w:p w14:paraId="533BCA6D">
                  <w:pPr>
                    <w:pStyle w:val="77"/>
                    <w:shd w:val="clear"/>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r>
                    <w:rPr>
                      <w:rFonts w:hint="eastAsia" w:hAnsi="Times New Roman" w:cs="Times New Roman"/>
                      <w:color w:val="auto"/>
                      <w:highlight w:val="none"/>
                      <w:lang w:val="en-US" w:eastAsia="zh-CN"/>
                    </w:rPr>
                    <w:t>20</w:t>
                  </w:r>
                </w:p>
              </w:tc>
              <w:tc>
                <w:tcPr>
                  <w:tcW w:w="1120" w:type="dxa"/>
                  <w:noWrap w:val="0"/>
                  <w:vAlign w:val="center"/>
                </w:tcPr>
                <w:p w14:paraId="54A9D80B">
                  <w:pPr>
                    <w:pStyle w:val="77"/>
                    <w:shd w:val="clear"/>
                    <w:spacing w:line="240" w:lineRule="auto"/>
                    <w:rPr>
                      <w:rFonts w:hint="default" w:ascii="Times New Roman" w:hAnsi="Times New Roman" w:eastAsia="宋体" w:cs="Times New Roman"/>
                      <w:color w:val="auto"/>
                      <w:highlight w:val="none"/>
                      <w:lang w:val="en-US" w:eastAsia="zh-CN"/>
                    </w:rPr>
                  </w:pPr>
                  <w:r>
                    <w:rPr>
                      <w:rFonts w:hint="eastAsia" w:hAnsi="Times New Roman" w:cs="Times New Roman"/>
                      <w:color w:val="auto"/>
                      <w:highlight w:val="none"/>
                      <w:lang w:val="en-US" w:eastAsia="zh-CN"/>
                    </w:rPr>
                    <w:t>56.67</w:t>
                  </w:r>
                </w:p>
              </w:tc>
              <w:tc>
                <w:tcPr>
                  <w:tcW w:w="745" w:type="pct"/>
                  <w:noWrap w:val="0"/>
                  <w:vAlign w:val="center"/>
                </w:tcPr>
                <w:p w14:paraId="70BA43EB">
                  <w:pPr>
                    <w:pStyle w:val="77"/>
                    <w:shd w:val="clear"/>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达标</w:t>
                  </w:r>
                </w:p>
              </w:tc>
            </w:tr>
            <w:tr w14:paraId="0C3C52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0" w:type="pct"/>
                  <w:vMerge w:val="restart"/>
                  <w:noWrap w:val="0"/>
                  <w:vAlign w:val="center"/>
                </w:tcPr>
                <w:p w14:paraId="2C32C0A4">
                  <w:pPr>
                    <w:pStyle w:val="77"/>
                    <w:shd w:val="clear"/>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PM</w:t>
                  </w:r>
                  <w:r>
                    <w:rPr>
                      <w:rFonts w:hint="default" w:ascii="Times New Roman" w:hAnsi="Times New Roman" w:eastAsia="宋体" w:cs="Times New Roman"/>
                      <w:color w:val="auto"/>
                      <w:highlight w:val="none"/>
                      <w:vertAlign w:val="subscript"/>
                    </w:rPr>
                    <w:t>2.5</w:t>
                  </w:r>
                </w:p>
              </w:tc>
              <w:tc>
                <w:tcPr>
                  <w:tcW w:w="1379" w:type="pct"/>
                  <w:noWrap w:val="0"/>
                  <w:vAlign w:val="center"/>
                </w:tcPr>
                <w:p w14:paraId="2A6EE066">
                  <w:pPr>
                    <w:pStyle w:val="77"/>
                    <w:shd w:val="clear"/>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年平均质量浓度</w:t>
                  </w:r>
                </w:p>
              </w:tc>
              <w:tc>
                <w:tcPr>
                  <w:tcW w:w="791" w:type="pct"/>
                  <w:noWrap w:val="0"/>
                  <w:vAlign w:val="center"/>
                </w:tcPr>
                <w:p w14:paraId="38AC278D">
                  <w:pPr>
                    <w:pStyle w:val="77"/>
                    <w:shd w:val="clear"/>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20</w:t>
                  </w:r>
                </w:p>
              </w:tc>
              <w:tc>
                <w:tcPr>
                  <w:tcW w:w="1296" w:type="dxa"/>
                  <w:noWrap w:val="0"/>
                  <w:vAlign w:val="center"/>
                </w:tcPr>
                <w:p w14:paraId="2BEE0090">
                  <w:pPr>
                    <w:pStyle w:val="77"/>
                    <w:shd w:val="clear"/>
                    <w:spacing w:line="240" w:lineRule="auto"/>
                    <w:rPr>
                      <w:rFonts w:hint="default" w:ascii="Times New Roman" w:hAnsi="Times New Roman" w:eastAsia="宋体" w:cs="Times New Roman"/>
                      <w:color w:val="auto"/>
                      <w:highlight w:val="none"/>
                    </w:rPr>
                  </w:pPr>
                  <w:r>
                    <w:rPr>
                      <w:rFonts w:hint="eastAsia" w:hAnsi="Times New Roman" w:cs="Times New Roman"/>
                      <w:color w:val="auto"/>
                      <w:highlight w:val="none"/>
                      <w:lang w:val="en-US" w:eastAsia="zh-CN"/>
                    </w:rPr>
                    <w:t>30</w:t>
                  </w:r>
                </w:p>
              </w:tc>
              <w:tc>
                <w:tcPr>
                  <w:tcW w:w="1120" w:type="dxa"/>
                  <w:noWrap w:val="0"/>
                  <w:vAlign w:val="center"/>
                </w:tcPr>
                <w:p w14:paraId="60FC07DC">
                  <w:pPr>
                    <w:pStyle w:val="77"/>
                    <w:shd w:val="clear"/>
                    <w:spacing w:line="240" w:lineRule="auto"/>
                    <w:rPr>
                      <w:rFonts w:hint="default" w:ascii="Times New Roman" w:hAnsi="Times New Roman" w:eastAsia="宋体" w:cs="Times New Roman"/>
                      <w:color w:val="auto"/>
                      <w:highlight w:val="none"/>
                    </w:rPr>
                  </w:pPr>
                  <w:r>
                    <w:rPr>
                      <w:rFonts w:hint="eastAsia" w:hAnsi="Times New Roman" w:cs="Times New Roman"/>
                      <w:color w:val="auto"/>
                      <w:highlight w:val="none"/>
                      <w:lang w:val="en-US" w:eastAsia="zh-CN"/>
                    </w:rPr>
                    <w:t>66.67</w:t>
                  </w:r>
                </w:p>
              </w:tc>
              <w:tc>
                <w:tcPr>
                  <w:tcW w:w="745" w:type="pct"/>
                  <w:noWrap w:val="0"/>
                  <w:vAlign w:val="center"/>
                </w:tcPr>
                <w:p w14:paraId="6988CD5B">
                  <w:pPr>
                    <w:pStyle w:val="77"/>
                    <w:shd w:val="clear"/>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达标</w:t>
                  </w:r>
                </w:p>
              </w:tc>
            </w:tr>
            <w:tr w14:paraId="0D8477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0" w:type="pct"/>
                  <w:vMerge w:val="continue"/>
                  <w:noWrap w:val="0"/>
                  <w:vAlign w:val="center"/>
                </w:tcPr>
                <w:p w14:paraId="04C7B5A9">
                  <w:pPr>
                    <w:pStyle w:val="77"/>
                    <w:shd w:val="clear"/>
                    <w:spacing w:line="240" w:lineRule="auto"/>
                    <w:rPr>
                      <w:rFonts w:hint="default" w:ascii="Times New Roman" w:hAnsi="Times New Roman" w:eastAsia="宋体" w:cs="Times New Roman"/>
                      <w:color w:val="auto"/>
                      <w:highlight w:val="none"/>
                    </w:rPr>
                  </w:pPr>
                </w:p>
              </w:tc>
              <w:tc>
                <w:tcPr>
                  <w:tcW w:w="1379" w:type="pct"/>
                  <w:noWrap w:val="0"/>
                  <w:vAlign w:val="center"/>
                </w:tcPr>
                <w:p w14:paraId="551D72C7">
                  <w:pPr>
                    <w:pStyle w:val="77"/>
                    <w:shd w:val="clear"/>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24小时平均第95百分位数</w:t>
                  </w:r>
                </w:p>
              </w:tc>
              <w:tc>
                <w:tcPr>
                  <w:tcW w:w="791" w:type="pct"/>
                  <w:noWrap w:val="0"/>
                  <w:vAlign w:val="center"/>
                </w:tcPr>
                <w:p w14:paraId="3D62FD00">
                  <w:pPr>
                    <w:pStyle w:val="77"/>
                    <w:shd w:val="clear"/>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4</w:t>
                  </w:r>
                  <w:r>
                    <w:rPr>
                      <w:rFonts w:hint="default" w:ascii="Times New Roman" w:hAnsi="Times New Roman" w:cs="Times New Roman"/>
                      <w:color w:val="auto"/>
                      <w:highlight w:val="none"/>
                      <w:lang w:val="en-US" w:eastAsia="zh-CN"/>
                    </w:rPr>
                    <w:t>6</w:t>
                  </w:r>
                </w:p>
              </w:tc>
              <w:tc>
                <w:tcPr>
                  <w:tcW w:w="1296" w:type="dxa"/>
                  <w:noWrap w:val="0"/>
                  <w:vAlign w:val="center"/>
                </w:tcPr>
                <w:p w14:paraId="7FCD9DA8">
                  <w:pPr>
                    <w:pStyle w:val="77"/>
                    <w:shd w:val="clear"/>
                    <w:spacing w:line="240" w:lineRule="auto"/>
                    <w:rPr>
                      <w:rFonts w:hint="default" w:ascii="Times New Roman" w:hAnsi="Times New Roman" w:eastAsia="宋体" w:cs="Times New Roman"/>
                      <w:color w:val="auto"/>
                      <w:highlight w:val="none"/>
                    </w:rPr>
                  </w:pPr>
                  <w:r>
                    <w:rPr>
                      <w:rFonts w:hint="eastAsia" w:hAnsi="Times New Roman" w:cs="Times New Roman"/>
                      <w:color w:val="auto"/>
                      <w:highlight w:val="none"/>
                      <w:lang w:val="en-US" w:eastAsia="zh-CN"/>
                    </w:rPr>
                    <w:t>60</w:t>
                  </w:r>
                </w:p>
              </w:tc>
              <w:tc>
                <w:tcPr>
                  <w:tcW w:w="1120" w:type="dxa"/>
                  <w:noWrap w:val="0"/>
                  <w:vAlign w:val="center"/>
                </w:tcPr>
                <w:p w14:paraId="684239C1">
                  <w:pPr>
                    <w:pStyle w:val="77"/>
                    <w:shd w:val="clear"/>
                    <w:spacing w:line="240" w:lineRule="auto"/>
                    <w:rPr>
                      <w:rFonts w:hint="default" w:ascii="Times New Roman" w:hAnsi="Times New Roman" w:eastAsia="宋体" w:cs="Times New Roman"/>
                      <w:color w:val="auto"/>
                      <w:highlight w:val="none"/>
                      <w:lang w:val="en-US" w:eastAsia="zh-CN"/>
                    </w:rPr>
                  </w:pPr>
                  <w:r>
                    <w:rPr>
                      <w:rFonts w:hint="eastAsia" w:hAnsi="Times New Roman" w:cs="Times New Roman"/>
                      <w:color w:val="auto"/>
                      <w:highlight w:val="none"/>
                      <w:lang w:val="en-US" w:eastAsia="zh-CN"/>
                    </w:rPr>
                    <w:t>76.67</w:t>
                  </w:r>
                </w:p>
              </w:tc>
              <w:tc>
                <w:tcPr>
                  <w:tcW w:w="745" w:type="pct"/>
                  <w:noWrap w:val="0"/>
                  <w:vAlign w:val="center"/>
                </w:tcPr>
                <w:p w14:paraId="19E84EF9">
                  <w:pPr>
                    <w:pStyle w:val="77"/>
                    <w:shd w:val="clear"/>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达标</w:t>
                  </w:r>
                </w:p>
              </w:tc>
            </w:tr>
            <w:tr w14:paraId="2CF774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0" w:type="pct"/>
                  <w:noWrap w:val="0"/>
                  <w:vAlign w:val="center"/>
                </w:tcPr>
                <w:p w14:paraId="4A8E468D">
                  <w:pPr>
                    <w:pStyle w:val="77"/>
                    <w:shd w:val="clear"/>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CO</w:t>
                  </w:r>
                </w:p>
              </w:tc>
              <w:tc>
                <w:tcPr>
                  <w:tcW w:w="1379" w:type="pct"/>
                  <w:noWrap w:val="0"/>
                  <w:vAlign w:val="center"/>
                </w:tcPr>
                <w:p w14:paraId="068B3E48">
                  <w:pPr>
                    <w:pStyle w:val="77"/>
                    <w:shd w:val="clear"/>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24小时平均第95百分位数</w:t>
                  </w:r>
                </w:p>
              </w:tc>
              <w:tc>
                <w:tcPr>
                  <w:tcW w:w="791" w:type="pct"/>
                  <w:noWrap w:val="0"/>
                  <w:vAlign w:val="center"/>
                </w:tcPr>
                <w:p w14:paraId="7AA7DBAA">
                  <w:pPr>
                    <w:pStyle w:val="77"/>
                    <w:shd w:val="clear"/>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800</w:t>
                  </w:r>
                </w:p>
              </w:tc>
              <w:tc>
                <w:tcPr>
                  <w:tcW w:w="854" w:type="pct"/>
                  <w:noWrap w:val="0"/>
                  <w:vAlign w:val="center"/>
                </w:tcPr>
                <w:p w14:paraId="7AAB2A83">
                  <w:pPr>
                    <w:pStyle w:val="77"/>
                    <w:shd w:val="clear"/>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4000</w:t>
                  </w:r>
                </w:p>
              </w:tc>
              <w:tc>
                <w:tcPr>
                  <w:tcW w:w="738" w:type="pct"/>
                  <w:noWrap w:val="0"/>
                  <w:vAlign w:val="center"/>
                </w:tcPr>
                <w:p w14:paraId="709FD2A6">
                  <w:pPr>
                    <w:pStyle w:val="77"/>
                    <w:shd w:val="clear"/>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20</w:t>
                  </w:r>
                </w:p>
              </w:tc>
              <w:tc>
                <w:tcPr>
                  <w:tcW w:w="745" w:type="pct"/>
                  <w:noWrap w:val="0"/>
                  <w:vAlign w:val="center"/>
                </w:tcPr>
                <w:p w14:paraId="28EC2C37">
                  <w:pPr>
                    <w:pStyle w:val="77"/>
                    <w:shd w:val="clear"/>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达标</w:t>
                  </w:r>
                </w:p>
              </w:tc>
            </w:tr>
            <w:tr w14:paraId="586DDC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0" w:type="pct"/>
                  <w:noWrap w:val="0"/>
                  <w:vAlign w:val="center"/>
                </w:tcPr>
                <w:p w14:paraId="3C65F4E3">
                  <w:pPr>
                    <w:pStyle w:val="77"/>
                    <w:shd w:val="clear"/>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O</w:t>
                  </w:r>
                  <w:r>
                    <w:rPr>
                      <w:rFonts w:hint="default" w:ascii="Times New Roman" w:hAnsi="Times New Roman" w:eastAsia="宋体" w:cs="Times New Roman"/>
                      <w:color w:val="auto"/>
                      <w:highlight w:val="none"/>
                      <w:vertAlign w:val="subscript"/>
                    </w:rPr>
                    <w:t>3</w:t>
                  </w:r>
                </w:p>
              </w:tc>
              <w:tc>
                <w:tcPr>
                  <w:tcW w:w="1379" w:type="pct"/>
                  <w:noWrap w:val="0"/>
                  <w:vAlign w:val="center"/>
                </w:tcPr>
                <w:p w14:paraId="287E73E2">
                  <w:pPr>
                    <w:pStyle w:val="77"/>
                    <w:shd w:val="clear"/>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日最大8h滑动平均值第90百分位数</w:t>
                  </w:r>
                </w:p>
              </w:tc>
              <w:tc>
                <w:tcPr>
                  <w:tcW w:w="791" w:type="pct"/>
                  <w:noWrap w:val="0"/>
                  <w:vAlign w:val="center"/>
                </w:tcPr>
                <w:p w14:paraId="53A35778">
                  <w:pPr>
                    <w:pStyle w:val="77"/>
                    <w:shd w:val="clear"/>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1</w:t>
                  </w:r>
                  <w:r>
                    <w:rPr>
                      <w:rFonts w:hint="default" w:ascii="Times New Roman" w:hAnsi="Times New Roman" w:cs="Times New Roman"/>
                      <w:color w:val="auto"/>
                      <w:highlight w:val="none"/>
                      <w:lang w:val="en-US" w:eastAsia="zh-CN"/>
                    </w:rPr>
                    <w:t>51</w:t>
                  </w:r>
                </w:p>
              </w:tc>
              <w:tc>
                <w:tcPr>
                  <w:tcW w:w="854" w:type="pct"/>
                  <w:noWrap w:val="0"/>
                  <w:vAlign w:val="center"/>
                </w:tcPr>
                <w:p w14:paraId="6801F8AA">
                  <w:pPr>
                    <w:pStyle w:val="77"/>
                    <w:shd w:val="clear"/>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160</w:t>
                  </w:r>
                </w:p>
              </w:tc>
              <w:tc>
                <w:tcPr>
                  <w:tcW w:w="738" w:type="pct"/>
                  <w:noWrap w:val="0"/>
                  <w:vAlign w:val="center"/>
                </w:tcPr>
                <w:p w14:paraId="466B62A6">
                  <w:pPr>
                    <w:pStyle w:val="77"/>
                    <w:shd w:val="clear"/>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94.37</w:t>
                  </w:r>
                </w:p>
              </w:tc>
              <w:tc>
                <w:tcPr>
                  <w:tcW w:w="745" w:type="pct"/>
                  <w:noWrap w:val="0"/>
                  <w:vAlign w:val="center"/>
                </w:tcPr>
                <w:p w14:paraId="6B079D4E">
                  <w:pPr>
                    <w:pStyle w:val="77"/>
                    <w:shd w:val="clear"/>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达标</w:t>
                  </w:r>
                </w:p>
              </w:tc>
            </w:tr>
          </w:tbl>
          <w:p w14:paraId="3BFC95DF">
            <w:pPr>
              <w:shd w:val="clear"/>
              <w:spacing w:line="360" w:lineRule="auto"/>
              <w:ind w:firstLine="482" w:firstLineChars="200"/>
              <w:jc w:val="left"/>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2、基本污染物环境质量现状</w:t>
            </w:r>
          </w:p>
          <w:p w14:paraId="64BF9935">
            <w:pPr>
              <w:shd w:val="clear"/>
              <w:spacing w:line="360" w:lineRule="auto"/>
              <w:ind w:firstLine="420" w:firstLineChars="20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本项目位于环境空气二类功能区，基本污染物SO</w:t>
            </w:r>
            <w:r>
              <w:rPr>
                <w:rFonts w:hint="default" w:ascii="Times New Roman" w:hAnsi="Times New Roman" w:eastAsia="宋体" w:cs="Times New Roman"/>
                <w:color w:val="auto"/>
                <w:sz w:val="21"/>
                <w:szCs w:val="21"/>
                <w:highlight w:val="none"/>
                <w:vertAlign w:val="subscript"/>
              </w:rPr>
              <w:t>2</w:t>
            </w:r>
            <w:r>
              <w:rPr>
                <w:rFonts w:hint="default" w:ascii="Times New Roman" w:hAnsi="Times New Roman" w:eastAsia="宋体" w:cs="Times New Roman"/>
                <w:color w:val="auto"/>
                <w:sz w:val="21"/>
                <w:szCs w:val="21"/>
                <w:highlight w:val="none"/>
              </w:rPr>
              <w:t>、NO</w:t>
            </w:r>
            <w:r>
              <w:rPr>
                <w:rFonts w:hint="default" w:ascii="Times New Roman" w:hAnsi="Times New Roman" w:eastAsia="宋体" w:cs="Times New Roman"/>
                <w:color w:val="auto"/>
                <w:sz w:val="21"/>
                <w:szCs w:val="21"/>
                <w:highlight w:val="none"/>
                <w:vertAlign w:val="subscript"/>
              </w:rPr>
              <w:t>2</w:t>
            </w:r>
            <w:r>
              <w:rPr>
                <w:rFonts w:hint="default" w:ascii="Times New Roman" w:hAnsi="Times New Roman" w:eastAsia="宋体" w:cs="Times New Roman"/>
                <w:color w:val="auto"/>
                <w:sz w:val="21"/>
                <w:szCs w:val="21"/>
                <w:highlight w:val="none"/>
              </w:rPr>
              <w:t>、PM</w:t>
            </w:r>
            <w:r>
              <w:rPr>
                <w:rFonts w:hint="default" w:ascii="Times New Roman" w:hAnsi="Times New Roman" w:eastAsia="宋体" w:cs="Times New Roman"/>
                <w:color w:val="auto"/>
                <w:sz w:val="21"/>
                <w:szCs w:val="21"/>
                <w:highlight w:val="none"/>
                <w:vertAlign w:val="subscript"/>
              </w:rPr>
              <w:t>10</w:t>
            </w:r>
            <w:r>
              <w:rPr>
                <w:rFonts w:hint="default" w:ascii="Times New Roman" w:hAnsi="Times New Roman" w:eastAsia="宋体" w:cs="Times New Roman"/>
                <w:color w:val="auto"/>
                <w:sz w:val="21"/>
                <w:szCs w:val="21"/>
                <w:highlight w:val="none"/>
              </w:rPr>
              <w:t>、PM</w:t>
            </w:r>
            <w:r>
              <w:rPr>
                <w:rFonts w:hint="default" w:ascii="Times New Roman" w:hAnsi="Times New Roman" w:eastAsia="宋体" w:cs="Times New Roman"/>
                <w:color w:val="auto"/>
                <w:sz w:val="21"/>
                <w:szCs w:val="21"/>
                <w:highlight w:val="none"/>
                <w:vertAlign w:val="subscript"/>
              </w:rPr>
              <w:t>2.5</w:t>
            </w:r>
            <w:r>
              <w:rPr>
                <w:rFonts w:hint="default" w:ascii="Times New Roman" w:hAnsi="Times New Roman" w:eastAsia="宋体" w:cs="Times New Roman"/>
                <w:color w:val="auto"/>
                <w:sz w:val="21"/>
                <w:szCs w:val="21"/>
                <w:highlight w:val="none"/>
              </w:rPr>
              <w:t>、CO、O</w:t>
            </w:r>
            <w:r>
              <w:rPr>
                <w:rFonts w:hint="default" w:ascii="Times New Roman" w:hAnsi="Times New Roman" w:eastAsia="宋体" w:cs="Times New Roman"/>
                <w:color w:val="auto"/>
                <w:sz w:val="21"/>
                <w:szCs w:val="21"/>
                <w:highlight w:val="none"/>
                <w:vertAlign w:val="subscript"/>
              </w:rPr>
              <w:t>3</w:t>
            </w:r>
            <w:r>
              <w:rPr>
                <w:rFonts w:hint="default" w:ascii="Times New Roman" w:hAnsi="Times New Roman" w:eastAsia="宋体" w:cs="Times New Roman"/>
                <w:color w:val="auto"/>
                <w:sz w:val="21"/>
                <w:szCs w:val="21"/>
                <w:highlight w:val="none"/>
              </w:rPr>
              <w:t>执行《环境空气质量标准》（GB3095-20</w:t>
            </w:r>
            <w:r>
              <w:rPr>
                <w:rFonts w:hint="eastAsia" w:cs="Times New Roman"/>
                <w:color w:val="auto"/>
                <w:sz w:val="21"/>
                <w:szCs w:val="21"/>
                <w:highlight w:val="none"/>
                <w:lang w:val="en-US" w:eastAsia="zh-CN"/>
              </w:rPr>
              <w:t>26</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过渡阶段浓度限值中的二级标准</w:t>
            </w:r>
            <w:r>
              <w:rPr>
                <w:rFonts w:hint="default" w:ascii="Times New Roman" w:hAnsi="Times New Roman" w:eastAsia="宋体" w:cs="Times New Roman"/>
                <w:color w:val="auto"/>
                <w:sz w:val="21"/>
                <w:szCs w:val="21"/>
                <w:highlight w:val="none"/>
              </w:rPr>
              <w:t>。本次环评引用中山市</w:t>
            </w:r>
            <w:r>
              <w:rPr>
                <w:rFonts w:hint="eastAsia" w:cs="Times New Roman"/>
                <w:color w:val="auto"/>
                <w:sz w:val="21"/>
                <w:szCs w:val="21"/>
                <w:highlight w:val="none"/>
                <w:lang w:val="en-US" w:eastAsia="zh-CN"/>
              </w:rPr>
              <w:t>民众</w:t>
            </w:r>
            <w:r>
              <w:rPr>
                <w:rFonts w:hint="default" w:ascii="Times New Roman" w:hAnsi="Times New Roman" w:eastAsia="宋体" w:cs="Times New Roman"/>
                <w:color w:val="auto"/>
                <w:sz w:val="21"/>
                <w:szCs w:val="21"/>
                <w:highlight w:val="none"/>
              </w:rPr>
              <w:t>监测站202</w:t>
            </w:r>
            <w:r>
              <w:rPr>
                <w:rFonts w:hint="default" w:ascii="Times New Roman" w:hAnsi="Times New Roman" w:cs="Times New Roman"/>
                <w:color w:val="auto"/>
                <w:sz w:val="21"/>
                <w:szCs w:val="21"/>
                <w:highlight w:val="none"/>
                <w:lang w:val="en-US" w:eastAsia="zh-CN"/>
              </w:rPr>
              <w:t>4</w:t>
            </w:r>
            <w:r>
              <w:rPr>
                <w:rFonts w:hint="default" w:ascii="Times New Roman" w:hAnsi="Times New Roman" w:eastAsia="宋体" w:cs="Times New Roman"/>
                <w:color w:val="auto"/>
                <w:sz w:val="21"/>
                <w:szCs w:val="21"/>
                <w:highlight w:val="none"/>
              </w:rPr>
              <w:t>年空气质量自动监测数据对基本污染物环境质量现状进行评价，根据《中山市202</w:t>
            </w:r>
            <w:r>
              <w:rPr>
                <w:rFonts w:hint="default" w:ascii="Times New Roman" w:hAnsi="Times New Roman" w:cs="Times New Roman"/>
                <w:color w:val="auto"/>
                <w:sz w:val="21"/>
                <w:szCs w:val="21"/>
                <w:highlight w:val="none"/>
                <w:lang w:val="en-US" w:eastAsia="zh-CN"/>
              </w:rPr>
              <w:t>4</w:t>
            </w:r>
            <w:r>
              <w:rPr>
                <w:rFonts w:hint="default" w:ascii="Times New Roman" w:hAnsi="Times New Roman" w:eastAsia="宋体" w:cs="Times New Roman"/>
                <w:color w:val="auto"/>
                <w:sz w:val="21"/>
                <w:szCs w:val="21"/>
                <w:highlight w:val="none"/>
              </w:rPr>
              <w:t>年空气质量监测站日均值</w:t>
            </w:r>
            <w:r>
              <w:rPr>
                <w:rFonts w:hint="default" w:ascii="Times New Roman" w:hAnsi="Times New Roman" w:cs="Times New Roman"/>
                <w:color w:val="auto"/>
                <w:sz w:val="21"/>
                <w:szCs w:val="21"/>
                <w:highlight w:val="none"/>
                <w:lang w:val="en-US" w:eastAsia="zh-CN"/>
              </w:rPr>
              <w:t>状况</w:t>
            </w:r>
            <w:r>
              <w:rPr>
                <w:rFonts w:hint="default" w:ascii="Times New Roman" w:hAnsi="Times New Roman" w:eastAsia="宋体" w:cs="Times New Roman"/>
                <w:color w:val="auto"/>
                <w:sz w:val="21"/>
                <w:szCs w:val="21"/>
                <w:highlight w:val="none"/>
              </w:rPr>
              <w:t>公报》，</w:t>
            </w:r>
            <w:r>
              <w:rPr>
                <w:rFonts w:hint="eastAsia" w:cs="Times New Roman"/>
                <w:color w:val="auto"/>
                <w:sz w:val="21"/>
                <w:szCs w:val="21"/>
                <w:highlight w:val="none"/>
                <w:lang w:val="en-US" w:eastAsia="zh-CN"/>
              </w:rPr>
              <w:t>民众</w:t>
            </w:r>
            <w:r>
              <w:rPr>
                <w:rFonts w:hint="default" w:ascii="Times New Roman" w:hAnsi="Times New Roman" w:eastAsia="宋体" w:cs="Times New Roman"/>
                <w:color w:val="auto"/>
                <w:sz w:val="21"/>
                <w:szCs w:val="21"/>
                <w:highlight w:val="none"/>
              </w:rPr>
              <w:t>监测站202</w:t>
            </w:r>
            <w:r>
              <w:rPr>
                <w:rFonts w:hint="default" w:ascii="Times New Roman" w:hAnsi="Times New Roman" w:cs="Times New Roman"/>
                <w:color w:val="auto"/>
                <w:sz w:val="21"/>
                <w:szCs w:val="21"/>
                <w:highlight w:val="none"/>
                <w:lang w:val="en-US" w:eastAsia="zh-CN"/>
              </w:rPr>
              <w:t>4</w:t>
            </w:r>
            <w:r>
              <w:rPr>
                <w:rFonts w:hint="default" w:ascii="Times New Roman" w:hAnsi="Times New Roman" w:eastAsia="宋体" w:cs="Times New Roman"/>
                <w:color w:val="auto"/>
                <w:sz w:val="21"/>
                <w:szCs w:val="21"/>
                <w:highlight w:val="none"/>
              </w:rPr>
              <w:t>年基本污染物SO</w:t>
            </w:r>
            <w:r>
              <w:rPr>
                <w:rFonts w:hint="default" w:ascii="Times New Roman" w:hAnsi="Times New Roman" w:eastAsia="宋体" w:cs="Times New Roman"/>
                <w:color w:val="auto"/>
                <w:sz w:val="21"/>
                <w:szCs w:val="21"/>
                <w:highlight w:val="none"/>
                <w:vertAlign w:val="subscript"/>
              </w:rPr>
              <w:t>2</w:t>
            </w:r>
            <w:r>
              <w:rPr>
                <w:rFonts w:hint="default" w:ascii="Times New Roman" w:hAnsi="Times New Roman" w:eastAsia="宋体" w:cs="Times New Roman"/>
                <w:color w:val="auto"/>
                <w:sz w:val="21"/>
                <w:szCs w:val="21"/>
                <w:highlight w:val="none"/>
              </w:rPr>
              <w:t>、NO</w:t>
            </w:r>
            <w:r>
              <w:rPr>
                <w:rFonts w:hint="default" w:ascii="Times New Roman" w:hAnsi="Times New Roman" w:eastAsia="宋体" w:cs="Times New Roman"/>
                <w:color w:val="auto"/>
                <w:sz w:val="21"/>
                <w:szCs w:val="21"/>
                <w:highlight w:val="none"/>
                <w:vertAlign w:val="subscript"/>
              </w:rPr>
              <w:t>2</w:t>
            </w:r>
            <w:r>
              <w:rPr>
                <w:rFonts w:hint="default" w:ascii="Times New Roman" w:hAnsi="Times New Roman" w:eastAsia="宋体" w:cs="Times New Roman"/>
                <w:color w:val="auto"/>
                <w:sz w:val="21"/>
                <w:szCs w:val="21"/>
                <w:highlight w:val="none"/>
              </w:rPr>
              <w:t>、PM</w:t>
            </w:r>
            <w:r>
              <w:rPr>
                <w:rFonts w:hint="default" w:ascii="Times New Roman" w:hAnsi="Times New Roman" w:eastAsia="宋体" w:cs="Times New Roman"/>
                <w:color w:val="auto"/>
                <w:sz w:val="21"/>
                <w:szCs w:val="21"/>
                <w:highlight w:val="none"/>
                <w:vertAlign w:val="subscript"/>
              </w:rPr>
              <w:t>10</w:t>
            </w:r>
            <w:r>
              <w:rPr>
                <w:rFonts w:hint="default" w:ascii="Times New Roman" w:hAnsi="Times New Roman" w:eastAsia="宋体" w:cs="Times New Roman"/>
                <w:color w:val="auto"/>
                <w:sz w:val="21"/>
                <w:szCs w:val="21"/>
                <w:highlight w:val="none"/>
              </w:rPr>
              <w:t>、PM</w:t>
            </w:r>
            <w:r>
              <w:rPr>
                <w:rFonts w:hint="default" w:ascii="Times New Roman" w:hAnsi="Times New Roman" w:eastAsia="宋体" w:cs="Times New Roman"/>
                <w:color w:val="auto"/>
                <w:sz w:val="21"/>
                <w:szCs w:val="21"/>
                <w:highlight w:val="none"/>
                <w:vertAlign w:val="subscript"/>
              </w:rPr>
              <w:t>2.5</w:t>
            </w:r>
            <w:r>
              <w:rPr>
                <w:rFonts w:hint="default" w:ascii="Times New Roman" w:hAnsi="Times New Roman" w:eastAsia="宋体" w:cs="Times New Roman"/>
                <w:color w:val="auto"/>
                <w:sz w:val="21"/>
                <w:szCs w:val="21"/>
                <w:highlight w:val="none"/>
              </w:rPr>
              <w:t>、CO、O</w:t>
            </w:r>
            <w:r>
              <w:rPr>
                <w:rFonts w:hint="default" w:ascii="Times New Roman" w:hAnsi="Times New Roman" w:eastAsia="宋体" w:cs="Times New Roman"/>
                <w:color w:val="auto"/>
                <w:sz w:val="21"/>
                <w:szCs w:val="21"/>
                <w:highlight w:val="none"/>
                <w:vertAlign w:val="subscript"/>
              </w:rPr>
              <w:t>3</w:t>
            </w:r>
            <w:r>
              <w:rPr>
                <w:rFonts w:hint="default" w:ascii="Times New Roman" w:hAnsi="Times New Roman" w:eastAsia="宋体" w:cs="Times New Roman"/>
                <w:color w:val="auto"/>
                <w:sz w:val="21"/>
                <w:szCs w:val="21"/>
                <w:highlight w:val="none"/>
              </w:rPr>
              <w:t>的监测结果如下表所示。</w:t>
            </w:r>
          </w:p>
          <w:p w14:paraId="12B69DF1">
            <w:pPr>
              <w:widowControl/>
              <w:numPr>
                <w:ilvl w:val="0"/>
                <w:numId w:val="0"/>
              </w:numPr>
              <w:shd w:val="clear"/>
              <w:spacing w:line="360" w:lineRule="auto"/>
              <w:ind w:left="0" w:leftChars="0" w:firstLine="0" w:firstLineChars="0"/>
              <w:contextualSpacing/>
              <w:jc w:val="center"/>
              <w:rPr>
                <w:rFonts w:hint="default" w:ascii="Times New Roman" w:hAnsi="Times New Roman" w:eastAsia="宋体" w:cs="Times New Roman"/>
                <w:b/>
                <w:bCs/>
                <w:color w:val="auto"/>
                <w:spacing w:val="-3"/>
                <w:sz w:val="24"/>
                <w:szCs w:val="24"/>
                <w:highlight w:val="none"/>
              </w:rPr>
            </w:pPr>
            <w:r>
              <w:rPr>
                <w:rFonts w:hint="default" w:ascii="Times New Roman" w:hAnsi="Times New Roman" w:eastAsia="宋体" w:cs="Times New Roman"/>
                <w:b/>
                <w:bCs/>
                <w:color w:val="auto"/>
                <w:kern w:val="2"/>
                <w:sz w:val="24"/>
                <w:szCs w:val="24"/>
                <w:highlight w:val="none"/>
                <w:lang w:val="en-US" w:eastAsia="zh-CN" w:bidi="ar-SA"/>
              </w:rPr>
              <w:t>表1</w:t>
            </w:r>
            <w:r>
              <w:rPr>
                <w:rFonts w:hint="eastAsia" w:cs="Times New Roman"/>
                <w:b/>
                <w:bCs/>
                <w:color w:val="auto"/>
                <w:kern w:val="2"/>
                <w:sz w:val="24"/>
                <w:szCs w:val="24"/>
                <w:highlight w:val="none"/>
                <w:lang w:val="en-US" w:eastAsia="zh-CN" w:bidi="ar-SA"/>
              </w:rPr>
              <w:t>3</w:t>
            </w:r>
            <w:r>
              <w:rPr>
                <w:rFonts w:hint="default" w:ascii="Times New Roman" w:hAnsi="Times New Roman" w:eastAsia="宋体" w:cs="Times New Roman"/>
                <w:b/>
                <w:bCs/>
                <w:color w:val="auto"/>
                <w:sz w:val="24"/>
                <w:szCs w:val="24"/>
                <w:highlight w:val="none"/>
              </w:rPr>
              <w:t>基本污染物环境质量现状（</w:t>
            </w:r>
            <w:r>
              <w:rPr>
                <w:rFonts w:hint="eastAsia" w:cs="Times New Roman"/>
                <w:b/>
                <w:bCs/>
                <w:color w:val="auto"/>
                <w:sz w:val="24"/>
                <w:szCs w:val="24"/>
                <w:highlight w:val="none"/>
                <w:lang w:val="en-US" w:eastAsia="zh-CN"/>
              </w:rPr>
              <w:t>民众</w:t>
            </w:r>
            <w:r>
              <w:rPr>
                <w:rFonts w:hint="default" w:ascii="Times New Roman" w:hAnsi="Times New Roman" w:eastAsia="宋体" w:cs="Times New Roman"/>
                <w:b/>
                <w:bCs/>
                <w:color w:val="auto"/>
                <w:spacing w:val="-3"/>
                <w:sz w:val="24"/>
                <w:szCs w:val="24"/>
                <w:highlight w:val="none"/>
              </w:rPr>
              <w:t>）</w:t>
            </w:r>
          </w:p>
          <w:tbl>
            <w:tblPr>
              <w:tblStyle w:val="88"/>
              <w:tblW w:w="4970"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321"/>
              <w:gridCol w:w="1704"/>
              <w:gridCol w:w="1672"/>
              <w:gridCol w:w="575"/>
              <w:gridCol w:w="1151"/>
              <w:gridCol w:w="562"/>
              <w:gridCol w:w="669"/>
              <w:gridCol w:w="561"/>
              <w:gridCol w:w="562"/>
              <w:gridCol w:w="611"/>
            </w:tblGrid>
            <w:tr w14:paraId="3824469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94" w:hRule="atLeast"/>
                <w:jc w:val="center"/>
              </w:trPr>
              <w:tc>
                <w:tcPr>
                  <w:tcW w:w="191" w:type="pct"/>
                  <w:vMerge w:val="restart"/>
                  <w:tcBorders>
                    <w:bottom w:val="nil"/>
                  </w:tcBorders>
                  <w:vAlign w:val="center"/>
                </w:tcPr>
                <w:p w14:paraId="6F3E63D0">
                  <w:pPr>
                    <w:pStyle w:val="74"/>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pacing w:val="-9"/>
                      <w:sz w:val="21"/>
                      <w:szCs w:val="21"/>
                      <w:highlight w:val="none"/>
                    </w:rPr>
                    <w:t>点位</w:t>
                  </w:r>
                  <w:r>
                    <w:rPr>
                      <w:rFonts w:hint="default" w:ascii="Times New Roman" w:hAnsi="Times New Roman" w:eastAsia="宋体" w:cs="Times New Roman"/>
                      <w:b/>
                      <w:bCs/>
                      <w:color w:val="auto"/>
                      <w:spacing w:val="-5"/>
                      <w:sz w:val="21"/>
                      <w:szCs w:val="21"/>
                      <w:highlight w:val="none"/>
                    </w:rPr>
                    <w:t>名称</w:t>
                  </w:r>
                </w:p>
              </w:tc>
              <w:tc>
                <w:tcPr>
                  <w:tcW w:w="2013" w:type="pct"/>
                  <w:gridSpan w:val="2"/>
                  <w:vAlign w:val="center"/>
                </w:tcPr>
                <w:p w14:paraId="766DA40B">
                  <w:pPr>
                    <w:pStyle w:val="74"/>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pacing w:val="-2"/>
                      <w:sz w:val="21"/>
                      <w:szCs w:val="21"/>
                      <w:highlight w:val="none"/>
                    </w:rPr>
                    <w:t>监测点坐</w:t>
                  </w:r>
                  <w:r>
                    <w:rPr>
                      <w:rFonts w:hint="default" w:ascii="Times New Roman" w:hAnsi="Times New Roman" w:eastAsia="宋体" w:cs="Times New Roman"/>
                      <w:b/>
                      <w:bCs/>
                      <w:color w:val="auto"/>
                      <w:spacing w:val="-3"/>
                      <w:sz w:val="21"/>
                      <w:szCs w:val="21"/>
                      <w:highlight w:val="none"/>
                    </w:rPr>
                    <w:t>标</w:t>
                  </w:r>
                </w:p>
              </w:tc>
              <w:tc>
                <w:tcPr>
                  <w:tcW w:w="342" w:type="pct"/>
                  <w:vMerge w:val="restart"/>
                  <w:tcBorders>
                    <w:bottom w:val="nil"/>
                  </w:tcBorders>
                  <w:vAlign w:val="center"/>
                </w:tcPr>
                <w:p w14:paraId="6B09CA35">
                  <w:pPr>
                    <w:pStyle w:val="74"/>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pacing w:val="-3"/>
                      <w:sz w:val="21"/>
                      <w:szCs w:val="21"/>
                      <w:highlight w:val="none"/>
                    </w:rPr>
                    <w:t>污染物</w:t>
                  </w:r>
                </w:p>
              </w:tc>
              <w:tc>
                <w:tcPr>
                  <w:tcW w:w="685" w:type="pct"/>
                  <w:vMerge w:val="restart"/>
                  <w:tcBorders>
                    <w:bottom w:val="nil"/>
                  </w:tcBorders>
                  <w:vAlign w:val="center"/>
                </w:tcPr>
                <w:p w14:paraId="0646767B">
                  <w:pPr>
                    <w:pStyle w:val="74"/>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pacing w:val="-2"/>
                      <w:sz w:val="21"/>
                      <w:szCs w:val="21"/>
                      <w:highlight w:val="none"/>
                    </w:rPr>
                    <w:t>年评价指标</w:t>
                  </w:r>
                </w:p>
              </w:tc>
              <w:tc>
                <w:tcPr>
                  <w:tcW w:w="334" w:type="pct"/>
                  <w:vMerge w:val="restart"/>
                  <w:tcBorders>
                    <w:bottom w:val="nil"/>
                  </w:tcBorders>
                  <w:vAlign w:val="center"/>
                </w:tcPr>
                <w:p w14:paraId="31CD2844">
                  <w:pPr>
                    <w:pStyle w:val="74"/>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pacing w:val="-3"/>
                      <w:sz w:val="21"/>
                      <w:szCs w:val="21"/>
                      <w:highlight w:val="none"/>
                    </w:rPr>
                    <w:t>现状浓</w:t>
                  </w:r>
                  <w:r>
                    <w:rPr>
                      <w:rFonts w:hint="default" w:ascii="Times New Roman" w:hAnsi="Times New Roman" w:eastAsia="宋体" w:cs="Times New Roman"/>
                      <w:b/>
                      <w:bCs/>
                      <w:color w:val="auto"/>
                      <w:spacing w:val="-1"/>
                      <w:sz w:val="21"/>
                      <w:szCs w:val="21"/>
                      <w:highlight w:val="none"/>
                    </w:rPr>
                    <w:t>度µg/m</w:t>
                  </w:r>
                  <w:r>
                    <w:rPr>
                      <w:rFonts w:hint="default" w:ascii="Times New Roman" w:hAnsi="Times New Roman" w:eastAsia="宋体" w:cs="Times New Roman"/>
                      <w:b/>
                      <w:bCs/>
                      <w:color w:val="auto"/>
                      <w:spacing w:val="-1"/>
                      <w:position w:val="5"/>
                      <w:sz w:val="21"/>
                      <w:szCs w:val="21"/>
                      <w:highlight w:val="none"/>
                      <w:vertAlign w:val="superscript"/>
                    </w:rPr>
                    <w:t>3</w:t>
                  </w:r>
                </w:p>
              </w:tc>
              <w:tc>
                <w:tcPr>
                  <w:tcW w:w="398" w:type="pct"/>
                  <w:vMerge w:val="restart"/>
                  <w:tcBorders>
                    <w:bottom w:val="nil"/>
                  </w:tcBorders>
                  <w:vAlign w:val="center"/>
                </w:tcPr>
                <w:p w14:paraId="43F69DE6">
                  <w:pPr>
                    <w:pStyle w:val="74"/>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pacing w:val="-2"/>
                      <w:sz w:val="21"/>
                      <w:szCs w:val="21"/>
                      <w:highlight w:val="none"/>
                    </w:rPr>
                    <w:t>评价标准</w:t>
                  </w:r>
                  <w:r>
                    <w:rPr>
                      <w:rFonts w:hint="default" w:ascii="Times New Roman" w:hAnsi="Times New Roman" w:eastAsia="宋体" w:cs="Times New Roman"/>
                      <w:b/>
                      <w:bCs/>
                      <w:color w:val="auto"/>
                      <w:spacing w:val="-3"/>
                      <w:sz w:val="21"/>
                      <w:szCs w:val="21"/>
                      <w:highlight w:val="none"/>
                    </w:rPr>
                    <w:t>µg/m</w:t>
                  </w:r>
                  <w:r>
                    <w:rPr>
                      <w:rFonts w:hint="default" w:ascii="Times New Roman" w:hAnsi="Times New Roman" w:cs="Times New Roman"/>
                      <w:b/>
                      <w:bCs/>
                      <w:color w:val="auto"/>
                      <w:spacing w:val="-3"/>
                      <w:sz w:val="21"/>
                      <w:szCs w:val="21"/>
                      <w:highlight w:val="none"/>
                      <w:vertAlign w:val="superscript"/>
                      <w:lang w:val="en-US" w:eastAsia="zh-CN"/>
                    </w:rPr>
                    <w:t>3</w:t>
                  </w:r>
                </w:p>
              </w:tc>
              <w:tc>
                <w:tcPr>
                  <w:tcW w:w="334" w:type="pct"/>
                  <w:vMerge w:val="restart"/>
                  <w:tcBorders>
                    <w:bottom w:val="nil"/>
                  </w:tcBorders>
                  <w:vAlign w:val="center"/>
                </w:tcPr>
                <w:p w14:paraId="67DE586A">
                  <w:pPr>
                    <w:pStyle w:val="74"/>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pacing w:val="-4"/>
                      <w:sz w:val="21"/>
                      <w:szCs w:val="21"/>
                      <w:highlight w:val="none"/>
                    </w:rPr>
                    <w:t>最大浓</w:t>
                  </w:r>
                  <w:r>
                    <w:rPr>
                      <w:rFonts w:hint="default" w:ascii="Times New Roman" w:hAnsi="Times New Roman" w:eastAsia="宋体" w:cs="Times New Roman"/>
                      <w:b/>
                      <w:bCs/>
                      <w:color w:val="auto"/>
                      <w:spacing w:val="-3"/>
                      <w:sz w:val="21"/>
                      <w:szCs w:val="21"/>
                      <w:highlight w:val="none"/>
                    </w:rPr>
                    <w:t>度占标</w:t>
                  </w:r>
                  <w:r>
                    <w:rPr>
                      <w:rFonts w:hint="default" w:ascii="Times New Roman" w:hAnsi="Times New Roman" w:eastAsia="宋体" w:cs="Times New Roman"/>
                      <w:b/>
                      <w:bCs/>
                      <w:color w:val="auto"/>
                      <w:spacing w:val="-5"/>
                      <w:sz w:val="21"/>
                      <w:szCs w:val="21"/>
                      <w:highlight w:val="none"/>
                    </w:rPr>
                    <w:t>率%</w:t>
                  </w:r>
                </w:p>
              </w:tc>
              <w:tc>
                <w:tcPr>
                  <w:tcW w:w="334" w:type="pct"/>
                  <w:vMerge w:val="restart"/>
                  <w:vAlign w:val="center"/>
                </w:tcPr>
                <w:p w14:paraId="3AE3B545">
                  <w:pPr>
                    <w:pStyle w:val="74"/>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b/>
                      <w:bCs/>
                      <w:color w:val="auto"/>
                      <w:spacing w:val="-4"/>
                      <w:sz w:val="21"/>
                      <w:szCs w:val="21"/>
                      <w:highlight w:val="none"/>
                      <w:lang w:val="en-US" w:eastAsia="zh-CN"/>
                    </w:rPr>
                  </w:pPr>
                  <w:r>
                    <w:rPr>
                      <w:rFonts w:hint="default" w:ascii="Times New Roman" w:hAnsi="Times New Roman" w:cs="Times New Roman"/>
                      <w:b/>
                      <w:bCs/>
                      <w:color w:val="auto"/>
                      <w:spacing w:val="-4"/>
                      <w:sz w:val="21"/>
                      <w:szCs w:val="21"/>
                      <w:highlight w:val="none"/>
                      <w:lang w:val="en-US" w:eastAsia="zh-CN"/>
                    </w:rPr>
                    <w:t>超标频率%</w:t>
                  </w:r>
                </w:p>
              </w:tc>
              <w:tc>
                <w:tcPr>
                  <w:tcW w:w="364" w:type="pct"/>
                  <w:vMerge w:val="restart"/>
                  <w:tcBorders>
                    <w:bottom w:val="nil"/>
                  </w:tcBorders>
                  <w:vAlign w:val="center"/>
                </w:tcPr>
                <w:p w14:paraId="59B27966">
                  <w:pPr>
                    <w:pStyle w:val="74"/>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pacing w:val="-3"/>
                      <w:sz w:val="21"/>
                      <w:szCs w:val="21"/>
                      <w:highlight w:val="none"/>
                    </w:rPr>
                    <w:t>达标情</w:t>
                  </w:r>
                  <w:r>
                    <w:rPr>
                      <w:rFonts w:hint="default" w:ascii="Times New Roman" w:hAnsi="Times New Roman" w:eastAsia="宋体" w:cs="Times New Roman"/>
                      <w:b/>
                      <w:bCs/>
                      <w:color w:val="auto"/>
                      <w:sz w:val="21"/>
                      <w:szCs w:val="21"/>
                      <w:highlight w:val="none"/>
                    </w:rPr>
                    <w:t>况</w:t>
                  </w:r>
                </w:p>
              </w:tc>
            </w:tr>
            <w:tr w14:paraId="64F0B9E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67" w:hRule="atLeast"/>
                <w:jc w:val="center"/>
              </w:trPr>
              <w:tc>
                <w:tcPr>
                  <w:tcW w:w="191" w:type="pct"/>
                  <w:vMerge w:val="continue"/>
                  <w:tcBorders>
                    <w:top w:val="nil"/>
                  </w:tcBorders>
                  <w:vAlign w:val="center"/>
                </w:tcPr>
                <w:p w14:paraId="1C88E04C">
                  <w:pPr>
                    <w:spacing w:line="240" w:lineRule="auto"/>
                    <w:jc w:val="center"/>
                    <w:rPr>
                      <w:rFonts w:hint="default" w:ascii="Times New Roman" w:hAnsi="Times New Roman" w:eastAsia="宋体" w:cs="Times New Roman"/>
                      <w:color w:val="auto"/>
                      <w:sz w:val="21"/>
                      <w:szCs w:val="21"/>
                      <w:highlight w:val="none"/>
                    </w:rPr>
                  </w:pPr>
                </w:p>
              </w:tc>
              <w:tc>
                <w:tcPr>
                  <w:tcW w:w="1016" w:type="pct"/>
                  <w:vAlign w:val="center"/>
                </w:tcPr>
                <w:p w14:paraId="79BF9375">
                  <w:pPr>
                    <w:spacing w:before="181"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X</w:t>
                  </w:r>
                </w:p>
              </w:tc>
              <w:tc>
                <w:tcPr>
                  <w:tcW w:w="997" w:type="pct"/>
                  <w:vAlign w:val="center"/>
                </w:tcPr>
                <w:p w14:paraId="08A53015">
                  <w:pPr>
                    <w:spacing w:before="181"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Y</w:t>
                  </w:r>
                </w:p>
              </w:tc>
              <w:tc>
                <w:tcPr>
                  <w:tcW w:w="342" w:type="pct"/>
                  <w:vMerge w:val="continue"/>
                  <w:tcBorders>
                    <w:top w:val="nil"/>
                  </w:tcBorders>
                  <w:vAlign w:val="center"/>
                </w:tcPr>
                <w:p w14:paraId="4CA39B95">
                  <w:pPr>
                    <w:spacing w:line="240" w:lineRule="auto"/>
                    <w:jc w:val="center"/>
                    <w:rPr>
                      <w:rFonts w:hint="default" w:ascii="Times New Roman" w:hAnsi="Times New Roman" w:eastAsia="宋体" w:cs="Times New Roman"/>
                      <w:color w:val="auto"/>
                      <w:sz w:val="21"/>
                      <w:szCs w:val="21"/>
                      <w:highlight w:val="none"/>
                    </w:rPr>
                  </w:pPr>
                </w:p>
              </w:tc>
              <w:tc>
                <w:tcPr>
                  <w:tcW w:w="685" w:type="pct"/>
                  <w:vMerge w:val="continue"/>
                  <w:tcBorders>
                    <w:top w:val="nil"/>
                  </w:tcBorders>
                  <w:vAlign w:val="center"/>
                </w:tcPr>
                <w:p w14:paraId="1B1A9C3A">
                  <w:pPr>
                    <w:spacing w:line="240" w:lineRule="auto"/>
                    <w:jc w:val="center"/>
                    <w:rPr>
                      <w:rFonts w:hint="default" w:ascii="Times New Roman" w:hAnsi="Times New Roman" w:eastAsia="宋体" w:cs="Times New Roman"/>
                      <w:color w:val="auto"/>
                      <w:sz w:val="21"/>
                      <w:szCs w:val="21"/>
                      <w:highlight w:val="none"/>
                    </w:rPr>
                  </w:pPr>
                </w:p>
              </w:tc>
              <w:tc>
                <w:tcPr>
                  <w:tcW w:w="334" w:type="pct"/>
                  <w:vMerge w:val="continue"/>
                  <w:tcBorders>
                    <w:top w:val="nil"/>
                  </w:tcBorders>
                  <w:vAlign w:val="center"/>
                </w:tcPr>
                <w:p w14:paraId="4383870C">
                  <w:pPr>
                    <w:spacing w:line="240" w:lineRule="auto"/>
                    <w:jc w:val="center"/>
                    <w:rPr>
                      <w:rFonts w:hint="default" w:ascii="Times New Roman" w:hAnsi="Times New Roman" w:eastAsia="宋体" w:cs="Times New Roman"/>
                      <w:color w:val="auto"/>
                      <w:sz w:val="21"/>
                      <w:szCs w:val="21"/>
                      <w:highlight w:val="none"/>
                    </w:rPr>
                  </w:pPr>
                </w:p>
              </w:tc>
              <w:tc>
                <w:tcPr>
                  <w:tcW w:w="398" w:type="pct"/>
                  <w:vMerge w:val="continue"/>
                  <w:tcBorders>
                    <w:top w:val="nil"/>
                  </w:tcBorders>
                  <w:vAlign w:val="center"/>
                </w:tcPr>
                <w:p w14:paraId="6B83AEF1">
                  <w:pPr>
                    <w:spacing w:line="240" w:lineRule="auto"/>
                    <w:jc w:val="center"/>
                    <w:rPr>
                      <w:rFonts w:hint="default" w:ascii="Times New Roman" w:hAnsi="Times New Roman" w:eastAsia="宋体" w:cs="Times New Roman"/>
                      <w:color w:val="auto"/>
                      <w:sz w:val="21"/>
                      <w:szCs w:val="21"/>
                      <w:highlight w:val="none"/>
                    </w:rPr>
                  </w:pPr>
                </w:p>
              </w:tc>
              <w:tc>
                <w:tcPr>
                  <w:tcW w:w="334" w:type="pct"/>
                  <w:vMerge w:val="continue"/>
                  <w:tcBorders>
                    <w:top w:val="nil"/>
                  </w:tcBorders>
                  <w:vAlign w:val="center"/>
                </w:tcPr>
                <w:p w14:paraId="0524A378">
                  <w:pPr>
                    <w:spacing w:line="240" w:lineRule="auto"/>
                    <w:jc w:val="center"/>
                    <w:rPr>
                      <w:rFonts w:hint="default" w:ascii="Times New Roman" w:hAnsi="Times New Roman" w:eastAsia="宋体" w:cs="Times New Roman"/>
                      <w:color w:val="auto"/>
                      <w:sz w:val="21"/>
                      <w:szCs w:val="21"/>
                      <w:highlight w:val="none"/>
                    </w:rPr>
                  </w:pPr>
                </w:p>
              </w:tc>
              <w:tc>
                <w:tcPr>
                  <w:tcW w:w="334" w:type="pct"/>
                  <w:vMerge w:val="continue"/>
                  <w:vAlign w:val="center"/>
                </w:tcPr>
                <w:p w14:paraId="0EB21C10">
                  <w:pPr>
                    <w:spacing w:line="240" w:lineRule="auto"/>
                    <w:jc w:val="center"/>
                    <w:rPr>
                      <w:rFonts w:hint="default" w:ascii="Times New Roman" w:hAnsi="Times New Roman" w:eastAsia="宋体" w:cs="Times New Roman"/>
                      <w:color w:val="auto"/>
                      <w:sz w:val="21"/>
                      <w:szCs w:val="21"/>
                      <w:highlight w:val="none"/>
                    </w:rPr>
                  </w:pPr>
                </w:p>
              </w:tc>
              <w:tc>
                <w:tcPr>
                  <w:tcW w:w="364" w:type="pct"/>
                  <w:vMerge w:val="continue"/>
                  <w:tcBorders>
                    <w:top w:val="nil"/>
                  </w:tcBorders>
                  <w:vAlign w:val="center"/>
                </w:tcPr>
                <w:p w14:paraId="1D8C668F">
                  <w:pPr>
                    <w:spacing w:line="240" w:lineRule="auto"/>
                    <w:jc w:val="center"/>
                    <w:rPr>
                      <w:rFonts w:hint="default" w:ascii="Times New Roman" w:hAnsi="Times New Roman" w:eastAsia="宋体" w:cs="Times New Roman"/>
                      <w:color w:val="auto"/>
                      <w:sz w:val="21"/>
                      <w:szCs w:val="21"/>
                      <w:highlight w:val="none"/>
                    </w:rPr>
                  </w:pPr>
                </w:p>
              </w:tc>
            </w:tr>
            <w:tr w14:paraId="151C465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93" w:hRule="atLeast"/>
                <w:jc w:val="center"/>
              </w:trPr>
              <w:tc>
                <w:tcPr>
                  <w:tcW w:w="191" w:type="pct"/>
                  <w:vMerge w:val="restart"/>
                  <w:tcBorders>
                    <w:bottom w:val="nil"/>
                  </w:tcBorders>
                  <w:vAlign w:val="center"/>
                </w:tcPr>
                <w:p w14:paraId="211306E0">
                  <w:pPr>
                    <w:pStyle w:val="74"/>
                    <w:spacing w:before="59" w:line="240" w:lineRule="auto"/>
                    <w:ind w:right="139"/>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民众</w:t>
                  </w:r>
                </w:p>
              </w:tc>
              <w:tc>
                <w:tcPr>
                  <w:tcW w:w="1016" w:type="pct"/>
                  <w:vMerge w:val="restart"/>
                  <w:vAlign w:val="center"/>
                </w:tcPr>
                <w:p w14:paraId="29808023">
                  <w:pPr>
                    <w:pStyle w:val="74"/>
                    <w:keepNext w:val="0"/>
                    <w:keepLines w:val="0"/>
                    <w:pageBreakBefore w:val="0"/>
                    <w:widowControl/>
                    <w:kinsoku w:val="0"/>
                    <w:wordWrap/>
                    <w:overflowPunct w:val="0"/>
                    <w:topLinePunct w:val="0"/>
                    <w:autoSpaceDE w:val="0"/>
                    <w:autoSpaceDN w:val="0"/>
                    <w:bidi w:val="0"/>
                    <w:adjustRightInd w:val="0"/>
                    <w:snapToGrid w:val="0"/>
                    <w:spacing w:before="59" w:line="240" w:lineRule="auto"/>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113°29′34.28″E</w:t>
                  </w:r>
                </w:p>
              </w:tc>
              <w:tc>
                <w:tcPr>
                  <w:tcW w:w="997" w:type="pct"/>
                  <w:vMerge w:val="restart"/>
                  <w:vAlign w:val="center"/>
                </w:tcPr>
                <w:p w14:paraId="1FB7D457">
                  <w:pPr>
                    <w:pStyle w:val="74"/>
                    <w:keepNext w:val="0"/>
                    <w:keepLines w:val="0"/>
                    <w:pageBreakBefore w:val="0"/>
                    <w:widowControl/>
                    <w:kinsoku w:val="0"/>
                    <w:wordWrap/>
                    <w:overflowPunct w:val="0"/>
                    <w:topLinePunct w:val="0"/>
                    <w:autoSpaceDE w:val="0"/>
                    <w:autoSpaceDN w:val="0"/>
                    <w:bidi w:val="0"/>
                    <w:adjustRightInd w:val="0"/>
                    <w:snapToGrid w:val="0"/>
                    <w:spacing w:before="59" w:line="240" w:lineRule="auto"/>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22°37′39.51″N</w:t>
                  </w:r>
                </w:p>
              </w:tc>
              <w:tc>
                <w:tcPr>
                  <w:tcW w:w="342" w:type="pct"/>
                  <w:vMerge w:val="restart"/>
                  <w:tcBorders>
                    <w:bottom w:val="nil"/>
                  </w:tcBorders>
                  <w:vAlign w:val="center"/>
                </w:tcPr>
                <w:p w14:paraId="669594B1">
                  <w:pPr>
                    <w:spacing w:before="51"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SO</w:t>
                  </w:r>
                  <w:r>
                    <w:rPr>
                      <w:rFonts w:hint="default" w:ascii="Times New Roman" w:hAnsi="Times New Roman" w:eastAsia="宋体" w:cs="Times New Roman"/>
                      <w:color w:val="auto"/>
                      <w:sz w:val="21"/>
                      <w:szCs w:val="21"/>
                      <w:highlight w:val="none"/>
                      <w:vertAlign w:val="subscript"/>
                    </w:rPr>
                    <w:t>2</w:t>
                  </w:r>
                </w:p>
              </w:tc>
              <w:tc>
                <w:tcPr>
                  <w:tcW w:w="685" w:type="pct"/>
                  <w:vAlign w:val="center"/>
                </w:tcPr>
                <w:p w14:paraId="255FD793">
                  <w:pPr>
                    <w:pStyle w:val="74"/>
                    <w:spacing w:before="40"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6"/>
                      <w:sz w:val="21"/>
                      <w:szCs w:val="21"/>
                      <w:highlight w:val="none"/>
                    </w:rPr>
                    <w:t>日均值第98百分位数浓</w:t>
                  </w:r>
                  <w:r>
                    <w:rPr>
                      <w:rFonts w:hint="default" w:ascii="Times New Roman" w:hAnsi="Times New Roman" w:eastAsia="宋体" w:cs="Times New Roman"/>
                      <w:color w:val="auto"/>
                      <w:spacing w:val="-4"/>
                      <w:sz w:val="21"/>
                      <w:szCs w:val="21"/>
                      <w:highlight w:val="none"/>
                    </w:rPr>
                    <w:t>度值</w:t>
                  </w:r>
                </w:p>
              </w:tc>
              <w:tc>
                <w:tcPr>
                  <w:tcW w:w="334" w:type="pct"/>
                  <w:vAlign w:val="center"/>
                </w:tcPr>
                <w:p w14:paraId="66A67E48">
                  <w:pPr>
                    <w:spacing w:before="184"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pacing w:val="-10"/>
                      <w:sz w:val="21"/>
                      <w:szCs w:val="21"/>
                      <w:highlight w:val="none"/>
                    </w:rPr>
                    <w:t>1</w:t>
                  </w:r>
                  <w:r>
                    <w:rPr>
                      <w:rFonts w:hint="default" w:ascii="Times New Roman" w:hAnsi="Times New Roman" w:eastAsia="宋体" w:cs="Times New Roman"/>
                      <w:color w:val="auto"/>
                      <w:spacing w:val="-10"/>
                      <w:sz w:val="21"/>
                      <w:szCs w:val="21"/>
                      <w:highlight w:val="none"/>
                      <w:lang w:val="en-US" w:eastAsia="zh-CN"/>
                    </w:rPr>
                    <w:t>2</w:t>
                  </w:r>
                </w:p>
              </w:tc>
              <w:tc>
                <w:tcPr>
                  <w:tcW w:w="398" w:type="pct"/>
                  <w:vAlign w:val="center"/>
                </w:tcPr>
                <w:p w14:paraId="7A3AF738">
                  <w:pPr>
                    <w:spacing w:before="184"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7"/>
                      <w:sz w:val="21"/>
                      <w:szCs w:val="21"/>
                      <w:highlight w:val="none"/>
                    </w:rPr>
                    <w:t>150</w:t>
                  </w:r>
                </w:p>
              </w:tc>
              <w:tc>
                <w:tcPr>
                  <w:tcW w:w="334" w:type="pct"/>
                  <w:vAlign w:val="center"/>
                </w:tcPr>
                <w:p w14:paraId="1372875A">
                  <w:pPr>
                    <w:spacing w:before="184"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9.3</w:t>
                  </w:r>
                </w:p>
              </w:tc>
              <w:tc>
                <w:tcPr>
                  <w:tcW w:w="334" w:type="pct"/>
                  <w:vAlign w:val="center"/>
                </w:tcPr>
                <w:p w14:paraId="6A7FF71B">
                  <w:pPr>
                    <w:spacing w:before="184"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w:t>
                  </w:r>
                </w:p>
              </w:tc>
              <w:tc>
                <w:tcPr>
                  <w:tcW w:w="364" w:type="pct"/>
                  <w:vAlign w:val="center"/>
                </w:tcPr>
                <w:p w14:paraId="292CED51">
                  <w:pPr>
                    <w:pStyle w:val="74"/>
                    <w:spacing w:before="155"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4"/>
                      <w:sz w:val="21"/>
                      <w:szCs w:val="21"/>
                      <w:highlight w:val="none"/>
                    </w:rPr>
                    <w:t>达标</w:t>
                  </w:r>
                </w:p>
              </w:tc>
            </w:tr>
            <w:tr w14:paraId="052FFD2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1" w:hRule="atLeast"/>
                <w:jc w:val="center"/>
              </w:trPr>
              <w:tc>
                <w:tcPr>
                  <w:tcW w:w="191" w:type="pct"/>
                  <w:vMerge w:val="continue"/>
                  <w:tcBorders>
                    <w:top w:val="nil"/>
                    <w:bottom w:val="nil"/>
                  </w:tcBorders>
                  <w:vAlign w:val="center"/>
                </w:tcPr>
                <w:p w14:paraId="1FC94E86">
                  <w:pPr>
                    <w:spacing w:line="240" w:lineRule="auto"/>
                    <w:jc w:val="center"/>
                    <w:rPr>
                      <w:rFonts w:hint="default" w:ascii="Times New Roman" w:hAnsi="Times New Roman" w:eastAsia="宋体" w:cs="Times New Roman"/>
                      <w:color w:val="auto"/>
                      <w:sz w:val="21"/>
                      <w:szCs w:val="21"/>
                      <w:highlight w:val="none"/>
                    </w:rPr>
                  </w:pPr>
                </w:p>
              </w:tc>
              <w:tc>
                <w:tcPr>
                  <w:tcW w:w="1016" w:type="pct"/>
                  <w:vMerge w:val="continue"/>
                  <w:vAlign w:val="center"/>
                </w:tcPr>
                <w:p w14:paraId="3874B39E">
                  <w:pPr>
                    <w:spacing w:line="240" w:lineRule="auto"/>
                    <w:jc w:val="center"/>
                    <w:rPr>
                      <w:rFonts w:hint="default" w:ascii="Times New Roman" w:hAnsi="Times New Roman" w:eastAsia="宋体" w:cs="Times New Roman"/>
                      <w:color w:val="auto"/>
                      <w:sz w:val="21"/>
                      <w:szCs w:val="21"/>
                      <w:highlight w:val="none"/>
                    </w:rPr>
                  </w:pPr>
                </w:p>
              </w:tc>
              <w:tc>
                <w:tcPr>
                  <w:tcW w:w="997" w:type="pct"/>
                  <w:vMerge w:val="continue"/>
                  <w:vAlign w:val="center"/>
                </w:tcPr>
                <w:p w14:paraId="16622F45">
                  <w:pPr>
                    <w:spacing w:line="240" w:lineRule="auto"/>
                    <w:jc w:val="center"/>
                    <w:rPr>
                      <w:rFonts w:hint="default" w:ascii="Times New Roman" w:hAnsi="Times New Roman" w:eastAsia="宋体" w:cs="Times New Roman"/>
                      <w:color w:val="auto"/>
                      <w:sz w:val="21"/>
                      <w:szCs w:val="21"/>
                      <w:highlight w:val="none"/>
                    </w:rPr>
                  </w:pPr>
                </w:p>
              </w:tc>
              <w:tc>
                <w:tcPr>
                  <w:tcW w:w="342" w:type="pct"/>
                  <w:vMerge w:val="continue"/>
                  <w:tcBorders>
                    <w:top w:val="nil"/>
                  </w:tcBorders>
                  <w:vAlign w:val="center"/>
                </w:tcPr>
                <w:p w14:paraId="11B35AF3">
                  <w:pPr>
                    <w:spacing w:line="240" w:lineRule="auto"/>
                    <w:jc w:val="center"/>
                    <w:rPr>
                      <w:rFonts w:hint="default" w:ascii="Times New Roman" w:hAnsi="Times New Roman" w:eastAsia="宋体" w:cs="Times New Roman"/>
                      <w:color w:val="auto"/>
                      <w:sz w:val="21"/>
                      <w:szCs w:val="21"/>
                      <w:highlight w:val="none"/>
                    </w:rPr>
                  </w:pPr>
                </w:p>
              </w:tc>
              <w:tc>
                <w:tcPr>
                  <w:tcW w:w="685" w:type="pct"/>
                  <w:vAlign w:val="center"/>
                </w:tcPr>
                <w:p w14:paraId="2E044319">
                  <w:pPr>
                    <w:pStyle w:val="74"/>
                    <w:spacing w:before="149"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3"/>
                      <w:sz w:val="21"/>
                      <w:szCs w:val="21"/>
                      <w:highlight w:val="none"/>
                    </w:rPr>
                    <w:t>年平均</w:t>
                  </w:r>
                </w:p>
              </w:tc>
              <w:tc>
                <w:tcPr>
                  <w:tcW w:w="334" w:type="pct"/>
                  <w:vAlign w:val="center"/>
                </w:tcPr>
                <w:p w14:paraId="576896D9">
                  <w:pPr>
                    <w:spacing w:before="178"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pacing w:val="-4"/>
                      <w:sz w:val="21"/>
                      <w:szCs w:val="21"/>
                      <w:highlight w:val="none"/>
                    </w:rPr>
                    <w:t>8.</w:t>
                  </w:r>
                  <w:r>
                    <w:rPr>
                      <w:rFonts w:hint="default" w:ascii="Times New Roman" w:hAnsi="Times New Roman" w:eastAsia="宋体" w:cs="Times New Roman"/>
                      <w:color w:val="auto"/>
                      <w:spacing w:val="-4"/>
                      <w:sz w:val="21"/>
                      <w:szCs w:val="21"/>
                      <w:highlight w:val="none"/>
                      <w:lang w:val="en-US" w:eastAsia="zh-CN"/>
                    </w:rPr>
                    <w:t>3</w:t>
                  </w:r>
                </w:p>
              </w:tc>
              <w:tc>
                <w:tcPr>
                  <w:tcW w:w="398" w:type="pct"/>
                  <w:vAlign w:val="center"/>
                </w:tcPr>
                <w:p w14:paraId="6B2EB438">
                  <w:pPr>
                    <w:spacing w:before="178"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4"/>
                      <w:sz w:val="21"/>
                      <w:szCs w:val="21"/>
                      <w:highlight w:val="none"/>
                    </w:rPr>
                    <w:t>60</w:t>
                  </w:r>
                </w:p>
              </w:tc>
              <w:tc>
                <w:tcPr>
                  <w:tcW w:w="334" w:type="pct"/>
                  <w:vAlign w:val="center"/>
                </w:tcPr>
                <w:p w14:paraId="632EF1E4">
                  <w:pPr>
                    <w:spacing w:before="175"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334" w:type="pct"/>
                  <w:vAlign w:val="center"/>
                </w:tcPr>
                <w:p w14:paraId="79657943">
                  <w:pPr>
                    <w:spacing w:before="175"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364" w:type="pct"/>
                  <w:vAlign w:val="center"/>
                </w:tcPr>
                <w:p w14:paraId="1868BB84">
                  <w:pPr>
                    <w:pStyle w:val="74"/>
                    <w:spacing w:before="149"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4"/>
                      <w:sz w:val="21"/>
                      <w:szCs w:val="21"/>
                      <w:highlight w:val="none"/>
                    </w:rPr>
                    <w:t>达标</w:t>
                  </w:r>
                </w:p>
              </w:tc>
            </w:tr>
            <w:tr w14:paraId="49C72E0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93" w:hRule="atLeast"/>
                <w:jc w:val="center"/>
              </w:trPr>
              <w:tc>
                <w:tcPr>
                  <w:tcW w:w="191" w:type="pct"/>
                  <w:vMerge w:val="continue"/>
                  <w:tcBorders>
                    <w:top w:val="nil"/>
                    <w:bottom w:val="nil"/>
                  </w:tcBorders>
                  <w:vAlign w:val="center"/>
                </w:tcPr>
                <w:p w14:paraId="490573C3">
                  <w:pPr>
                    <w:spacing w:line="240" w:lineRule="auto"/>
                    <w:jc w:val="center"/>
                    <w:rPr>
                      <w:rFonts w:hint="default" w:ascii="Times New Roman" w:hAnsi="Times New Roman" w:eastAsia="宋体" w:cs="Times New Roman"/>
                      <w:color w:val="auto"/>
                      <w:sz w:val="21"/>
                      <w:szCs w:val="21"/>
                      <w:highlight w:val="none"/>
                    </w:rPr>
                  </w:pPr>
                </w:p>
              </w:tc>
              <w:tc>
                <w:tcPr>
                  <w:tcW w:w="1016" w:type="pct"/>
                  <w:vMerge w:val="continue"/>
                  <w:vAlign w:val="center"/>
                </w:tcPr>
                <w:p w14:paraId="518B5C2B">
                  <w:pPr>
                    <w:spacing w:before="59" w:line="240" w:lineRule="auto"/>
                    <w:jc w:val="center"/>
                    <w:rPr>
                      <w:rFonts w:hint="default" w:ascii="Times New Roman" w:hAnsi="Times New Roman" w:eastAsia="宋体" w:cs="Times New Roman"/>
                      <w:color w:val="auto"/>
                      <w:sz w:val="21"/>
                      <w:szCs w:val="21"/>
                      <w:highlight w:val="none"/>
                      <w:lang w:val="en-US" w:eastAsia="zh-CN"/>
                    </w:rPr>
                  </w:pPr>
                </w:p>
              </w:tc>
              <w:tc>
                <w:tcPr>
                  <w:tcW w:w="997" w:type="pct"/>
                  <w:vMerge w:val="continue"/>
                  <w:vAlign w:val="center"/>
                </w:tcPr>
                <w:p w14:paraId="4F8F6E56">
                  <w:pPr>
                    <w:spacing w:before="59" w:line="240" w:lineRule="auto"/>
                    <w:jc w:val="center"/>
                    <w:rPr>
                      <w:rFonts w:hint="default" w:ascii="Times New Roman" w:hAnsi="Times New Roman" w:eastAsia="宋体" w:cs="Times New Roman"/>
                      <w:color w:val="auto"/>
                      <w:sz w:val="21"/>
                      <w:szCs w:val="21"/>
                      <w:highlight w:val="none"/>
                      <w:lang w:val="en-US" w:eastAsia="zh-CN"/>
                    </w:rPr>
                  </w:pPr>
                </w:p>
              </w:tc>
              <w:tc>
                <w:tcPr>
                  <w:tcW w:w="342" w:type="pct"/>
                  <w:vMerge w:val="restart"/>
                  <w:tcBorders>
                    <w:bottom w:val="nil"/>
                  </w:tcBorders>
                  <w:vAlign w:val="center"/>
                </w:tcPr>
                <w:p w14:paraId="51CAFBEF">
                  <w:pPr>
                    <w:spacing w:before="51"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NO</w:t>
                  </w:r>
                  <w:r>
                    <w:rPr>
                      <w:rFonts w:hint="default" w:ascii="Times New Roman" w:hAnsi="Times New Roman" w:eastAsia="宋体" w:cs="Times New Roman"/>
                      <w:color w:val="auto"/>
                      <w:sz w:val="21"/>
                      <w:szCs w:val="21"/>
                      <w:highlight w:val="none"/>
                      <w:vertAlign w:val="subscript"/>
                    </w:rPr>
                    <w:t>2</w:t>
                  </w:r>
                </w:p>
              </w:tc>
              <w:tc>
                <w:tcPr>
                  <w:tcW w:w="685" w:type="pct"/>
                  <w:vAlign w:val="center"/>
                </w:tcPr>
                <w:p w14:paraId="3296079A">
                  <w:pPr>
                    <w:pStyle w:val="74"/>
                    <w:spacing w:before="40"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6"/>
                      <w:sz w:val="21"/>
                      <w:szCs w:val="21"/>
                      <w:highlight w:val="none"/>
                    </w:rPr>
                    <w:t>日均值第98百分位数浓</w:t>
                  </w:r>
                  <w:r>
                    <w:rPr>
                      <w:rFonts w:hint="default" w:ascii="Times New Roman" w:hAnsi="Times New Roman" w:eastAsia="宋体" w:cs="Times New Roman"/>
                      <w:color w:val="auto"/>
                      <w:spacing w:val="-4"/>
                      <w:sz w:val="21"/>
                      <w:szCs w:val="21"/>
                      <w:highlight w:val="none"/>
                    </w:rPr>
                    <w:t>度值</w:t>
                  </w:r>
                </w:p>
              </w:tc>
              <w:tc>
                <w:tcPr>
                  <w:tcW w:w="334" w:type="pct"/>
                  <w:vAlign w:val="center"/>
                </w:tcPr>
                <w:p w14:paraId="4D653CF9">
                  <w:pPr>
                    <w:spacing w:before="184"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pacing w:val="-4"/>
                      <w:sz w:val="21"/>
                      <w:szCs w:val="21"/>
                      <w:highlight w:val="none"/>
                      <w:lang w:val="en-US" w:eastAsia="zh-CN"/>
                    </w:rPr>
                    <w:t>60</w:t>
                  </w:r>
                </w:p>
              </w:tc>
              <w:tc>
                <w:tcPr>
                  <w:tcW w:w="398" w:type="pct"/>
                  <w:vAlign w:val="center"/>
                </w:tcPr>
                <w:p w14:paraId="595AAB0A">
                  <w:pPr>
                    <w:spacing w:before="184"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5"/>
                      <w:sz w:val="21"/>
                      <w:szCs w:val="21"/>
                      <w:highlight w:val="none"/>
                    </w:rPr>
                    <w:t>80</w:t>
                  </w:r>
                </w:p>
              </w:tc>
              <w:tc>
                <w:tcPr>
                  <w:tcW w:w="334" w:type="pct"/>
                  <w:vAlign w:val="center"/>
                </w:tcPr>
                <w:p w14:paraId="36ED22FD">
                  <w:pPr>
                    <w:spacing w:before="187"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pacing w:val="-3"/>
                      <w:sz w:val="21"/>
                      <w:szCs w:val="21"/>
                      <w:highlight w:val="none"/>
                      <w:lang w:val="en-US" w:eastAsia="zh-CN"/>
                    </w:rPr>
                    <w:t>105</w:t>
                  </w:r>
                </w:p>
              </w:tc>
              <w:tc>
                <w:tcPr>
                  <w:tcW w:w="334" w:type="pct"/>
                  <w:vAlign w:val="center"/>
                </w:tcPr>
                <w:p w14:paraId="27241B78">
                  <w:pPr>
                    <w:spacing w:before="187" w:line="240" w:lineRule="auto"/>
                    <w:jc w:val="center"/>
                    <w:rPr>
                      <w:rFonts w:hint="default" w:ascii="Times New Roman" w:hAnsi="Times New Roman" w:eastAsia="宋体" w:cs="Times New Roman"/>
                      <w:color w:val="auto"/>
                      <w:spacing w:val="-3"/>
                      <w:sz w:val="21"/>
                      <w:szCs w:val="21"/>
                      <w:highlight w:val="none"/>
                      <w:lang w:val="en-US" w:eastAsia="zh-CN"/>
                    </w:rPr>
                  </w:pPr>
                  <w:r>
                    <w:rPr>
                      <w:rFonts w:hint="default" w:ascii="Times New Roman" w:hAnsi="Times New Roman" w:eastAsia="宋体" w:cs="Times New Roman"/>
                      <w:color w:val="auto"/>
                      <w:spacing w:val="-3"/>
                      <w:sz w:val="21"/>
                      <w:szCs w:val="21"/>
                      <w:highlight w:val="none"/>
                      <w:lang w:val="en-US" w:eastAsia="zh-CN"/>
                    </w:rPr>
                    <w:t>0.27</w:t>
                  </w:r>
                </w:p>
              </w:tc>
              <w:tc>
                <w:tcPr>
                  <w:tcW w:w="364" w:type="pct"/>
                  <w:vAlign w:val="center"/>
                </w:tcPr>
                <w:p w14:paraId="681B056D">
                  <w:pPr>
                    <w:pStyle w:val="74"/>
                    <w:spacing w:before="155"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4"/>
                      <w:sz w:val="21"/>
                      <w:szCs w:val="21"/>
                      <w:highlight w:val="none"/>
                    </w:rPr>
                    <w:t>达标</w:t>
                  </w:r>
                </w:p>
              </w:tc>
            </w:tr>
            <w:tr w14:paraId="47D0876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1" w:hRule="atLeast"/>
                <w:jc w:val="center"/>
              </w:trPr>
              <w:tc>
                <w:tcPr>
                  <w:tcW w:w="191" w:type="pct"/>
                  <w:vMerge w:val="continue"/>
                  <w:tcBorders>
                    <w:top w:val="nil"/>
                    <w:bottom w:val="nil"/>
                  </w:tcBorders>
                  <w:vAlign w:val="center"/>
                </w:tcPr>
                <w:p w14:paraId="7D2AE38D">
                  <w:pPr>
                    <w:spacing w:line="240" w:lineRule="auto"/>
                    <w:jc w:val="center"/>
                    <w:rPr>
                      <w:rFonts w:hint="default" w:ascii="Times New Roman" w:hAnsi="Times New Roman" w:eastAsia="宋体" w:cs="Times New Roman"/>
                      <w:color w:val="auto"/>
                      <w:sz w:val="21"/>
                      <w:szCs w:val="21"/>
                      <w:highlight w:val="none"/>
                    </w:rPr>
                  </w:pPr>
                </w:p>
              </w:tc>
              <w:tc>
                <w:tcPr>
                  <w:tcW w:w="1016" w:type="pct"/>
                  <w:vMerge w:val="continue"/>
                  <w:vAlign w:val="center"/>
                </w:tcPr>
                <w:p w14:paraId="6060BA2A">
                  <w:pPr>
                    <w:spacing w:line="240" w:lineRule="auto"/>
                    <w:jc w:val="center"/>
                    <w:rPr>
                      <w:rFonts w:hint="default" w:ascii="Times New Roman" w:hAnsi="Times New Roman" w:eastAsia="宋体" w:cs="Times New Roman"/>
                      <w:color w:val="auto"/>
                      <w:sz w:val="21"/>
                      <w:szCs w:val="21"/>
                      <w:highlight w:val="none"/>
                    </w:rPr>
                  </w:pPr>
                </w:p>
              </w:tc>
              <w:tc>
                <w:tcPr>
                  <w:tcW w:w="997" w:type="pct"/>
                  <w:vMerge w:val="continue"/>
                  <w:vAlign w:val="center"/>
                </w:tcPr>
                <w:p w14:paraId="6D717088">
                  <w:pPr>
                    <w:spacing w:line="240" w:lineRule="auto"/>
                    <w:jc w:val="center"/>
                    <w:rPr>
                      <w:rFonts w:hint="default" w:ascii="Times New Roman" w:hAnsi="Times New Roman" w:eastAsia="宋体" w:cs="Times New Roman"/>
                      <w:color w:val="auto"/>
                      <w:sz w:val="21"/>
                      <w:szCs w:val="21"/>
                      <w:highlight w:val="none"/>
                    </w:rPr>
                  </w:pPr>
                </w:p>
              </w:tc>
              <w:tc>
                <w:tcPr>
                  <w:tcW w:w="342" w:type="pct"/>
                  <w:vMerge w:val="continue"/>
                  <w:tcBorders>
                    <w:top w:val="nil"/>
                  </w:tcBorders>
                  <w:vAlign w:val="center"/>
                </w:tcPr>
                <w:p w14:paraId="357B0297">
                  <w:pPr>
                    <w:spacing w:line="240" w:lineRule="auto"/>
                    <w:jc w:val="center"/>
                    <w:rPr>
                      <w:rFonts w:hint="default" w:ascii="Times New Roman" w:hAnsi="Times New Roman" w:eastAsia="宋体" w:cs="Times New Roman"/>
                      <w:color w:val="auto"/>
                      <w:sz w:val="21"/>
                      <w:szCs w:val="21"/>
                      <w:highlight w:val="none"/>
                    </w:rPr>
                  </w:pPr>
                </w:p>
              </w:tc>
              <w:tc>
                <w:tcPr>
                  <w:tcW w:w="685" w:type="pct"/>
                  <w:vAlign w:val="center"/>
                </w:tcPr>
                <w:p w14:paraId="07B8D295">
                  <w:pPr>
                    <w:pStyle w:val="74"/>
                    <w:spacing w:before="149"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3"/>
                      <w:sz w:val="21"/>
                      <w:szCs w:val="21"/>
                      <w:highlight w:val="none"/>
                    </w:rPr>
                    <w:t>年平均</w:t>
                  </w:r>
                </w:p>
              </w:tc>
              <w:tc>
                <w:tcPr>
                  <w:tcW w:w="334" w:type="pct"/>
                  <w:vAlign w:val="center"/>
                </w:tcPr>
                <w:p w14:paraId="24452786">
                  <w:pPr>
                    <w:spacing w:before="180"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pacing w:val="-6"/>
                      <w:sz w:val="21"/>
                      <w:szCs w:val="21"/>
                      <w:highlight w:val="none"/>
                      <w:lang w:val="en-US" w:eastAsia="zh-CN"/>
                    </w:rPr>
                    <w:t>25.2</w:t>
                  </w:r>
                </w:p>
              </w:tc>
              <w:tc>
                <w:tcPr>
                  <w:tcW w:w="398" w:type="pct"/>
                  <w:vAlign w:val="center"/>
                </w:tcPr>
                <w:p w14:paraId="4D03F8AE">
                  <w:pPr>
                    <w:spacing w:before="180"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1"/>
                      <w:sz w:val="21"/>
                      <w:szCs w:val="21"/>
                      <w:highlight w:val="none"/>
                    </w:rPr>
                    <w:t>40</w:t>
                  </w:r>
                </w:p>
              </w:tc>
              <w:tc>
                <w:tcPr>
                  <w:tcW w:w="334" w:type="pct"/>
                  <w:vAlign w:val="center"/>
                </w:tcPr>
                <w:p w14:paraId="39FA4DB9">
                  <w:pPr>
                    <w:spacing w:before="177"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334" w:type="pct"/>
                  <w:vAlign w:val="center"/>
                </w:tcPr>
                <w:p w14:paraId="357B89A7">
                  <w:pPr>
                    <w:spacing w:before="177"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364" w:type="pct"/>
                  <w:vAlign w:val="center"/>
                </w:tcPr>
                <w:p w14:paraId="35A41B79">
                  <w:pPr>
                    <w:pStyle w:val="74"/>
                    <w:spacing w:before="149"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4"/>
                      <w:sz w:val="21"/>
                      <w:szCs w:val="21"/>
                      <w:highlight w:val="none"/>
                    </w:rPr>
                    <w:t>达标</w:t>
                  </w:r>
                </w:p>
              </w:tc>
            </w:tr>
            <w:tr w14:paraId="490AC37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93" w:hRule="atLeast"/>
                <w:jc w:val="center"/>
              </w:trPr>
              <w:tc>
                <w:tcPr>
                  <w:tcW w:w="191" w:type="pct"/>
                  <w:vMerge w:val="continue"/>
                  <w:tcBorders>
                    <w:top w:val="nil"/>
                    <w:bottom w:val="nil"/>
                  </w:tcBorders>
                  <w:vAlign w:val="center"/>
                </w:tcPr>
                <w:p w14:paraId="1DD73AE6">
                  <w:pPr>
                    <w:spacing w:line="240" w:lineRule="auto"/>
                    <w:jc w:val="center"/>
                    <w:rPr>
                      <w:rFonts w:hint="default" w:ascii="Times New Roman" w:hAnsi="Times New Roman" w:eastAsia="宋体" w:cs="Times New Roman"/>
                      <w:color w:val="auto"/>
                      <w:sz w:val="21"/>
                      <w:szCs w:val="21"/>
                      <w:highlight w:val="none"/>
                    </w:rPr>
                  </w:pPr>
                </w:p>
              </w:tc>
              <w:tc>
                <w:tcPr>
                  <w:tcW w:w="1016" w:type="pct"/>
                  <w:vMerge w:val="continue"/>
                  <w:vAlign w:val="center"/>
                </w:tcPr>
                <w:p w14:paraId="5171943D">
                  <w:pPr>
                    <w:spacing w:before="58" w:line="240" w:lineRule="auto"/>
                    <w:jc w:val="center"/>
                    <w:rPr>
                      <w:rFonts w:hint="default" w:ascii="Times New Roman" w:hAnsi="Times New Roman" w:eastAsia="宋体" w:cs="Times New Roman"/>
                      <w:color w:val="auto"/>
                      <w:sz w:val="21"/>
                      <w:szCs w:val="21"/>
                      <w:highlight w:val="none"/>
                      <w:lang w:val="en-US" w:eastAsia="zh-CN"/>
                    </w:rPr>
                  </w:pPr>
                </w:p>
              </w:tc>
              <w:tc>
                <w:tcPr>
                  <w:tcW w:w="997" w:type="pct"/>
                  <w:vMerge w:val="continue"/>
                  <w:vAlign w:val="center"/>
                </w:tcPr>
                <w:p w14:paraId="194109C8">
                  <w:pPr>
                    <w:spacing w:before="58" w:line="240" w:lineRule="auto"/>
                    <w:jc w:val="center"/>
                    <w:rPr>
                      <w:rFonts w:hint="default" w:ascii="Times New Roman" w:hAnsi="Times New Roman" w:eastAsia="宋体" w:cs="Times New Roman"/>
                      <w:color w:val="auto"/>
                      <w:sz w:val="21"/>
                      <w:szCs w:val="21"/>
                      <w:highlight w:val="none"/>
                      <w:lang w:val="en-US" w:eastAsia="zh-CN"/>
                    </w:rPr>
                  </w:pPr>
                </w:p>
              </w:tc>
              <w:tc>
                <w:tcPr>
                  <w:tcW w:w="342" w:type="pct"/>
                  <w:vMerge w:val="restart"/>
                  <w:tcBorders>
                    <w:bottom w:val="nil"/>
                  </w:tcBorders>
                  <w:vAlign w:val="center"/>
                </w:tcPr>
                <w:p w14:paraId="09D40FB8">
                  <w:pPr>
                    <w:spacing w:before="51"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highlight w:val="none"/>
                    </w:rPr>
                    <w:t>PM</w:t>
                  </w:r>
                  <w:r>
                    <w:rPr>
                      <w:rFonts w:hint="default" w:ascii="Times New Roman" w:hAnsi="Times New Roman" w:eastAsia="宋体" w:cs="Times New Roman"/>
                      <w:color w:val="auto"/>
                      <w:highlight w:val="none"/>
                      <w:vertAlign w:val="subscript"/>
                    </w:rPr>
                    <w:t>10</w:t>
                  </w:r>
                </w:p>
              </w:tc>
              <w:tc>
                <w:tcPr>
                  <w:tcW w:w="685" w:type="pct"/>
                  <w:vAlign w:val="center"/>
                </w:tcPr>
                <w:p w14:paraId="7D75626C">
                  <w:pPr>
                    <w:pStyle w:val="74"/>
                    <w:spacing w:before="40"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6"/>
                      <w:sz w:val="21"/>
                      <w:szCs w:val="21"/>
                      <w:highlight w:val="none"/>
                    </w:rPr>
                    <w:t>日均值第95百分位数浓</w:t>
                  </w:r>
                  <w:r>
                    <w:rPr>
                      <w:rFonts w:hint="default" w:ascii="Times New Roman" w:hAnsi="Times New Roman" w:eastAsia="宋体" w:cs="Times New Roman"/>
                      <w:color w:val="auto"/>
                      <w:spacing w:val="-4"/>
                      <w:sz w:val="21"/>
                      <w:szCs w:val="21"/>
                      <w:highlight w:val="none"/>
                    </w:rPr>
                    <w:t>度值</w:t>
                  </w:r>
                </w:p>
              </w:tc>
              <w:tc>
                <w:tcPr>
                  <w:tcW w:w="334" w:type="pct"/>
                  <w:vAlign w:val="center"/>
                </w:tcPr>
                <w:p w14:paraId="7CEFD47A">
                  <w:pPr>
                    <w:spacing w:before="186"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pacing w:val="-3"/>
                      <w:sz w:val="21"/>
                      <w:szCs w:val="21"/>
                      <w:highlight w:val="none"/>
                      <w:lang w:val="en-US" w:eastAsia="zh-CN"/>
                    </w:rPr>
                    <w:t>89</w:t>
                  </w:r>
                </w:p>
              </w:tc>
              <w:tc>
                <w:tcPr>
                  <w:tcW w:w="669" w:type="dxa"/>
                  <w:vAlign w:val="center"/>
                </w:tcPr>
                <w:p w14:paraId="173DAD53">
                  <w:pPr>
                    <w:spacing w:before="186"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7"/>
                      <w:sz w:val="21"/>
                      <w:szCs w:val="21"/>
                      <w:highlight w:val="none"/>
                    </w:rPr>
                    <w:t>1</w:t>
                  </w:r>
                  <w:r>
                    <w:rPr>
                      <w:rFonts w:hint="eastAsia" w:cs="Times New Roman"/>
                      <w:color w:val="auto"/>
                      <w:spacing w:val="-7"/>
                      <w:sz w:val="21"/>
                      <w:szCs w:val="21"/>
                      <w:highlight w:val="none"/>
                      <w:lang w:val="en-US" w:eastAsia="zh-CN"/>
                    </w:rPr>
                    <w:t>20</w:t>
                  </w:r>
                </w:p>
              </w:tc>
              <w:tc>
                <w:tcPr>
                  <w:tcW w:w="561" w:type="dxa"/>
                  <w:vAlign w:val="center"/>
                </w:tcPr>
                <w:p w14:paraId="5E6026FA">
                  <w:pPr>
                    <w:spacing w:before="186"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pacing w:val="-2"/>
                      <w:sz w:val="21"/>
                      <w:szCs w:val="21"/>
                      <w:highlight w:val="none"/>
                      <w:lang w:val="en-US" w:eastAsia="zh-CN"/>
                    </w:rPr>
                    <w:t>105.8</w:t>
                  </w:r>
                </w:p>
              </w:tc>
              <w:tc>
                <w:tcPr>
                  <w:tcW w:w="562" w:type="dxa"/>
                  <w:vAlign w:val="center"/>
                </w:tcPr>
                <w:p w14:paraId="37EF2825">
                  <w:pPr>
                    <w:spacing w:before="186" w:line="240" w:lineRule="auto"/>
                    <w:jc w:val="center"/>
                    <w:rPr>
                      <w:rFonts w:hint="default" w:ascii="Times New Roman" w:hAnsi="Times New Roman" w:eastAsia="宋体" w:cs="Times New Roman"/>
                      <w:color w:val="auto"/>
                      <w:spacing w:val="-2"/>
                      <w:sz w:val="21"/>
                      <w:szCs w:val="21"/>
                      <w:highlight w:val="none"/>
                      <w:lang w:val="en-US" w:eastAsia="zh-CN"/>
                    </w:rPr>
                  </w:pPr>
                  <w:r>
                    <w:rPr>
                      <w:rFonts w:hint="default" w:ascii="Times New Roman" w:hAnsi="Times New Roman" w:eastAsia="宋体" w:cs="Times New Roman"/>
                      <w:color w:val="auto"/>
                      <w:spacing w:val="-2"/>
                      <w:sz w:val="21"/>
                      <w:szCs w:val="21"/>
                      <w:highlight w:val="none"/>
                      <w:lang w:val="en-US" w:eastAsia="zh-CN"/>
                    </w:rPr>
                    <w:t>0</w:t>
                  </w:r>
                  <w:r>
                    <w:rPr>
                      <w:rFonts w:hint="eastAsia" w:cs="Times New Roman"/>
                      <w:color w:val="auto"/>
                      <w:spacing w:val="-2"/>
                      <w:sz w:val="21"/>
                      <w:szCs w:val="21"/>
                      <w:highlight w:val="none"/>
                      <w:lang w:val="en-US" w:eastAsia="zh-CN"/>
                    </w:rPr>
                    <w:t>.27</w:t>
                  </w:r>
                </w:p>
              </w:tc>
              <w:tc>
                <w:tcPr>
                  <w:tcW w:w="364" w:type="pct"/>
                  <w:vAlign w:val="center"/>
                </w:tcPr>
                <w:p w14:paraId="4F9D702A">
                  <w:pPr>
                    <w:pStyle w:val="74"/>
                    <w:spacing w:before="155"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4"/>
                      <w:sz w:val="21"/>
                      <w:szCs w:val="21"/>
                      <w:highlight w:val="none"/>
                    </w:rPr>
                    <w:t>达标</w:t>
                  </w:r>
                </w:p>
              </w:tc>
            </w:tr>
            <w:tr w14:paraId="64C6D80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1" w:hRule="atLeast"/>
                <w:jc w:val="center"/>
              </w:trPr>
              <w:tc>
                <w:tcPr>
                  <w:tcW w:w="191" w:type="pct"/>
                  <w:vMerge w:val="continue"/>
                  <w:tcBorders>
                    <w:top w:val="nil"/>
                    <w:bottom w:val="nil"/>
                  </w:tcBorders>
                  <w:vAlign w:val="center"/>
                </w:tcPr>
                <w:p w14:paraId="409DCFF9">
                  <w:pPr>
                    <w:spacing w:line="240" w:lineRule="auto"/>
                    <w:jc w:val="center"/>
                    <w:rPr>
                      <w:rFonts w:hint="default" w:ascii="Times New Roman" w:hAnsi="Times New Roman" w:eastAsia="宋体" w:cs="Times New Roman"/>
                      <w:color w:val="auto"/>
                      <w:sz w:val="21"/>
                      <w:szCs w:val="21"/>
                      <w:highlight w:val="none"/>
                    </w:rPr>
                  </w:pPr>
                </w:p>
              </w:tc>
              <w:tc>
                <w:tcPr>
                  <w:tcW w:w="1016" w:type="pct"/>
                  <w:vMerge w:val="continue"/>
                  <w:vAlign w:val="center"/>
                </w:tcPr>
                <w:p w14:paraId="2779C9D9">
                  <w:pPr>
                    <w:spacing w:line="240" w:lineRule="auto"/>
                    <w:jc w:val="center"/>
                    <w:rPr>
                      <w:rFonts w:hint="default" w:ascii="Times New Roman" w:hAnsi="Times New Roman" w:eastAsia="宋体" w:cs="Times New Roman"/>
                      <w:color w:val="auto"/>
                      <w:sz w:val="21"/>
                      <w:szCs w:val="21"/>
                      <w:highlight w:val="none"/>
                    </w:rPr>
                  </w:pPr>
                </w:p>
              </w:tc>
              <w:tc>
                <w:tcPr>
                  <w:tcW w:w="997" w:type="pct"/>
                  <w:vMerge w:val="continue"/>
                  <w:vAlign w:val="center"/>
                </w:tcPr>
                <w:p w14:paraId="501D0A3B">
                  <w:pPr>
                    <w:spacing w:line="240" w:lineRule="auto"/>
                    <w:jc w:val="center"/>
                    <w:rPr>
                      <w:rFonts w:hint="default" w:ascii="Times New Roman" w:hAnsi="Times New Roman" w:eastAsia="宋体" w:cs="Times New Roman"/>
                      <w:color w:val="auto"/>
                      <w:sz w:val="21"/>
                      <w:szCs w:val="21"/>
                      <w:highlight w:val="none"/>
                    </w:rPr>
                  </w:pPr>
                </w:p>
              </w:tc>
              <w:tc>
                <w:tcPr>
                  <w:tcW w:w="342" w:type="pct"/>
                  <w:vMerge w:val="continue"/>
                  <w:tcBorders>
                    <w:top w:val="nil"/>
                  </w:tcBorders>
                  <w:vAlign w:val="center"/>
                </w:tcPr>
                <w:p w14:paraId="380DD428">
                  <w:pPr>
                    <w:spacing w:line="240" w:lineRule="auto"/>
                    <w:jc w:val="center"/>
                    <w:rPr>
                      <w:rFonts w:hint="default" w:ascii="Times New Roman" w:hAnsi="Times New Roman" w:eastAsia="宋体" w:cs="Times New Roman"/>
                      <w:color w:val="auto"/>
                      <w:sz w:val="21"/>
                      <w:szCs w:val="21"/>
                      <w:highlight w:val="none"/>
                    </w:rPr>
                  </w:pPr>
                </w:p>
              </w:tc>
              <w:tc>
                <w:tcPr>
                  <w:tcW w:w="685" w:type="pct"/>
                  <w:vAlign w:val="center"/>
                </w:tcPr>
                <w:p w14:paraId="6B03DB48">
                  <w:pPr>
                    <w:pStyle w:val="74"/>
                    <w:spacing w:before="152"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3"/>
                      <w:sz w:val="21"/>
                      <w:szCs w:val="21"/>
                      <w:highlight w:val="none"/>
                    </w:rPr>
                    <w:t>年平均</w:t>
                  </w:r>
                </w:p>
              </w:tc>
              <w:tc>
                <w:tcPr>
                  <w:tcW w:w="334" w:type="pct"/>
                  <w:vAlign w:val="center"/>
                </w:tcPr>
                <w:p w14:paraId="61D18BB9">
                  <w:pPr>
                    <w:spacing w:before="180"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44.7</w:t>
                  </w:r>
                </w:p>
              </w:tc>
              <w:tc>
                <w:tcPr>
                  <w:tcW w:w="669" w:type="dxa"/>
                  <w:vAlign w:val="center"/>
                </w:tcPr>
                <w:p w14:paraId="3A83D995">
                  <w:pPr>
                    <w:spacing w:before="180" w:line="240" w:lineRule="auto"/>
                    <w:jc w:val="center"/>
                    <w:rPr>
                      <w:rFonts w:hint="default" w:ascii="Times New Roman" w:hAnsi="Times New Roman" w:eastAsia="宋体" w:cs="Times New Roman"/>
                      <w:color w:val="auto"/>
                      <w:sz w:val="21"/>
                      <w:szCs w:val="21"/>
                      <w:highlight w:val="none"/>
                    </w:rPr>
                  </w:pPr>
                  <w:r>
                    <w:rPr>
                      <w:rFonts w:hint="eastAsia" w:cs="Times New Roman"/>
                      <w:color w:val="auto"/>
                      <w:spacing w:val="-3"/>
                      <w:sz w:val="21"/>
                      <w:szCs w:val="21"/>
                      <w:highlight w:val="none"/>
                      <w:lang w:val="en-US" w:eastAsia="zh-CN"/>
                    </w:rPr>
                    <w:t>60</w:t>
                  </w:r>
                </w:p>
              </w:tc>
              <w:tc>
                <w:tcPr>
                  <w:tcW w:w="561" w:type="dxa"/>
                  <w:vAlign w:val="center"/>
                </w:tcPr>
                <w:p w14:paraId="22095762">
                  <w:pPr>
                    <w:spacing w:before="177"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562" w:type="dxa"/>
                  <w:vAlign w:val="center"/>
                </w:tcPr>
                <w:p w14:paraId="1DE83294">
                  <w:pPr>
                    <w:spacing w:before="177"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364" w:type="pct"/>
                  <w:vAlign w:val="center"/>
                </w:tcPr>
                <w:p w14:paraId="4BF93CB4">
                  <w:pPr>
                    <w:pStyle w:val="74"/>
                    <w:spacing w:before="152"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4"/>
                      <w:sz w:val="21"/>
                      <w:szCs w:val="21"/>
                      <w:highlight w:val="none"/>
                    </w:rPr>
                    <w:t>达标</w:t>
                  </w:r>
                </w:p>
              </w:tc>
            </w:tr>
            <w:tr w14:paraId="383991F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93" w:hRule="atLeast"/>
                <w:jc w:val="center"/>
              </w:trPr>
              <w:tc>
                <w:tcPr>
                  <w:tcW w:w="191" w:type="pct"/>
                  <w:vMerge w:val="continue"/>
                  <w:tcBorders>
                    <w:top w:val="nil"/>
                    <w:bottom w:val="nil"/>
                  </w:tcBorders>
                  <w:vAlign w:val="center"/>
                </w:tcPr>
                <w:p w14:paraId="57B7AB4F">
                  <w:pPr>
                    <w:spacing w:line="240" w:lineRule="auto"/>
                    <w:jc w:val="center"/>
                    <w:rPr>
                      <w:rFonts w:hint="default" w:ascii="Times New Roman" w:hAnsi="Times New Roman" w:eastAsia="宋体" w:cs="Times New Roman"/>
                      <w:color w:val="auto"/>
                      <w:sz w:val="21"/>
                      <w:szCs w:val="21"/>
                      <w:highlight w:val="none"/>
                    </w:rPr>
                  </w:pPr>
                </w:p>
              </w:tc>
              <w:tc>
                <w:tcPr>
                  <w:tcW w:w="1016" w:type="pct"/>
                  <w:vMerge w:val="continue"/>
                  <w:vAlign w:val="center"/>
                </w:tcPr>
                <w:p w14:paraId="65ABB696">
                  <w:pPr>
                    <w:spacing w:before="58" w:line="240" w:lineRule="auto"/>
                    <w:jc w:val="center"/>
                    <w:rPr>
                      <w:rFonts w:hint="default" w:ascii="Times New Roman" w:hAnsi="Times New Roman" w:eastAsia="宋体" w:cs="Times New Roman"/>
                      <w:color w:val="auto"/>
                      <w:sz w:val="21"/>
                      <w:szCs w:val="21"/>
                      <w:highlight w:val="none"/>
                      <w:lang w:val="en-US" w:eastAsia="zh-CN"/>
                    </w:rPr>
                  </w:pPr>
                </w:p>
              </w:tc>
              <w:tc>
                <w:tcPr>
                  <w:tcW w:w="997" w:type="pct"/>
                  <w:vMerge w:val="continue"/>
                  <w:vAlign w:val="center"/>
                </w:tcPr>
                <w:p w14:paraId="780846F3">
                  <w:pPr>
                    <w:spacing w:before="58" w:line="240" w:lineRule="auto"/>
                    <w:jc w:val="center"/>
                    <w:rPr>
                      <w:rFonts w:hint="default" w:ascii="Times New Roman" w:hAnsi="Times New Roman" w:eastAsia="宋体" w:cs="Times New Roman"/>
                      <w:color w:val="auto"/>
                      <w:sz w:val="21"/>
                      <w:szCs w:val="21"/>
                      <w:highlight w:val="none"/>
                      <w:lang w:val="en-US" w:eastAsia="zh-CN"/>
                    </w:rPr>
                  </w:pPr>
                </w:p>
              </w:tc>
              <w:tc>
                <w:tcPr>
                  <w:tcW w:w="342" w:type="pct"/>
                  <w:vMerge w:val="restart"/>
                  <w:tcBorders>
                    <w:bottom w:val="nil"/>
                  </w:tcBorders>
                  <w:vAlign w:val="center"/>
                </w:tcPr>
                <w:p w14:paraId="146F6886">
                  <w:pPr>
                    <w:spacing w:before="52"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highlight w:val="none"/>
                    </w:rPr>
                    <w:t>PM</w:t>
                  </w:r>
                  <w:r>
                    <w:rPr>
                      <w:rFonts w:hint="default" w:ascii="Times New Roman" w:hAnsi="Times New Roman" w:eastAsia="宋体" w:cs="Times New Roman"/>
                      <w:color w:val="auto"/>
                      <w:highlight w:val="none"/>
                      <w:vertAlign w:val="subscript"/>
                    </w:rPr>
                    <w:t>2.5</w:t>
                  </w:r>
                </w:p>
              </w:tc>
              <w:tc>
                <w:tcPr>
                  <w:tcW w:w="685" w:type="pct"/>
                  <w:vAlign w:val="center"/>
                </w:tcPr>
                <w:p w14:paraId="5FC8FBA6">
                  <w:pPr>
                    <w:pStyle w:val="74"/>
                    <w:spacing w:before="40"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6"/>
                      <w:sz w:val="21"/>
                      <w:szCs w:val="21"/>
                      <w:highlight w:val="none"/>
                    </w:rPr>
                    <w:t>日均值第95百分位数浓</w:t>
                  </w:r>
                  <w:r>
                    <w:rPr>
                      <w:rFonts w:hint="default" w:ascii="Times New Roman" w:hAnsi="Times New Roman" w:eastAsia="宋体" w:cs="Times New Roman"/>
                      <w:color w:val="auto"/>
                      <w:spacing w:val="-4"/>
                      <w:sz w:val="21"/>
                      <w:szCs w:val="21"/>
                      <w:highlight w:val="none"/>
                    </w:rPr>
                    <w:t>度值</w:t>
                  </w:r>
                </w:p>
              </w:tc>
              <w:tc>
                <w:tcPr>
                  <w:tcW w:w="334" w:type="pct"/>
                  <w:vAlign w:val="center"/>
                </w:tcPr>
                <w:p w14:paraId="1C3FF47B">
                  <w:pPr>
                    <w:spacing w:before="186"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pacing w:val="-4"/>
                      <w:sz w:val="21"/>
                      <w:szCs w:val="21"/>
                      <w:highlight w:val="none"/>
                    </w:rPr>
                    <w:t>3</w:t>
                  </w:r>
                  <w:r>
                    <w:rPr>
                      <w:rFonts w:hint="default" w:ascii="Times New Roman" w:hAnsi="Times New Roman" w:eastAsia="宋体" w:cs="Times New Roman"/>
                      <w:color w:val="auto"/>
                      <w:spacing w:val="-4"/>
                      <w:sz w:val="21"/>
                      <w:szCs w:val="21"/>
                      <w:highlight w:val="none"/>
                      <w:lang w:val="en-US" w:eastAsia="zh-CN"/>
                    </w:rPr>
                    <w:t>8</w:t>
                  </w:r>
                </w:p>
              </w:tc>
              <w:tc>
                <w:tcPr>
                  <w:tcW w:w="669" w:type="dxa"/>
                  <w:vAlign w:val="center"/>
                </w:tcPr>
                <w:p w14:paraId="158106CF">
                  <w:pPr>
                    <w:spacing w:before="189" w:line="240" w:lineRule="auto"/>
                    <w:jc w:val="center"/>
                    <w:rPr>
                      <w:rFonts w:hint="default" w:ascii="Times New Roman" w:hAnsi="Times New Roman" w:eastAsia="宋体" w:cs="Times New Roman"/>
                      <w:color w:val="auto"/>
                      <w:sz w:val="21"/>
                      <w:szCs w:val="21"/>
                      <w:highlight w:val="none"/>
                    </w:rPr>
                  </w:pPr>
                  <w:r>
                    <w:rPr>
                      <w:rFonts w:hint="eastAsia" w:cs="Times New Roman"/>
                      <w:color w:val="auto"/>
                      <w:spacing w:val="-3"/>
                      <w:sz w:val="21"/>
                      <w:szCs w:val="21"/>
                      <w:highlight w:val="none"/>
                      <w:lang w:val="en-US" w:eastAsia="zh-CN"/>
                    </w:rPr>
                    <w:t>60</w:t>
                  </w:r>
                </w:p>
              </w:tc>
              <w:tc>
                <w:tcPr>
                  <w:tcW w:w="561" w:type="dxa"/>
                  <w:vAlign w:val="center"/>
                </w:tcPr>
                <w:p w14:paraId="1B37FEE4">
                  <w:pPr>
                    <w:spacing w:before="186"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pacing w:val="-3"/>
                      <w:sz w:val="21"/>
                      <w:szCs w:val="21"/>
                      <w:highlight w:val="none"/>
                      <w:lang w:val="en-US" w:eastAsia="zh-CN"/>
                    </w:rPr>
                    <w:t>1</w:t>
                  </w:r>
                  <w:r>
                    <w:rPr>
                      <w:rFonts w:hint="eastAsia" w:cs="Times New Roman"/>
                      <w:color w:val="auto"/>
                      <w:spacing w:val="-3"/>
                      <w:sz w:val="21"/>
                      <w:szCs w:val="21"/>
                      <w:highlight w:val="none"/>
                      <w:lang w:val="en-US" w:eastAsia="zh-CN"/>
                    </w:rPr>
                    <w:t>38.3</w:t>
                  </w:r>
                </w:p>
              </w:tc>
              <w:tc>
                <w:tcPr>
                  <w:tcW w:w="562" w:type="dxa"/>
                  <w:vAlign w:val="center"/>
                </w:tcPr>
                <w:p w14:paraId="4FEDD983">
                  <w:pPr>
                    <w:spacing w:before="186" w:line="240" w:lineRule="auto"/>
                    <w:jc w:val="center"/>
                    <w:rPr>
                      <w:rFonts w:hint="default" w:ascii="Times New Roman" w:hAnsi="Times New Roman" w:eastAsia="宋体" w:cs="Times New Roman"/>
                      <w:color w:val="auto"/>
                      <w:spacing w:val="-3"/>
                      <w:sz w:val="21"/>
                      <w:szCs w:val="21"/>
                      <w:highlight w:val="none"/>
                      <w:lang w:val="en-US" w:eastAsia="zh-CN"/>
                    </w:rPr>
                  </w:pPr>
                  <w:r>
                    <w:rPr>
                      <w:rFonts w:hint="default" w:ascii="Times New Roman" w:hAnsi="Times New Roman" w:eastAsia="宋体" w:cs="Times New Roman"/>
                      <w:color w:val="auto"/>
                      <w:spacing w:val="-3"/>
                      <w:sz w:val="21"/>
                      <w:szCs w:val="21"/>
                      <w:highlight w:val="none"/>
                      <w:lang w:val="en-US" w:eastAsia="zh-CN"/>
                    </w:rPr>
                    <w:t>0.</w:t>
                  </w:r>
                  <w:r>
                    <w:rPr>
                      <w:rFonts w:hint="eastAsia" w:cs="Times New Roman"/>
                      <w:color w:val="auto"/>
                      <w:spacing w:val="-3"/>
                      <w:sz w:val="21"/>
                      <w:szCs w:val="21"/>
                      <w:highlight w:val="none"/>
                      <w:lang w:val="en-US" w:eastAsia="zh-CN"/>
                    </w:rPr>
                    <w:t>82</w:t>
                  </w:r>
                </w:p>
              </w:tc>
              <w:tc>
                <w:tcPr>
                  <w:tcW w:w="364" w:type="pct"/>
                  <w:vAlign w:val="center"/>
                </w:tcPr>
                <w:p w14:paraId="0BFECCBE">
                  <w:pPr>
                    <w:pStyle w:val="74"/>
                    <w:spacing w:before="158"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4"/>
                      <w:sz w:val="21"/>
                      <w:szCs w:val="21"/>
                      <w:highlight w:val="none"/>
                    </w:rPr>
                    <w:t>达标</w:t>
                  </w:r>
                </w:p>
              </w:tc>
            </w:tr>
            <w:tr w14:paraId="078D9E3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1" w:hRule="atLeast"/>
                <w:jc w:val="center"/>
              </w:trPr>
              <w:tc>
                <w:tcPr>
                  <w:tcW w:w="191" w:type="pct"/>
                  <w:vMerge w:val="continue"/>
                  <w:tcBorders>
                    <w:top w:val="nil"/>
                    <w:bottom w:val="nil"/>
                  </w:tcBorders>
                  <w:vAlign w:val="center"/>
                </w:tcPr>
                <w:p w14:paraId="146958C5">
                  <w:pPr>
                    <w:spacing w:line="240" w:lineRule="auto"/>
                    <w:jc w:val="center"/>
                    <w:rPr>
                      <w:rFonts w:hint="default" w:ascii="Times New Roman" w:hAnsi="Times New Roman" w:eastAsia="宋体" w:cs="Times New Roman"/>
                      <w:color w:val="auto"/>
                      <w:sz w:val="21"/>
                      <w:szCs w:val="21"/>
                      <w:highlight w:val="none"/>
                    </w:rPr>
                  </w:pPr>
                </w:p>
              </w:tc>
              <w:tc>
                <w:tcPr>
                  <w:tcW w:w="1016" w:type="pct"/>
                  <w:vMerge w:val="continue"/>
                  <w:vAlign w:val="center"/>
                </w:tcPr>
                <w:p w14:paraId="26303FBB">
                  <w:pPr>
                    <w:spacing w:line="240" w:lineRule="auto"/>
                    <w:jc w:val="center"/>
                    <w:rPr>
                      <w:rFonts w:hint="default" w:ascii="Times New Roman" w:hAnsi="Times New Roman" w:eastAsia="宋体" w:cs="Times New Roman"/>
                      <w:color w:val="auto"/>
                      <w:sz w:val="21"/>
                      <w:szCs w:val="21"/>
                      <w:highlight w:val="none"/>
                    </w:rPr>
                  </w:pPr>
                </w:p>
              </w:tc>
              <w:tc>
                <w:tcPr>
                  <w:tcW w:w="997" w:type="pct"/>
                  <w:vMerge w:val="continue"/>
                  <w:vAlign w:val="center"/>
                </w:tcPr>
                <w:p w14:paraId="69822C5F">
                  <w:pPr>
                    <w:spacing w:line="240" w:lineRule="auto"/>
                    <w:jc w:val="center"/>
                    <w:rPr>
                      <w:rFonts w:hint="default" w:ascii="Times New Roman" w:hAnsi="Times New Roman" w:eastAsia="宋体" w:cs="Times New Roman"/>
                      <w:color w:val="auto"/>
                      <w:sz w:val="21"/>
                      <w:szCs w:val="21"/>
                      <w:highlight w:val="none"/>
                    </w:rPr>
                  </w:pPr>
                </w:p>
              </w:tc>
              <w:tc>
                <w:tcPr>
                  <w:tcW w:w="342" w:type="pct"/>
                  <w:vMerge w:val="continue"/>
                  <w:tcBorders>
                    <w:top w:val="nil"/>
                  </w:tcBorders>
                  <w:vAlign w:val="center"/>
                </w:tcPr>
                <w:p w14:paraId="26393B4B">
                  <w:pPr>
                    <w:spacing w:line="240" w:lineRule="auto"/>
                    <w:jc w:val="center"/>
                    <w:rPr>
                      <w:rFonts w:hint="default" w:ascii="Times New Roman" w:hAnsi="Times New Roman" w:eastAsia="宋体" w:cs="Times New Roman"/>
                      <w:color w:val="auto"/>
                      <w:sz w:val="21"/>
                      <w:szCs w:val="21"/>
                      <w:highlight w:val="none"/>
                    </w:rPr>
                  </w:pPr>
                </w:p>
              </w:tc>
              <w:tc>
                <w:tcPr>
                  <w:tcW w:w="685" w:type="pct"/>
                  <w:vAlign w:val="center"/>
                </w:tcPr>
                <w:p w14:paraId="00215B47">
                  <w:pPr>
                    <w:pStyle w:val="74"/>
                    <w:spacing w:before="152"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3"/>
                      <w:sz w:val="21"/>
                      <w:szCs w:val="21"/>
                      <w:highlight w:val="none"/>
                    </w:rPr>
                    <w:t>年平均</w:t>
                  </w:r>
                </w:p>
              </w:tc>
              <w:tc>
                <w:tcPr>
                  <w:tcW w:w="334" w:type="pct"/>
                  <w:vAlign w:val="center"/>
                </w:tcPr>
                <w:p w14:paraId="7791068A">
                  <w:pPr>
                    <w:spacing w:before="183"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19.4</w:t>
                  </w:r>
                </w:p>
              </w:tc>
              <w:tc>
                <w:tcPr>
                  <w:tcW w:w="398" w:type="pct"/>
                  <w:vAlign w:val="center"/>
                </w:tcPr>
                <w:p w14:paraId="614A853F">
                  <w:pPr>
                    <w:spacing w:before="183"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4"/>
                      <w:sz w:val="21"/>
                      <w:szCs w:val="21"/>
                      <w:highlight w:val="none"/>
                    </w:rPr>
                    <w:t>35</w:t>
                  </w:r>
                </w:p>
              </w:tc>
              <w:tc>
                <w:tcPr>
                  <w:tcW w:w="334" w:type="pct"/>
                  <w:vAlign w:val="center"/>
                </w:tcPr>
                <w:p w14:paraId="06269807">
                  <w:pPr>
                    <w:spacing w:before="179"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334" w:type="pct"/>
                  <w:vAlign w:val="center"/>
                </w:tcPr>
                <w:p w14:paraId="49E64A89">
                  <w:pPr>
                    <w:spacing w:before="179"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364" w:type="pct"/>
                  <w:vAlign w:val="center"/>
                </w:tcPr>
                <w:p w14:paraId="66541DC4">
                  <w:pPr>
                    <w:pStyle w:val="74"/>
                    <w:spacing w:before="152"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4"/>
                      <w:sz w:val="21"/>
                      <w:szCs w:val="21"/>
                      <w:highlight w:val="none"/>
                    </w:rPr>
                    <w:t>达标</w:t>
                  </w:r>
                </w:p>
              </w:tc>
            </w:tr>
            <w:tr w14:paraId="59BEE72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93" w:hRule="atLeast"/>
                <w:jc w:val="center"/>
              </w:trPr>
              <w:tc>
                <w:tcPr>
                  <w:tcW w:w="191" w:type="pct"/>
                  <w:vMerge w:val="continue"/>
                  <w:tcBorders>
                    <w:top w:val="nil"/>
                    <w:bottom w:val="nil"/>
                  </w:tcBorders>
                  <w:vAlign w:val="center"/>
                </w:tcPr>
                <w:p w14:paraId="7174490D">
                  <w:pPr>
                    <w:spacing w:line="240" w:lineRule="auto"/>
                    <w:jc w:val="center"/>
                    <w:rPr>
                      <w:rFonts w:hint="default" w:ascii="Times New Roman" w:hAnsi="Times New Roman" w:eastAsia="宋体" w:cs="Times New Roman"/>
                      <w:color w:val="auto"/>
                      <w:sz w:val="21"/>
                      <w:szCs w:val="21"/>
                      <w:highlight w:val="none"/>
                    </w:rPr>
                  </w:pPr>
                </w:p>
              </w:tc>
              <w:tc>
                <w:tcPr>
                  <w:tcW w:w="1016" w:type="pct"/>
                  <w:vMerge w:val="continue"/>
                  <w:vAlign w:val="center"/>
                </w:tcPr>
                <w:p w14:paraId="00D6FCB7">
                  <w:pPr>
                    <w:spacing w:before="158" w:line="240" w:lineRule="auto"/>
                    <w:jc w:val="center"/>
                    <w:rPr>
                      <w:rFonts w:hint="default" w:ascii="Times New Roman" w:hAnsi="Times New Roman" w:eastAsia="宋体" w:cs="Times New Roman"/>
                      <w:color w:val="auto"/>
                      <w:sz w:val="21"/>
                      <w:szCs w:val="21"/>
                      <w:highlight w:val="none"/>
                    </w:rPr>
                  </w:pPr>
                </w:p>
              </w:tc>
              <w:tc>
                <w:tcPr>
                  <w:tcW w:w="997" w:type="pct"/>
                  <w:vMerge w:val="continue"/>
                  <w:vAlign w:val="center"/>
                </w:tcPr>
                <w:p w14:paraId="015BD262">
                  <w:pPr>
                    <w:spacing w:before="158" w:line="240" w:lineRule="auto"/>
                    <w:jc w:val="center"/>
                    <w:rPr>
                      <w:rFonts w:hint="default" w:ascii="Times New Roman" w:hAnsi="Times New Roman" w:eastAsia="宋体" w:cs="Times New Roman"/>
                      <w:color w:val="auto"/>
                      <w:sz w:val="21"/>
                      <w:szCs w:val="21"/>
                      <w:highlight w:val="none"/>
                      <w:lang w:val="en-US" w:eastAsia="zh-CN"/>
                    </w:rPr>
                  </w:pPr>
                </w:p>
              </w:tc>
              <w:tc>
                <w:tcPr>
                  <w:tcW w:w="342" w:type="pct"/>
                  <w:vAlign w:val="center"/>
                </w:tcPr>
                <w:p w14:paraId="20D4D86F">
                  <w:pPr>
                    <w:spacing w:before="189"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O</w:t>
                  </w:r>
                  <w:r>
                    <w:rPr>
                      <w:rFonts w:hint="default" w:ascii="Times New Roman" w:hAnsi="Times New Roman" w:eastAsia="宋体" w:cs="Times New Roman"/>
                      <w:color w:val="auto"/>
                      <w:sz w:val="21"/>
                      <w:szCs w:val="21"/>
                      <w:highlight w:val="none"/>
                      <w:vertAlign w:val="subscript"/>
                    </w:rPr>
                    <w:t>3</w:t>
                  </w:r>
                </w:p>
              </w:tc>
              <w:tc>
                <w:tcPr>
                  <w:tcW w:w="685" w:type="pct"/>
                  <w:vAlign w:val="center"/>
                </w:tcPr>
                <w:p w14:paraId="1DF76BEE">
                  <w:pPr>
                    <w:pStyle w:val="74"/>
                    <w:spacing w:before="42" w:line="240" w:lineRule="auto"/>
                    <w:ind w:right="5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5"/>
                      <w:sz w:val="21"/>
                      <w:szCs w:val="21"/>
                      <w:highlight w:val="none"/>
                    </w:rPr>
                    <w:t>日最大8小时滑动平均值</w:t>
                  </w:r>
                  <w:r>
                    <w:rPr>
                      <w:rFonts w:hint="default" w:ascii="Times New Roman" w:hAnsi="Times New Roman" w:eastAsia="宋体" w:cs="Times New Roman"/>
                      <w:color w:val="auto"/>
                      <w:spacing w:val="-3"/>
                      <w:sz w:val="21"/>
                      <w:szCs w:val="21"/>
                      <w:highlight w:val="none"/>
                    </w:rPr>
                    <w:t>第90百分位数浓度值</w:t>
                  </w:r>
                </w:p>
              </w:tc>
              <w:tc>
                <w:tcPr>
                  <w:tcW w:w="334" w:type="pct"/>
                  <w:vAlign w:val="center"/>
                </w:tcPr>
                <w:p w14:paraId="22C3F0BC">
                  <w:pPr>
                    <w:spacing w:before="189"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pacing w:val="-7"/>
                      <w:sz w:val="21"/>
                      <w:szCs w:val="21"/>
                      <w:highlight w:val="none"/>
                    </w:rPr>
                    <w:t>1</w:t>
                  </w:r>
                  <w:r>
                    <w:rPr>
                      <w:rFonts w:hint="default" w:ascii="Times New Roman" w:hAnsi="Times New Roman" w:eastAsia="宋体" w:cs="Times New Roman"/>
                      <w:color w:val="auto"/>
                      <w:spacing w:val="-7"/>
                      <w:sz w:val="21"/>
                      <w:szCs w:val="21"/>
                      <w:highlight w:val="none"/>
                      <w:lang w:val="en-US" w:eastAsia="zh-CN"/>
                    </w:rPr>
                    <w:t>70</w:t>
                  </w:r>
                </w:p>
              </w:tc>
              <w:tc>
                <w:tcPr>
                  <w:tcW w:w="398" w:type="pct"/>
                  <w:vAlign w:val="center"/>
                </w:tcPr>
                <w:p w14:paraId="48CDDB8D">
                  <w:pPr>
                    <w:spacing w:before="189"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7"/>
                      <w:sz w:val="21"/>
                      <w:szCs w:val="21"/>
                      <w:highlight w:val="none"/>
                    </w:rPr>
                    <w:t>160</w:t>
                  </w:r>
                </w:p>
              </w:tc>
              <w:tc>
                <w:tcPr>
                  <w:tcW w:w="334" w:type="pct"/>
                  <w:vAlign w:val="center"/>
                </w:tcPr>
                <w:p w14:paraId="17B1A18F">
                  <w:pPr>
                    <w:spacing w:before="189"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pacing w:val="-4"/>
                      <w:sz w:val="21"/>
                      <w:szCs w:val="21"/>
                      <w:highlight w:val="none"/>
                      <w:lang w:val="en-US" w:eastAsia="zh-CN"/>
                    </w:rPr>
                    <w:t>152.5</w:t>
                  </w:r>
                </w:p>
              </w:tc>
              <w:tc>
                <w:tcPr>
                  <w:tcW w:w="334" w:type="pct"/>
                  <w:vAlign w:val="center"/>
                </w:tcPr>
                <w:p w14:paraId="1D89834A">
                  <w:pPr>
                    <w:spacing w:before="189" w:line="240" w:lineRule="auto"/>
                    <w:jc w:val="center"/>
                    <w:rPr>
                      <w:rFonts w:hint="default" w:ascii="Times New Roman" w:hAnsi="Times New Roman" w:eastAsia="宋体" w:cs="Times New Roman"/>
                      <w:color w:val="auto"/>
                      <w:spacing w:val="-4"/>
                      <w:sz w:val="21"/>
                      <w:szCs w:val="21"/>
                      <w:highlight w:val="none"/>
                      <w:lang w:val="en-US" w:eastAsia="zh-CN"/>
                    </w:rPr>
                  </w:pPr>
                  <w:r>
                    <w:rPr>
                      <w:rFonts w:hint="eastAsia" w:ascii="Times New Roman" w:hAnsi="Times New Roman" w:eastAsia="宋体" w:cs="Times New Roman"/>
                      <w:color w:val="auto"/>
                      <w:spacing w:val="-4"/>
                      <w:sz w:val="21"/>
                      <w:szCs w:val="21"/>
                      <w:highlight w:val="none"/>
                      <w:lang w:val="en-US" w:eastAsia="zh-CN"/>
                    </w:rPr>
                    <w:t>13.01</w:t>
                  </w:r>
                </w:p>
              </w:tc>
              <w:tc>
                <w:tcPr>
                  <w:tcW w:w="364" w:type="pct"/>
                  <w:vAlign w:val="center"/>
                </w:tcPr>
                <w:p w14:paraId="1D057044">
                  <w:pPr>
                    <w:pStyle w:val="74"/>
                    <w:spacing w:before="158"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4"/>
                      <w:sz w:val="21"/>
                      <w:szCs w:val="21"/>
                      <w:highlight w:val="none"/>
                      <w:lang w:eastAsia="zh-CN"/>
                    </w:rPr>
                    <w:t>不</w:t>
                  </w:r>
                  <w:r>
                    <w:rPr>
                      <w:rFonts w:hint="default" w:ascii="Times New Roman" w:hAnsi="Times New Roman" w:eastAsia="宋体" w:cs="Times New Roman"/>
                      <w:color w:val="auto"/>
                      <w:spacing w:val="-4"/>
                      <w:sz w:val="21"/>
                      <w:szCs w:val="21"/>
                      <w:highlight w:val="none"/>
                    </w:rPr>
                    <w:t>达标</w:t>
                  </w:r>
                </w:p>
              </w:tc>
            </w:tr>
            <w:tr w14:paraId="3757039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98" w:hRule="atLeast"/>
                <w:jc w:val="center"/>
              </w:trPr>
              <w:tc>
                <w:tcPr>
                  <w:tcW w:w="191" w:type="pct"/>
                  <w:vMerge w:val="continue"/>
                  <w:tcBorders>
                    <w:top w:val="nil"/>
                  </w:tcBorders>
                  <w:vAlign w:val="center"/>
                </w:tcPr>
                <w:p w14:paraId="3A113B69">
                  <w:pPr>
                    <w:spacing w:line="240" w:lineRule="auto"/>
                    <w:jc w:val="center"/>
                    <w:rPr>
                      <w:rFonts w:hint="default" w:ascii="Times New Roman" w:hAnsi="Times New Roman" w:eastAsia="宋体" w:cs="Times New Roman"/>
                      <w:color w:val="auto"/>
                      <w:sz w:val="21"/>
                      <w:szCs w:val="21"/>
                      <w:highlight w:val="none"/>
                    </w:rPr>
                  </w:pPr>
                </w:p>
              </w:tc>
              <w:tc>
                <w:tcPr>
                  <w:tcW w:w="1016" w:type="pct"/>
                  <w:vMerge w:val="continue"/>
                  <w:vAlign w:val="center"/>
                </w:tcPr>
                <w:p w14:paraId="711C3D75">
                  <w:pPr>
                    <w:spacing w:before="159" w:line="240" w:lineRule="auto"/>
                    <w:jc w:val="center"/>
                    <w:rPr>
                      <w:rFonts w:hint="default" w:ascii="Times New Roman" w:hAnsi="Times New Roman" w:eastAsia="宋体" w:cs="Times New Roman"/>
                      <w:color w:val="auto"/>
                      <w:sz w:val="21"/>
                      <w:szCs w:val="21"/>
                      <w:highlight w:val="none"/>
                    </w:rPr>
                  </w:pPr>
                </w:p>
              </w:tc>
              <w:tc>
                <w:tcPr>
                  <w:tcW w:w="997" w:type="pct"/>
                  <w:vMerge w:val="continue"/>
                  <w:vAlign w:val="center"/>
                </w:tcPr>
                <w:p w14:paraId="77B88EAA">
                  <w:pPr>
                    <w:spacing w:before="159" w:line="240" w:lineRule="auto"/>
                    <w:jc w:val="center"/>
                    <w:rPr>
                      <w:rFonts w:hint="default" w:ascii="Times New Roman" w:hAnsi="Times New Roman" w:eastAsia="宋体" w:cs="Times New Roman"/>
                      <w:color w:val="auto"/>
                      <w:sz w:val="21"/>
                      <w:szCs w:val="21"/>
                      <w:highlight w:val="none"/>
                      <w:lang w:val="en-US" w:eastAsia="zh-CN"/>
                    </w:rPr>
                  </w:pPr>
                </w:p>
              </w:tc>
              <w:tc>
                <w:tcPr>
                  <w:tcW w:w="342" w:type="pct"/>
                  <w:vAlign w:val="center"/>
                </w:tcPr>
                <w:p w14:paraId="14AC68E9">
                  <w:pPr>
                    <w:spacing w:before="190"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4"/>
                      <w:sz w:val="21"/>
                      <w:szCs w:val="21"/>
                      <w:highlight w:val="none"/>
                    </w:rPr>
                    <w:t>CO</w:t>
                  </w:r>
                </w:p>
              </w:tc>
              <w:tc>
                <w:tcPr>
                  <w:tcW w:w="685" w:type="pct"/>
                  <w:vAlign w:val="center"/>
                </w:tcPr>
                <w:p w14:paraId="6AED2A37">
                  <w:pPr>
                    <w:pStyle w:val="74"/>
                    <w:spacing w:before="44"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6"/>
                      <w:sz w:val="21"/>
                      <w:szCs w:val="21"/>
                      <w:highlight w:val="none"/>
                    </w:rPr>
                    <w:t>日均值第95百分位数浓</w:t>
                  </w:r>
                  <w:r>
                    <w:rPr>
                      <w:rFonts w:hint="default" w:ascii="Times New Roman" w:hAnsi="Times New Roman" w:eastAsia="宋体" w:cs="Times New Roman"/>
                      <w:color w:val="auto"/>
                      <w:spacing w:val="-4"/>
                      <w:sz w:val="21"/>
                      <w:szCs w:val="21"/>
                      <w:highlight w:val="none"/>
                    </w:rPr>
                    <w:t>度值</w:t>
                  </w:r>
                </w:p>
              </w:tc>
              <w:tc>
                <w:tcPr>
                  <w:tcW w:w="334" w:type="pct"/>
                  <w:vAlign w:val="center"/>
                </w:tcPr>
                <w:p w14:paraId="491778E4">
                  <w:pPr>
                    <w:spacing w:before="190"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3"/>
                      <w:sz w:val="21"/>
                      <w:szCs w:val="21"/>
                      <w:highlight w:val="none"/>
                      <w:lang w:val="en-US" w:eastAsia="zh-CN"/>
                    </w:rPr>
                    <w:t>8</w:t>
                  </w:r>
                  <w:r>
                    <w:rPr>
                      <w:rFonts w:hint="default" w:ascii="Times New Roman" w:hAnsi="Times New Roman" w:eastAsia="宋体" w:cs="Times New Roman"/>
                      <w:color w:val="auto"/>
                      <w:spacing w:val="-3"/>
                      <w:sz w:val="21"/>
                      <w:szCs w:val="21"/>
                      <w:highlight w:val="none"/>
                    </w:rPr>
                    <w:t>00</w:t>
                  </w:r>
                </w:p>
              </w:tc>
              <w:tc>
                <w:tcPr>
                  <w:tcW w:w="398" w:type="pct"/>
                  <w:vAlign w:val="center"/>
                </w:tcPr>
                <w:p w14:paraId="04F6927D">
                  <w:pPr>
                    <w:spacing w:before="190"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1"/>
                      <w:sz w:val="21"/>
                      <w:szCs w:val="21"/>
                      <w:highlight w:val="none"/>
                    </w:rPr>
                    <w:t>4000</w:t>
                  </w:r>
                </w:p>
              </w:tc>
              <w:tc>
                <w:tcPr>
                  <w:tcW w:w="334" w:type="pct"/>
                  <w:vAlign w:val="center"/>
                </w:tcPr>
                <w:p w14:paraId="43C2DFE7">
                  <w:pPr>
                    <w:spacing w:before="190" w:line="240" w:lineRule="auto"/>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pacing w:val="-1"/>
                      <w:sz w:val="21"/>
                      <w:szCs w:val="21"/>
                      <w:highlight w:val="none"/>
                    </w:rPr>
                    <w:t>2</w:t>
                  </w:r>
                  <w:r>
                    <w:rPr>
                      <w:rFonts w:hint="default" w:ascii="Times New Roman" w:hAnsi="Times New Roman" w:eastAsia="宋体" w:cs="Times New Roman"/>
                      <w:color w:val="auto"/>
                      <w:spacing w:val="-1"/>
                      <w:sz w:val="21"/>
                      <w:szCs w:val="21"/>
                      <w:highlight w:val="none"/>
                      <w:lang w:val="en-US" w:eastAsia="zh-CN"/>
                    </w:rPr>
                    <w:t>5</w:t>
                  </w:r>
                </w:p>
              </w:tc>
              <w:tc>
                <w:tcPr>
                  <w:tcW w:w="334" w:type="pct"/>
                  <w:vAlign w:val="center"/>
                </w:tcPr>
                <w:p w14:paraId="216D7E4A">
                  <w:pPr>
                    <w:spacing w:before="190" w:line="240" w:lineRule="auto"/>
                    <w:jc w:val="center"/>
                    <w:rPr>
                      <w:rFonts w:hint="default" w:ascii="Times New Roman" w:hAnsi="Times New Roman" w:eastAsia="宋体" w:cs="Times New Roman"/>
                      <w:color w:val="auto"/>
                      <w:spacing w:val="-1"/>
                      <w:sz w:val="21"/>
                      <w:szCs w:val="21"/>
                      <w:highlight w:val="none"/>
                      <w:lang w:val="en-US" w:eastAsia="zh-CN"/>
                    </w:rPr>
                  </w:pPr>
                  <w:r>
                    <w:rPr>
                      <w:rFonts w:hint="default" w:ascii="Times New Roman" w:hAnsi="Times New Roman" w:eastAsia="宋体" w:cs="Times New Roman"/>
                      <w:color w:val="auto"/>
                      <w:spacing w:val="-1"/>
                      <w:sz w:val="21"/>
                      <w:szCs w:val="21"/>
                      <w:highlight w:val="none"/>
                      <w:lang w:val="en-US" w:eastAsia="zh-CN"/>
                    </w:rPr>
                    <w:t>0</w:t>
                  </w:r>
                </w:p>
              </w:tc>
              <w:tc>
                <w:tcPr>
                  <w:tcW w:w="364" w:type="pct"/>
                  <w:vAlign w:val="center"/>
                </w:tcPr>
                <w:p w14:paraId="21BD9CA3">
                  <w:pPr>
                    <w:pStyle w:val="74"/>
                    <w:spacing w:before="159"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4"/>
                      <w:sz w:val="21"/>
                      <w:szCs w:val="21"/>
                      <w:highlight w:val="none"/>
                    </w:rPr>
                    <w:t>达标</w:t>
                  </w:r>
                </w:p>
              </w:tc>
            </w:tr>
          </w:tbl>
          <w:p w14:paraId="561EBE7C">
            <w:pPr>
              <w:pStyle w:val="74"/>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9"/>
              <w:jc w:val="both"/>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根据以上数据可知，二氧化硫、细颗粒物的年均值及相应的日均值特定百分位数浓度值均达到《环境空气质量标准》（GB3095--2026）过渡阶段浓度限值中的二级标准；二氧化氮、可吸入颗粒物的年均值百分位数浓度值达到《环境空气质量标准》（GB3095--2026）过渡阶段浓度限值中的二级标准；二氧化氮和可吸入颗粒物的特定百分位数浓度值能达到《环境空气质量标准》（GB3095--2026）过渡阶段浓度限值中的二级标准；一氧化碳日均值第95百分位数浓度值达到《环境空气质量标准》（GB3095--2026）过渡阶段浓度限值中的二级标准；臭氧日最大8小时滑动平均值的第90百分位数浓度值超过《环境空气质量标准》（GB3095--2026）过渡阶段浓度限值中的二级标准。</w:t>
            </w:r>
          </w:p>
          <w:p w14:paraId="3163DD7F">
            <w:pPr>
              <w:pStyle w:val="74"/>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9"/>
              <w:jc w:val="both"/>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5"/>
                <w:sz w:val="21"/>
                <w:szCs w:val="21"/>
                <w:highlight w:val="none"/>
              </w:rPr>
              <w:t>为持续改善中山市大气环境质量，中山市将切实做好各类污染源监</w:t>
            </w:r>
            <w:r>
              <w:rPr>
                <w:rFonts w:hint="default" w:ascii="Times New Roman" w:hAnsi="Times New Roman" w:eastAsia="宋体" w:cs="Times New Roman"/>
                <w:color w:val="auto"/>
                <w:spacing w:val="-6"/>
                <w:sz w:val="21"/>
                <w:szCs w:val="21"/>
                <w:highlight w:val="none"/>
              </w:rPr>
              <w:t>督管理。</w:t>
            </w:r>
            <w:r>
              <w:rPr>
                <w:rFonts w:hint="default" w:ascii="Times New Roman" w:hAnsi="Times New Roman" w:eastAsia="宋体" w:cs="Times New Roman"/>
                <w:color w:val="auto"/>
                <w:sz w:val="21"/>
                <w:szCs w:val="21"/>
                <w:highlight w:val="none"/>
              </w:rPr>
              <w:t>一是对全市涉VOCs、工业锅炉及炉窑等企业进行巡查，督促企业落实大气污染</w:t>
            </w:r>
            <w:r>
              <w:rPr>
                <w:rFonts w:hint="default" w:ascii="Times New Roman" w:hAnsi="Times New Roman" w:eastAsia="宋体" w:cs="Times New Roman"/>
                <w:color w:val="auto"/>
                <w:spacing w:val="-3"/>
                <w:sz w:val="21"/>
                <w:szCs w:val="21"/>
                <w:highlight w:val="none"/>
              </w:rPr>
              <w:t>防治措施；二是加强巡查建设工地、线性工程，督促</w:t>
            </w:r>
            <w:r>
              <w:rPr>
                <w:rFonts w:hint="default" w:ascii="Times New Roman" w:hAnsi="Times New Roman" w:eastAsia="宋体" w:cs="Times New Roman"/>
                <w:color w:val="auto"/>
                <w:spacing w:val="-4"/>
                <w:sz w:val="21"/>
                <w:szCs w:val="21"/>
                <w:highlight w:val="none"/>
              </w:rPr>
              <w:t>施工单位严格落实“六个百分</w:t>
            </w:r>
            <w:r>
              <w:rPr>
                <w:rFonts w:hint="default" w:ascii="Times New Roman" w:hAnsi="Times New Roman" w:eastAsia="宋体" w:cs="Times New Roman"/>
                <w:color w:val="auto"/>
                <w:spacing w:val="-3"/>
                <w:sz w:val="21"/>
                <w:szCs w:val="21"/>
                <w:highlight w:val="none"/>
              </w:rPr>
              <w:t>百”扬尘防治措施；三是抓好非道路移动机械监督执</w:t>
            </w:r>
            <w:r>
              <w:rPr>
                <w:rFonts w:hint="default" w:ascii="Times New Roman" w:hAnsi="Times New Roman" w:eastAsia="宋体" w:cs="Times New Roman"/>
                <w:color w:val="auto"/>
                <w:spacing w:val="-4"/>
                <w:sz w:val="21"/>
                <w:szCs w:val="21"/>
                <w:highlight w:val="none"/>
              </w:rPr>
              <w:t>法现场要求施工负责人做好车</w:t>
            </w:r>
            <w:r>
              <w:rPr>
                <w:rFonts w:hint="default" w:ascii="Times New Roman" w:hAnsi="Times New Roman" w:eastAsia="宋体" w:cs="Times New Roman"/>
                <w:color w:val="auto"/>
                <w:sz w:val="21"/>
                <w:szCs w:val="21"/>
                <w:highlight w:val="none"/>
              </w:rPr>
              <w:t>辆检查及维护；四是加强对餐饮企业、流动烧烤摊贩以及</w:t>
            </w:r>
            <w:r>
              <w:rPr>
                <w:rFonts w:hint="default" w:ascii="Times New Roman" w:hAnsi="Times New Roman" w:eastAsia="宋体" w:cs="Times New Roman"/>
                <w:color w:val="auto"/>
                <w:spacing w:val="-1"/>
                <w:sz w:val="21"/>
                <w:szCs w:val="21"/>
                <w:highlight w:val="none"/>
              </w:rPr>
              <w:t>露天焚烧的管控，严防</w:t>
            </w:r>
            <w:r>
              <w:rPr>
                <w:rFonts w:hint="default" w:ascii="Times New Roman" w:hAnsi="Times New Roman" w:eastAsia="宋体" w:cs="Times New Roman"/>
                <w:color w:val="auto"/>
                <w:sz w:val="21"/>
                <w:szCs w:val="21"/>
                <w:highlight w:val="none"/>
              </w:rPr>
              <w:t>露天焚烧秸秆、垃圾等行为发生；五是加强油站、油库监</w:t>
            </w:r>
            <w:r>
              <w:rPr>
                <w:rFonts w:hint="default" w:ascii="Times New Roman" w:hAnsi="Times New Roman" w:eastAsia="宋体" w:cs="Times New Roman"/>
                <w:color w:val="auto"/>
                <w:spacing w:val="-1"/>
                <w:sz w:val="21"/>
                <w:szCs w:val="21"/>
                <w:highlight w:val="none"/>
              </w:rPr>
              <w:t>督管理，对全市加油站</w:t>
            </w:r>
            <w:r>
              <w:rPr>
                <w:rFonts w:hint="default" w:ascii="Times New Roman" w:hAnsi="Times New Roman" w:eastAsia="宋体" w:cs="Times New Roman"/>
                <w:color w:val="auto"/>
                <w:sz w:val="21"/>
                <w:szCs w:val="21"/>
                <w:highlight w:val="none"/>
              </w:rPr>
              <w:t>和储油库的油气回收装置等设施进行油气密闭性检查；六</w:t>
            </w:r>
            <w:r>
              <w:rPr>
                <w:rFonts w:hint="default" w:ascii="Times New Roman" w:hAnsi="Times New Roman" w:eastAsia="宋体" w:cs="Times New Roman"/>
                <w:color w:val="auto"/>
                <w:spacing w:val="-1"/>
                <w:sz w:val="21"/>
                <w:szCs w:val="21"/>
                <w:highlight w:val="none"/>
              </w:rPr>
              <w:t>是加大人员投入强化重</w:t>
            </w:r>
            <w:r>
              <w:rPr>
                <w:rFonts w:hint="default" w:ascii="Times New Roman" w:hAnsi="Times New Roman" w:eastAsia="宋体" w:cs="Times New Roman"/>
                <w:color w:val="auto"/>
                <w:sz w:val="21"/>
                <w:szCs w:val="21"/>
                <w:highlight w:val="none"/>
              </w:rPr>
              <w:t>点区域交通疏导工作，减少拥堵；七是联合交警部门开展</w:t>
            </w:r>
            <w:r>
              <w:rPr>
                <w:rFonts w:hint="default" w:ascii="Times New Roman" w:hAnsi="Times New Roman" w:eastAsia="宋体" w:cs="Times New Roman"/>
                <w:color w:val="auto"/>
                <w:spacing w:val="-1"/>
                <w:sz w:val="21"/>
                <w:szCs w:val="21"/>
                <w:highlight w:val="none"/>
              </w:rPr>
              <w:t>柴油车路检工作，督促</w:t>
            </w:r>
            <w:r>
              <w:rPr>
                <w:rFonts w:hint="default" w:ascii="Times New Roman" w:hAnsi="Times New Roman" w:eastAsia="宋体" w:cs="Times New Roman"/>
                <w:color w:val="auto"/>
                <w:sz w:val="21"/>
                <w:szCs w:val="21"/>
                <w:highlight w:val="none"/>
              </w:rPr>
              <w:t>指导用车大户建立完善车辆使用台账，采取上述措施之后</w:t>
            </w:r>
            <w:r>
              <w:rPr>
                <w:rFonts w:hint="default" w:ascii="Times New Roman" w:hAnsi="Times New Roman" w:eastAsia="宋体" w:cs="Times New Roman"/>
                <w:color w:val="auto"/>
                <w:spacing w:val="-1"/>
                <w:sz w:val="21"/>
                <w:szCs w:val="21"/>
                <w:highlight w:val="none"/>
              </w:rPr>
              <w:t>中山市的环境空气质量</w:t>
            </w:r>
            <w:r>
              <w:rPr>
                <w:rFonts w:hint="default" w:ascii="Times New Roman" w:hAnsi="Times New Roman" w:eastAsia="宋体" w:cs="Times New Roman"/>
                <w:color w:val="auto"/>
                <w:spacing w:val="-2"/>
                <w:sz w:val="21"/>
                <w:szCs w:val="21"/>
                <w:highlight w:val="none"/>
              </w:rPr>
              <w:t>会逐步得到改善。</w:t>
            </w:r>
          </w:p>
          <w:p w14:paraId="5D44C283">
            <w:pPr>
              <w:shd w:val="clear"/>
              <w:spacing w:line="360" w:lineRule="auto"/>
              <w:ind w:firstLine="482" w:firstLineChars="200"/>
              <w:jc w:val="left"/>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3、补充污染物环境质量现状评价</w:t>
            </w:r>
          </w:p>
          <w:p w14:paraId="274AC655">
            <w:pPr>
              <w:keepNext/>
              <w:keepLines/>
              <w:pageBreakBefore w:val="0"/>
              <w:widowControl w:val="0"/>
              <w:numPr>
                <w:ilvl w:val="0"/>
                <w:numId w:val="0"/>
              </w:numPr>
              <w:shd w:val="clear"/>
              <w:kinsoku/>
              <w:wordWrap/>
              <w:overflowPunct/>
              <w:topLinePunct w:val="0"/>
              <w:autoSpaceDE/>
              <w:autoSpaceDN/>
              <w:bidi w:val="0"/>
              <w:adjustRightInd/>
              <w:snapToGrid/>
              <w:spacing w:line="360" w:lineRule="auto"/>
              <w:ind w:firstLine="420" w:firstLineChars="200"/>
              <w:jc w:val="both"/>
              <w:textAlignment w:val="auto"/>
              <w:outlineLvl w:val="2"/>
              <w:rPr>
                <w:rFonts w:hint="default" w:ascii="Times New Roman" w:hAnsi="Times New Roman" w:eastAsia="宋体" w:cs="Times New Roman"/>
                <w:color w:val="auto"/>
                <w:sz w:val="21"/>
                <w:szCs w:val="21"/>
                <w:highlight w:val="none"/>
                <w:lang w:val="zh-CN" w:eastAsia="zh-CN"/>
              </w:rPr>
            </w:pPr>
            <w:r>
              <w:rPr>
                <w:rFonts w:hint="default" w:ascii="Times New Roman" w:hAnsi="Times New Roman" w:eastAsia="宋体" w:cs="Times New Roman"/>
                <w:color w:val="auto"/>
                <w:sz w:val="21"/>
                <w:szCs w:val="21"/>
                <w:highlight w:val="none"/>
                <w:lang w:val="zh-CN" w:eastAsia="zh-CN"/>
              </w:rPr>
              <w:t>为了解本项目评价范围内的环境空气质量现状，本次评价选择</w:t>
            </w:r>
            <w:r>
              <w:rPr>
                <w:rFonts w:hint="eastAsia" w:cs="Times New Roman"/>
                <w:color w:val="auto"/>
                <w:sz w:val="21"/>
                <w:szCs w:val="21"/>
                <w:highlight w:val="none"/>
                <w:lang w:val="en-US" w:eastAsia="zh-CN"/>
              </w:rPr>
              <w:t>TSP、</w:t>
            </w:r>
            <w:r>
              <w:rPr>
                <w:rFonts w:hint="default" w:ascii="Times New Roman" w:hAnsi="Times New Roman" w:eastAsia="宋体" w:cs="Times New Roman"/>
                <w:color w:val="auto"/>
                <w:sz w:val="21"/>
                <w:szCs w:val="21"/>
                <w:highlight w:val="none"/>
                <w:lang w:val="en-US" w:eastAsia="zh-CN"/>
              </w:rPr>
              <w:t>非甲烷总烃（TVOC）、甲醇、甲苯、氨、臭气浓度、硫酸雾、氯化氢</w:t>
            </w:r>
            <w:r>
              <w:rPr>
                <w:rFonts w:hint="eastAsia" w:cs="Times New Roman"/>
                <w:color w:val="auto"/>
                <w:sz w:val="21"/>
                <w:szCs w:val="21"/>
                <w:highlight w:val="none"/>
                <w:lang w:val="en-US" w:eastAsia="zh-CN"/>
              </w:rPr>
              <w:t>进行现状评价</w:t>
            </w:r>
            <w:r>
              <w:rPr>
                <w:rFonts w:hint="default" w:ascii="Times New Roman" w:hAnsi="Times New Roman" w:eastAsia="宋体" w:cs="Times New Roman"/>
                <w:color w:val="auto"/>
                <w:sz w:val="21"/>
                <w:szCs w:val="21"/>
                <w:highlight w:val="none"/>
                <w:lang w:val="zh-CN"/>
              </w:rPr>
              <w:t>，</w:t>
            </w:r>
            <w:r>
              <w:rPr>
                <w:rFonts w:hint="eastAsia" w:cs="Times New Roman"/>
                <w:color w:val="auto"/>
                <w:sz w:val="21"/>
                <w:szCs w:val="21"/>
                <w:highlight w:val="none"/>
                <w:lang w:val="en-US" w:eastAsia="zh-CN"/>
              </w:rPr>
              <w:t>由于</w:t>
            </w:r>
            <w:r>
              <w:rPr>
                <w:rFonts w:hint="default" w:ascii="Times New Roman" w:hAnsi="Times New Roman" w:eastAsia="宋体" w:cs="Times New Roman"/>
                <w:color w:val="auto"/>
                <w:sz w:val="21"/>
                <w:szCs w:val="21"/>
                <w:highlight w:val="none"/>
                <w:lang w:val="en-US" w:eastAsia="zh-CN"/>
              </w:rPr>
              <w:t>非甲烷总烃（TVOC）、甲醇、甲苯、氨、臭气浓度、硫酸雾、氯化氢不属于《建设项目环境影响报告表编制技术指南（污染影响类）》中“排放国家、地方环境空气质量标准中有标准限值要求的特征污染物”</w:t>
            </w:r>
            <w:r>
              <w:rPr>
                <w:rFonts w:hint="default" w:ascii="Times New Roman" w:hAnsi="Times New Roman" w:eastAsia="宋体" w:cs="Times New Roman"/>
                <w:color w:val="auto"/>
                <w:sz w:val="21"/>
                <w:szCs w:val="21"/>
                <w:highlight w:val="none"/>
                <w:lang w:val="zh-CN"/>
              </w:rPr>
              <w:t>，</w:t>
            </w:r>
            <w:r>
              <w:rPr>
                <w:rFonts w:hint="default" w:ascii="Times New Roman" w:hAnsi="Times New Roman" w:eastAsia="宋体" w:cs="Times New Roman"/>
                <w:color w:val="auto"/>
                <w:sz w:val="21"/>
                <w:szCs w:val="21"/>
                <w:highlight w:val="none"/>
                <w:lang w:val="zh-CN" w:eastAsia="zh-CN"/>
              </w:rPr>
              <w:t>故不进行非甲烷总烃（TVOC）、甲醇、甲苯、氨、臭气浓度、硫酸雾、氯化氢监测。</w:t>
            </w:r>
          </w:p>
          <w:p w14:paraId="2A7DB58B">
            <w:pPr>
              <w:keepNext/>
              <w:keepLines/>
              <w:pageBreakBefore w:val="0"/>
              <w:widowControl w:val="0"/>
              <w:numPr>
                <w:ilvl w:val="0"/>
                <w:numId w:val="0"/>
              </w:numPr>
              <w:shd w:val="clear"/>
              <w:kinsoku/>
              <w:wordWrap/>
              <w:overflowPunct/>
              <w:topLinePunct w:val="0"/>
              <w:autoSpaceDE/>
              <w:autoSpaceDN/>
              <w:bidi w:val="0"/>
              <w:adjustRightInd/>
              <w:snapToGrid/>
              <w:spacing w:line="360" w:lineRule="auto"/>
              <w:ind w:firstLine="420" w:firstLineChars="200"/>
              <w:jc w:val="both"/>
              <w:textAlignment w:val="auto"/>
              <w:outlineLvl w:val="2"/>
              <w:rPr>
                <w:rFonts w:hint="eastAsia" w:cs="Times New Roman"/>
                <w:b w:val="0"/>
                <w:bCs/>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项目所在地环境空气中颗粒物TSP现状情况，</w:t>
            </w:r>
            <w:r>
              <w:rPr>
                <w:rFonts w:hint="eastAsia" w:ascii="Times New Roman" w:hAnsi="Times New Roman"/>
                <w:color w:val="auto"/>
                <w:szCs w:val="21"/>
                <w:highlight w:val="none"/>
                <w:lang w:val="en-US" w:eastAsia="zh-CN"/>
              </w:rPr>
              <w:t>根据</w:t>
            </w:r>
            <w:r>
              <w:rPr>
                <w:rFonts w:hint="default" w:ascii="Times New Roman" w:hAnsi="Times New Roman" w:cs="Times New Roman"/>
                <w:b w:val="0"/>
                <w:bCs/>
                <w:color w:val="auto"/>
                <w:kern w:val="2"/>
                <w:sz w:val="21"/>
                <w:szCs w:val="21"/>
                <w:highlight w:val="none"/>
                <w:lang w:val="en-US" w:eastAsia="zh-CN" w:bidi="ar-SA"/>
              </w:rPr>
              <w:t>中山天青检测技术有限公司</w:t>
            </w:r>
            <w:r>
              <w:rPr>
                <w:rFonts w:hint="default" w:ascii="Times New Roman" w:hAnsi="Times New Roman" w:eastAsia="宋体" w:cs="Times New Roman"/>
                <w:b w:val="0"/>
                <w:bCs/>
                <w:color w:val="auto"/>
                <w:kern w:val="2"/>
                <w:sz w:val="21"/>
                <w:szCs w:val="21"/>
                <w:highlight w:val="none"/>
                <w:lang w:val="en-US" w:eastAsia="zh-CN" w:bidi="ar-SA"/>
              </w:rPr>
              <w:t>（报告编</w:t>
            </w:r>
            <w:r>
              <w:rPr>
                <w:rFonts w:hint="default" w:ascii="Times New Roman" w:hAnsi="Times New Roman" w:cs="Times New Roman"/>
                <w:b w:val="0"/>
                <w:bCs/>
                <w:color w:val="auto"/>
                <w:kern w:val="2"/>
                <w:sz w:val="21"/>
                <w:szCs w:val="21"/>
                <w:highlight w:val="none"/>
                <w:lang w:val="en-US" w:eastAsia="zh-CN" w:bidi="ar-SA"/>
              </w:rPr>
              <w:t>号：ZKT2603050015</w:t>
            </w:r>
            <w:r>
              <w:rPr>
                <w:rFonts w:hint="default" w:ascii="Times New Roman" w:hAnsi="Times New Roman" w:eastAsia="宋体" w:cs="Times New Roman"/>
                <w:b w:val="0"/>
                <w:bCs/>
                <w:color w:val="auto"/>
                <w:kern w:val="2"/>
                <w:sz w:val="21"/>
                <w:szCs w:val="21"/>
                <w:highlight w:val="none"/>
                <w:lang w:val="en-US" w:eastAsia="zh-CN" w:bidi="ar-SA"/>
              </w:rPr>
              <w:t>）</w:t>
            </w:r>
            <w:r>
              <w:rPr>
                <w:rFonts w:ascii="Times New Roman" w:hAnsi="Times New Roman"/>
                <w:color w:val="auto"/>
                <w:highlight w:val="none"/>
              </w:rPr>
              <w:t>：</w:t>
            </w:r>
            <w:r>
              <w:rPr>
                <w:rFonts w:hint="default" w:ascii="Times New Roman" w:hAnsi="Times New Roman" w:eastAsia="宋体" w:cs="Times New Roman"/>
                <w:b w:val="0"/>
                <w:bCs/>
                <w:color w:val="auto"/>
                <w:kern w:val="2"/>
                <w:sz w:val="21"/>
                <w:szCs w:val="21"/>
                <w:highlight w:val="none"/>
                <w:lang w:val="en-US" w:eastAsia="zh-CN" w:bidi="ar-SA"/>
              </w:rPr>
              <w:t>深圳市政科检测有限公司于202</w:t>
            </w:r>
            <w:r>
              <w:rPr>
                <w:rFonts w:hint="eastAsia" w:cs="Times New Roman"/>
                <w:b w:val="0"/>
                <w:bCs/>
                <w:color w:val="auto"/>
                <w:kern w:val="2"/>
                <w:sz w:val="21"/>
                <w:szCs w:val="21"/>
                <w:highlight w:val="none"/>
                <w:lang w:val="en-US" w:eastAsia="zh-CN" w:bidi="ar-SA"/>
              </w:rPr>
              <w:t>6</w:t>
            </w:r>
            <w:r>
              <w:rPr>
                <w:rFonts w:hint="default" w:ascii="Times New Roman" w:hAnsi="Times New Roman" w:eastAsia="宋体" w:cs="Times New Roman"/>
                <w:b w:val="0"/>
                <w:bCs/>
                <w:color w:val="auto"/>
                <w:kern w:val="2"/>
                <w:sz w:val="21"/>
                <w:szCs w:val="21"/>
                <w:highlight w:val="none"/>
                <w:lang w:val="en-US" w:eastAsia="zh-CN" w:bidi="ar-SA"/>
              </w:rPr>
              <w:t>年</w:t>
            </w:r>
            <w:r>
              <w:rPr>
                <w:rFonts w:hint="eastAsia" w:cs="Times New Roman"/>
                <w:b w:val="0"/>
                <w:bCs/>
                <w:color w:val="auto"/>
                <w:kern w:val="2"/>
                <w:sz w:val="21"/>
                <w:szCs w:val="21"/>
                <w:highlight w:val="none"/>
                <w:lang w:val="en-US" w:eastAsia="zh-CN" w:bidi="ar-SA"/>
              </w:rPr>
              <w:t>3</w:t>
            </w:r>
            <w:r>
              <w:rPr>
                <w:rFonts w:hint="default" w:ascii="Times New Roman" w:hAnsi="Times New Roman" w:eastAsia="宋体" w:cs="Times New Roman"/>
                <w:b w:val="0"/>
                <w:bCs/>
                <w:color w:val="auto"/>
                <w:kern w:val="2"/>
                <w:sz w:val="21"/>
                <w:szCs w:val="21"/>
                <w:highlight w:val="none"/>
                <w:lang w:val="en-US" w:eastAsia="zh-CN" w:bidi="ar-SA"/>
              </w:rPr>
              <w:t>月</w:t>
            </w:r>
            <w:r>
              <w:rPr>
                <w:rFonts w:hint="eastAsia" w:cs="Times New Roman"/>
                <w:b w:val="0"/>
                <w:bCs/>
                <w:color w:val="auto"/>
                <w:kern w:val="2"/>
                <w:sz w:val="21"/>
                <w:szCs w:val="21"/>
                <w:highlight w:val="none"/>
                <w:lang w:val="en-US" w:eastAsia="zh-CN" w:bidi="ar-SA"/>
              </w:rPr>
              <w:t>4</w:t>
            </w:r>
            <w:r>
              <w:rPr>
                <w:rFonts w:hint="default" w:ascii="Times New Roman" w:hAnsi="Times New Roman" w:eastAsia="宋体" w:cs="Times New Roman"/>
                <w:b w:val="0"/>
                <w:bCs/>
                <w:color w:val="auto"/>
                <w:kern w:val="2"/>
                <w:sz w:val="21"/>
                <w:szCs w:val="21"/>
                <w:highlight w:val="none"/>
                <w:lang w:val="en-US" w:eastAsia="zh-CN" w:bidi="ar-SA"/>
              </w:rPr>
              <w:t>日</w:t>
            </w:r>
            <w:r>
              <w:rPr>
                <w:rFonts w:hint="default" w:ascii="Times New Roman" w:hAnsi="Times New Roman" w:cs="Times New Roman"/>
                <w:b w:val="0"/>
                <w:bCs/>
                <w:color w:val="auto"/>
                <w:kern w:val="2"/>
                <w:sz w:val="21"/>
                <w:szCs w:val="21"/>
                <w:highlight w:val="none"/>
                <w:lang w:val="en-US" w:eastAsia="zh-CN" w:bidi="ar-SA"/>
              </w:rPr>
              <w:t>—</w:t>
            </w:r>
            <w:r>
              <w:rPr>
                <w:rFonts w:hint="eastAsia" w:cs="Times New Roman"/>
                <w:b w:val="0"/>
                <w:bCs/>
                <w:color w:val="auto"/>
                <w:kern w:val="2"/>
                <w:sz w:val="21"/>
                <w:szCs w:val="21"/>
                <w:highlight w:val="none"/>
                <w:lang w:val="en-US" w:eastAsia="zh-CN" w:bidi="ar-SA"/>
              </w:rPr>
              <w:t>3</w:t>
            </w:r>
            <w:r>
              <w:rPr>
                <w:rFonts w:hint="default" w:ascii="Times New Roman" w:hAnsi="Times New Roman" w:eastAsia="宋体" w:cs="Times New Roman"/>
                <w:b w:val="0"/>
                <w:bCs/>
                <w:color w:val="auto"/>
                <w:kern w:val="2"/>
                <w:sz w:val="21"/>
                <w:szCs w:val="21"/>
                <w:highlight w:val="none"/>
                <w:lang w:val="en-US" w:eastAsia="zh-CN" w:bidi="ar-SA"/>
              </w:rPr>
              <w:t>月</w:t>
            </w:r>
            <w:r>
              <w:rPr>
                <w:rFonts w:hint="eastAsia" w:cs="Times New Roman"/>
                <w:b w:val="0"/>
                <w:bCs/>
                <w:color w:val="auto"/>
                <w:kern w:val="2"/>
                <w:sz w:val="21"/>
                <w:szCs w:val="21"/>
                <w:highlight w:val="none"/>
                <w:lang w:val="en-US" w:eastAsia="zh-CN" w:bidi="ar-SA"/>
              </w:rPr>
              <w:t>6</w:t>
            </w:r>
            <w:r>
              <w:rPr>
                <w:rFonts w:hint="default" w:ascii="Times New Roman" w:hAnsi="Times New Roman" w:eastAsia="宋体" w:cs="Times New Roman"/>
                <w:b w:val="0"/>
                <w:bCs/>
                <w:color w:val="auto"/>
                <w:kern w:val="2"/>
                <w:sz w:val="21"/>
                <w:szCs w:val="21"/>
                <w:highlight w:val="none"/>
                <w:lang w:val="en-US" w:eastAsia="zh-CN" w:bidi="ar-SA"/>
              </w:rPr>
              <w:t>日对</w:t>
            </w:r>
            <w:r>
              <w:rPr>
                <w:rFonts w:hint="default" w:ascii="Times New Roman" w:hAnsi="Times New Roman" w:cs="Times New Roman"/>
                <w:b w:val="0"/>
                <w:bCs/>
                <w:color w:val="auto"/>
                <w:kern w:val="2"/>
                <w:sz w:val="21"/>
                <w:szCs w:val="21"/>
                <w:highlight w:val="none"/>
                <w:lang w:val="en-US" w:eastAsia="zh-CN" w:bidi="ar-SA"/>
              </w:rPr>
              <w:t>中山天青检测技术有限公司</w:t>
            </w:r>
            <w:r>
              <w:rPr>
                <w:rFonts w:hint="eastAsia" w:cs="Times New Roman"/>
                <w:b w:val="0"/>
                <w:bCs/>
                <w:color w:val="auto"/>
                <w:kern w:val="2"/>
                <w:sz w:val="21"/>
                <w:szCs w:val="21"/>
                <w:highlight w:val="none"/>
                <w:lang w:val="en-US" w:eastAsia="zh-CN" w:bidi="ar-SA"/>
              </w:rPr>
              <w:t>的环境空气</w:t>
            </w:r>
            <w:r>
              <w:rPr>
                <w:rFonts w:hint="default" w:ascii="Times New Roman" w:hAnsi="Times New Roman" w:eastAsia="宋体" w:cs="Times New Roman"/>
                <w:b w:val="0"/>
                <w:bCs/>
                <w:color w:val="auto"/>
                <w:kern w:val="2"/>
                <w:sz w:val="21"/>
                <w:szCs w:val="21"/>
                <w:highlight w:val="none"/>
                <w:lang w:val="en-US" w:eastAsia="zh-CN" w:bidi="ar-SA"/>
              </w:rPr>
              <w:t>进行监测，监测点位</w:t>
            </w:r>
            <w:r>
              <w:rPr>
                <w:rFonts w:hint="default" w:ascii="Times New Roman" w:hAnsi="Times New Roman" w:cs="Times New Roman"/>
                <w:b w:val="0"/>
                <w:bCs/>
                <w:color w:val="auto"/>
                <w:kern w:val="2"/>
                <w:sz w:val="21"/>
                <w:szCs w:val="21"/>
                <w:highlight w:val="none"/>
                <w:lang w:val="en-US" w:eastAsia="zh-CN" w:bidi="ar-SA"/>
              </w:rPr>
              <w:t>（</w:t>
            </w:r>
            <w:r>
              <w:rPr>
                <w:rFonts w:hint="default" w:ascii="Times New Roman" w:hAnsi="Times New Roman" w:eastAsia="宋体" w:cs="Times New Roman"/>
                <w:i w:val="0"/>
                <w:iCs w:val="0"/>
                <w:color w:val="auto"/>
                <w:kern w:val="0"/>
                <w:sz w:val="21"/>
                <w:szCs w:val="21"/>
                <w:highlight w:val="none"/>
                <w:u w:val="none"/>
                <w:lang w:val="en-US" w:eastAsia="zh-CN" w:bidi="ar"/>
              </w:rPr>
              <w:t>A1</w:t>
            </w:r>
            <w:r>
              <w:rPr>
                <w:rFonts w:hint="default" w:ascii="Times New Roman" w:hAnsi="Times New Roman" w:cs="Times New Roman"/>
                <w:b w:val="0"/>
                <w:bCs/>
                <w:color w:val="auto"/>
                <w:kern w:val="2"/>
                <w:sz w:val="21"/>
                <w:szCs w:val="21"/>
                <w:highlight w:val="none"/>
                <w:lang w:val="en-US" w:eastAsia="zh-CN" w:bidi="ar-SA"/>
              </w:rPr>
              <w:t>）</w:t>
            </w:r>
            <w:r>
              <w:rPr>
                <w:rFonts w:hint="default" w:ascii="Times New Roman" w:hAnsi="Times New Roman" w:eastAsia="宋体" w:cs="Times New Roman"/>
                <w:b w:val="0"/>
                <w:bCs/>
                <w:color w:val="auto"/>
                <w:kern w:val="2"/>
                <w:sz w:val="21"/>
                <w:szCs w:val="21"/>
                <w:highlight w:val="none"/>
                <w:lang w:val="en-US" w:eastAsia="zh-CN" w:bidi="ar-SA"/>
              </w:rPr>
              <w:t>于本项目</w:t>
            </w:r>
            <w:r>
              <w:rPr>
                <w:rFonts w:hint="eastAsia" w:cs="Times New Roman"/>
                <w:b w:val="0"/>
                <w:bCs/>
                <w:color w:val="auto"/>
                <w:kern w:val="2"/>
                <w:sz w:val="21"/>
                <w:szCs w:val="21"/>
                <w:highlight w:val="none"/>
                <w:lang w:val="en-US" w:eastAsia="zh-CN" w:bidi="ar-SA"/>
              </w:rPr>
              <w:t>东南</w:t>
            </w:r>
            <w:r>
              <w:rPr>
                <w:rFonts w:hint="eastAsia" w:cs="Times New Roman"/>
                <w:b w:val="0"/>
                <w:bCs/>
                <w:color w:val="auto"/>
                <w:kern w:val="2"/>
                <w:sz w:val="21"/>
                <w:szCs w:val="21"/>
                <w:highlight w:val="none"/>
                <w:lang w:val="en-US" w:eastAsia="zh-CN" w:bidi="ar-SA"/>
              </w:rPr>
              <w:t>0.006</w:t>
            </w:r>
            <w:r>
              <w:rPr>
                <w:rFonts w:hint="default" w:ascii="Times New Roman" w:hAnsi="Times New Roman" w:eastAsia="宋体" w:cs="Times New Roman"/>
                <w:b w:val="0"/>
                <w:bCs/>
                <w:color w:val="auto"/>
                <w:kern w:val="2"/>
                <w:sz w:val="21"/>
                <w:szCs w:val="21"/>
                <w:highlight w:val="none"/>
                <w:lang w:val="en-US" w:eastAsia="zh-CN" w:bidi="ar-SA"/>
              </w:rPr>
              <w:t>km，监测数据所在范围符合评价区域范围内要求，监测数据时间符合3年内有效要求</w:t>
            </w:r>
            <w:r>
              <w:rPr>
                <w:rFonts w:hint="eastAsia" w:cs="Times New Roman"/>
                <w:b w:val="0"/>
                <w:bCs/>
                <w:color w:val="auto"/>
                <w:kern w:val="2"/>
                <w:sz w:val="21"/>
                <w:szCs w:val="21"/>
                <w:highlight w:val="none"/>
                <w:lang w:val="en-US" w:eastAsia="zh-CN" w:bidi="ar-SA"/>
              </w:rPr>
              <w:t>。</w:t>
            </w:r>
          </w:p>
          <w:p w14:paraId="77427566">
            <w:pPr>
              <w:keepNext/>
              <w:keepLines/>
              <w:pageBreakBefore w:val="0"/>
              <w:widowControl w:val="0"/>
              <w:numPr>
                <w:ilvl w:val="0"/>
                <w:numId w:val="0"/>
              </w:numPr>
              <w:shd w:val="clear"/>
              <w:kinsoku/>
              <w:wordWrap/>
              <w:overflowPunct/>
              <w:topLinePunct w:val="0"/>
              <w:autoSpaceDE/>
              <w:autoSpaceDN/>
              <w:bidi w:val="0"/>
              <w:adjustRightInd/>
              <w:snapToGrid/>
              <w:spacing w:line="360" w:lineRule="auto"/>
              <w:ind w:firstLine="480" w:firstLineChars="200"/>
              <w:jc w:val="both"/>
              <w:textAlignment w:val="auto"/>
              <w:outlineLvl w:val="2"/>
              <w:rPr>
                <w:rFonts w:hint="default" w:cs="Times New Roman"/>
                <w:b w:val="0"/>
                <w:bCs/>
                <w:color w:val="auto"/>
                <w:kern w:val="2"/>
                <w:sz w:val="21"/>
                <w:szCs w:val="21"/>
                <w:highlight w:val="none"/>
                <w:lang w:val="en-US" w:eastAsia="zh-CN" w:bidi="ar-SA"/>
              </w:rPr>
            </w:pP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785216" behindDoc="0" locked="0" layoutInCell="1" allowOverlap="1">
                      <wp:simplePos x="0" y="0"/>
                      <wp:positionH relativeFrom="column">
                        <wp:posOffset>2373630</wp:posOffset>
                      </wp:positionH>
                      <wp:positionV relativeFrom="paragraph">
                        <wp:posOffset>1859280</wp:posOffset>
                      </wp:positionV>
                      <wp:extent cx="799465" cy="260985"/>
                      <wp:effectExtent l="0" t="0" r="635" b="5715"/>
                      <wp:wrapNone/>
                      <wp:docPr id="68" name="文本框 274"/>
                      <wp:cNvGraphicFramePr/>
                      <a:graphic xmlns:a="http://schemas.openxmlformats.org/drawingml/2006/main">
                        <a:graphicData uri="http://schemas.microsoft.com/office/word/2010/wordprocessingShape">
                          <wps:wsp>
                            <wps:cNvSpPr txBox="1"/>
                            <wps:spPr>
                              <a:xfrm>
                                <a:off x="0" y="0"/>
                                <a:ext cx="799465" cy="260985"/>
                              </a:xfrm>
                              <a:prstGeom prst="rect">
                                <a:avLst/>
                              </a:prstGeom>
                              <a:solidFill>
                                <a:srgbClr val="FFFFFF"/>
                              </a:solidFill>
                              <a:ln>
                                <a:noFill/>
                              </a:ln>
                            </wps:spPr>
                            <wps:txbx>
                              <w:txbxContent>
                                <w:p w14:paraId="7194ACD2">
                                  <w:pPr>
                                    <w:rPr>
                                      <w:rFonts w:hint="default" w:eastAsia="宋体"/>
                                      <w:b/>
                                      <w:bCs/>
                                      <w:color w:val="FF0000"/>
                                      <w:sz w:val="24"/>
                                      <w:szCs w:val="24"/>
                                      <w:lang w:val="en-US" w:eastAsia="zh-CN"/>
                                    </w:rPr>
                                  </w:pPr>
                                  <w:r>
                                    <w:rPr>
                                      <w:rFonts w:hint="eastAsia" w:eastAsia="宋体"/>
                                      <w:b/>
                                      <w:bCs/>
                                      <w:color w:val="FF0000"/>
                                      <w:sz w:val="24"/>
                                      <w:szCs w:val="24"/>
                                      <w:lang w:val="en-US" w:eastAsia="zh-CN"/>
                                    </w:rPr>
                                    <w:t>监测点位</w:t>
                                  </w:r>
                                </w:p>
                              </w:txbxContent>
                            </wps:txbx>
                            <wps:bodyPr wrap="square" upright="1"/>
                          </wps:wsp>
                        </a:graphicData>
                      </a:graphic>
                    </wp:anchor>
                  </w:drawing>
                </mc:Choice>
                <mc:Fallback>
                  <w:pict>
                    <v:shape id="文本框 274" o:spid="_x0000_s1026" o:spt="202" type="#_x0000_t202" style="position:absolute;left:0pt;margin-left:186.9pt;margin-top:146.4pt;height:20.55pt;width:62.95pt;z-index:251785216;mso-width-relative:page;mso-height-relative:page;" fillcolor="#FFFFFF" filled="t" stroked="f" coordsize="21600,21600" o:gfxdata="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">
                      <v:fill on="t" focussize="0,0"/>
                      <v:stroke on="f"/>
                      <v:imagedata o:title=""/>
                      <o:lock v:ext="edit" aspectratio="f"/>
                      <v:textbox>
                        <w:txbxContent>
                          <w:p w14:paraId="7194ACD2">
                            <w:pPr>
                              <w:rPr>
                                <w:rFonts w:hint="default" w:eastAsia="宋体"/>
                                <w:b/>
                                <w:bCs/>
                                <w:color w:val="FF0000"/>
                                <w:sz w:val="24"/>
                                <w:szCs w:val="24"/>
                                <w:lang w:val="en-US" w:eastAsia="zh-CN"/>
                              </w:rPr>
                            </w:pPr>
                            <w:r>
                              <w:rPr>
                                <w:rFonts w:hint="eastAsia" w:eastAsia="宋体"/>
                                <w:b/>
                                <w:bCs/>
                                <w:color w:val="FF0000"/>
                                <w:sz w:val="24"/>
                                <w:szCs w:val="24"/>
                                <w:lang w:val="en-US" w:eastAsia="zh-CN"/>
                              </w:rPr>
                              <w:t>监测点位</w:t>
                            </w:r>
                          </w:p>
                        </w:txbxContent>
                      </v:textbox>
                    </v:shape>
                  </w:pict>
                </mc:Fallback>
              </mc:AlternateContent>
            </w: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784192" behindDoc="0" locked="0" layoutInCell="1" allowOverlap="1">
                      <wp:simplePos x="0" y="0"/>
                      <wp:positionH relativeFrom="column">
                        <wp:posOffset>699135</wp:posOffset>
                      </wp:positionH>
                      <wp:positionV relativeFrom="paragraph">
                        <wp:posOffset>1540510</wp:posOffset>
                      </wp:positionV>
                      <wp:extent cx="648970" cy="260985"/>
                      <wp:effectExtent l="0" t="0" r="17780" b="5715"/>
                      <wp:wrapNone/>
                      <wp:docPr id="67" name="文本框 276"/>
                      <wp:cNvGraphicFramePr/>
                      <a:graphic xmlns:a="http://schemas.openxmlformats.org/drawingml/2006/main">
                        <a:graphicData uri="http://schemas.microsoft.com/office/word/2010/wordprocessingShape">
                          <wps:wsp>
                            <wps:cNvSpPr txBox="1"/>
                            <wps:spPr>
                              <a:xfrm>
                                <a:off x="0" y="0"/>
                                <a:ext cx="648970" cy="260985"/>
                              </a:xfrm>
                              <a:prstGeom prst="rect">
                                <a:avLst/>
                              </a:prstGeom>
                              <a:solidFill>
                                <a:srgbClr val="FFFFFF"/>
                              </a:solidFill>
                              <a:ln>
                                <a:noFill/>
                              </a:ln>
                            </wps:spPr>
                            <wps:txbx>
                              <w:txbxContent>
                                <w:p w14:paraId="05439E65">
                                  <w:pPr>
                                    <w:rPr>
                                      <w:rFonts w:hint="eastAsia" w:eastAsia="宋体"/>
                                      <w:b/>
                                      <w:bCs/>
                                      <w:color w:val="FF0000"/>
                                      <w:sz w:val="24"/>
                                      <w:szCs w:val="24"/>
                                      <w:lang w:val="en-US" w:eastAsia="zh-CN"/>
                                    </w:rPr>
                                  </w:pPr>
                                  <w:r>
                                    <w:rPr>
                                      <w:rFonts w:hint="eastAsia"/>
                                      <w:b/>
                                      <w:bCs/>
                                      <w:color w:val="FF0000"/>
                                      <w:sz w:val="24"/>
                                      <w:szCs w:val="24"/>
                                      <w:lang w:val="en-US" w:eastAsia="zh-CN"/>
                                    </w:rPr>
                                    <w:t>本项目</w:t>
                                  </w:r>
                                </w:p>
                              </w:txbxContent>
                            </wps:txbx>
                            <wps:bodyPr wrap="square" upright="1"/>
                          </wps:wsp>
                        </a:graphicData>
                      </a:graphic>
                    </wp:anchor>
                  </w:drawing>
                </mc:Choice>
                <mc:Fallback>
                  <w:pict>
                    <v:shape id="文本框 276" o:spid="_x0000_s1026" o:spt="202" type="#_x0000_t202" style="position:absolute;left:0pt;margin-left:55.05pt;margin-top:121.3pt;height:20.55pt;width:51.1pt;z-index:251784192;mso-width-relative:page;mso-height-relative:page;" fillcolor="#FFFFFF" filled="t" stroked="f" coordsize="21600,21600" o:gfxdata="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CaaY/l2AAAAAsBAAAPAAAAAAAAAAEAIAAAACIAAABk&#10;cnMvZG93bnJldi54bWxQSwECFAAUAAAACACHTuJAg4Wk8M0BAACHAwAADgAAAAAAAAABACAAAAAn&#10;AQAAZHJzL2Uyb0RvYy54bWxQSwUGAAAAAAYABgBZAQAAZgUAAAAA&#10;">
                      <v:fill on="t" focussize="0,0"/>
                      <v:stroke on="f"/>
                      <v:imagedata o:title=""/>
                      <o:lock v:ext="edit" aspectratio="f"/>
                      <v:textbox>
                        <w:txbxContent>
                          <w:p w14:paraId="05439E65">
                            <w:pPr>
                              <w:rPr>
                                <w:rFonts w:hint="eastAsia" w:eastAsia="宋体"/>
                                <w:b/>
                                <w:bCs/>
                                <w:color w:val="FF0000"/>
                                <w:sz w:val="24"/>
                                <w:szCs w:val="24"/>
                                <w:lang w:val="en-US" w:eastAsia="zh-CN"/>
                              </w:rPr>
                            </w:pPr>
                            <w:r>
                              <w:rPr>
                                <w:rFonts w:hint="eastAsia"/>
                                <w:b/>
                                <w:bCs/>
                                <w:color w:val="FF0000"/>
                                <w:sz w:val="24"/>
                                <w:szCs w:val="24"/>
                                <w:lang w:val="en-US" w:eastAsia="zh-CN"/>
                              </w:rPr>
                              <w:t>本项目</w:t>
                            </w:r>
                          </w:p>
                        </w:txbxContent>
                      </v:textbox>
                    </v:shape>
                  </w:pict>
                </mc:Fallback>
              </mc:AlternateContent>
            </w:r>
            <w:r>
              <w:rPr>
                <w:rFonts w:hint="default" w:ascii="Times New Roman" w:hAnsi="Times New Roman" w:eastAsia="宋体" w:cs="Times New Roman"/>
                <w:b/>
                <w:color w:val="auto"/>
                <w:szCs w:val="21"/>
                <w:highlight w:val="none"/>
              </w:rPr>
              <w:drawing>
                <wp:anchor distT="0" distB="0" distL="114300" distR="114300" simplePos="0" relativeHeight="251783168" behindDoc="0" locked="0" layoutInCell="1" allowOverlap="1">
                  <wp:simplePos x="0" y="0"/>
                  <wp:positionH relativeFrom="column">
                    <wp:posOffset>4284345</wp:posOffset>
                  </wp:positionH>
                  <wp:positionV relativeFrom="paragraph">
                    <wp:posOffset>78105</wp:posOffset>
                  </wp:positionV>
                  <wp:extent cx="476250" cy="568960"/>
                  <wp:effectExtent l="0" t="0" r="0" b="2540"/>
                  <wp:wrapNone/>
                  <wp:docPr id="9"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16.png"/>
                          <pic:cNvPicPr>
                            <a:picLocks noChangeAspect="1"/>
                          </pic:cNvPicPr>
                        </pic:nvPicPr>
                        <pic:blipFill>
                          <a:blip r:embed="rId17"/>
                          <a:stretch>
                            <a:fillRect/>
                          </a:stretch>
                        </pic:blipFill>
                        <pic:spPr>
                          <a:xfrm>
                            <a:off x="0" y="0"/>
                            <a:ext cx="476250" cy="568960"/>
                          </a:xfrm>
                          <a:prstGeom prst="rect">
                            <a:avLst/>
                          </a:prstGeom>
                          <a:noFill/>
                          <a:ln>
                            <a:noFill/>
                          </a:ln>
                        </pic:spPr>
                      </pic:pic>
                    </a:graphicData>
                  </a:graphic>
                </wp:anchor>
              </w:drawing>
            </w:r>
            <w:r>
              <w:rPr>
                <w:rFonts w:hint="default" w:cs="Times New Roman"/>
                <w:b w:val="0"/>
                <w:bCs/>
                <w:color w:val="auto"/>
                <w:kern w:val="2"/>
                <w:sz w:val="21"/>
                <w:szCs w:val="21"/>
                <w:highlight w:val="none"/>
                <w:lang w:val="en-US" w:eastAsia="zh-CN" w:bidi="ar-SA"/>
              </w:rPr>
              <w:drawing>
                <wp:inline distT="0" distB="0" distL="114300" distR="114300">
                  <wp:extent cx="3732530" cy="2617470"/>
                  <wp:effectExtent l="0" t="0" r="1270" b="11430"/>
                  <wp:docPr id="7" name="图片 7" descr="7f90b411-3c83-44d8-935d-481d7f6017c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7f90b411-3c83-44d8-935d-481d7f6017cd"/>
                          <pic:cNvPicPr>
                            <a:picLocks noChangeAspect="1"/>
                          </pic:cNvPicPr>
                        </pic:nvPicPr>
                        <pic:blipFill>
                          <a:blip r:embed="rId18"/>
                          <a:stretch>
                            <a:fillRect/>
                          </a:stretch>
                        </pic:blipFill>
                        <pic:spPr>
                          <a:xfrm>
                            <a:off x="0" y="0"/>
                            <a:ext cx="3732530" cy="2617470"/>
                          </a:xfrm>
                          <a:prstGeom prst="rect">
                            <a:avLst/>
                          </a:prstGeom>
                        </pic:spPr>
                      </pic:pic>
                    </a:graphicData>
                  </a:graphic>
                </wp:inline>
              </w:drawing>
            </w:r>
          </w:p>
          <w:p w14:paraId="450824E1">
            <w:pPr>
              <w:keepNext w:val="0"/>
              <w:keepLines w:val="0"/>
              <w:widowControl/>
              <w:suppressLineNumbers w:val="0"/>
              <w:jc w:val="center"/>
              <w:rPr>
                <w:rFonts w:hint="default" w:ascii="Times New Roman" w:hAnsi="Times New Roman" w:eastAsia="宋体" w:cs="Times New Roman"/>
                <w:b/>
                <w:bCs w:val="0"/>
                <w:color w:val="auto"/>
                <w:sz w:val="24"/>
                <w:szCs w:val="24"/>
                <w:highlight w:val="none"/>
              </w:rPr>
            </w:pPr>
            <w:r>
              <w:rPr>
                <w:rFonts w:hint="default" w:ascii="Times New Roman" w:hAnsi="Times New Roman" w:eastAsia="宋体" w:cs="Times New Roman"/>
                <w:b/>
                <w:bCs w:val="0"/>
                <w:color w:val="auto"/>
                <w:kern w:val="2"/>
                <w:sz w:val="24"/>
                <w:szCs w:val="24"/>
                <w:highlight w:val="none"/>
                <w:lang w:val="en-US" w:eastAsia="zh-CN" w:bidi="ar-SA"/>
              </w:rPr>
              <w:t>图3</w:t>
            </w:r>
            <w:r>
              <w:rPr>
                <w:rFonts w:hint="default" w:ascii="Times New Roman" w:hAnsi="Times New Roman" w:eastAsia="宋体" w:cs="Times New Roman"/>
                <w:b/>
                <w:bCs w:val="0"/>
                <w:color w:val="auto"/>
                <w:kern w:val="0"/>
                <w:sz w:val="24"/>
                <w:szCs w:val="24"/>
                <w:highlight w:val="none"/>
                <w:lang w:val="en-US" w:eastAsia="zh-CN" w:bidi="ar"/>
              </w:rPr>
              <w:t>项目距离TSP监测点位示意图</w:t>
            </w:r>
          </w:p>
          <w:p w14:paraId="45A3034F">
            <w:pPr>
              <w:widowControl w:val="0"/>
              <w:numPr>
                <w:ilvl w:val="0"/>
                <w:numId w:val="0"/>
              </w:numPr>
              <w:shd w:val="clear"/>
              <w:spacing w:before="120" w:beforeLines="50" w:line="360" w:lineRule="auto"/>
              <w:ind w:leftChars="0"/>
              <w:jc w:val="center"/>
              <w:outlineLvl w:val="4"/>
              <w:rPr>
                <w:rFonts w:hint="default" w:ascii="Times New Roman" w:hAnsi="Times New Roman" w:eastAsia="宋体" w:cs="Times New Roman"/>
                <w:b/>
                <w:color w:val="auto"/>
                <w:kern w:val="2"/>
                <w:sz w:val="24"/>
                <w:szCs w:val="24"/>
                <w:highlight w:val="none"/>
                <w:lang w:val="en-US" w:eastAsia="zh-CN" w:bidi="ar-SA"/>
              </w:rPr>
            </w:pPr>
            <w:r>
              <w:rPr>
                <w:rFonts w:hint="default" w:ascii="Times New Roman" w:hAnsi="Times New Roman" w:eastAsia="宋体" w:cs="Times New Roman"/>
                <w:b/>
                <w:color w:val="auto"/>
                <w:kern w:val="2"/>
                <w:sz w:val="24"/>
                <w:szCs w:val="24"/>
                <w:highlight w:val="none"/>
                <w:lang w:val="en-US" w:eastAsia="zh-CN" w:bidi="ar-SA"/>
              </w:rPr>
              <w:t>表1</w:t>
            </w:r>
            <w:r>
              <w:rPr>
                <w:rFonts w:hint="eastAsia" w:cs="Times New Roman"/>
                <w:b/>
                <w:color w:val="auto"/>
                <w:kern w:val="2"/>
                <w:sz w:val="24"/>
                <w:szCs w:val="24"/>
                <w:highlight w:val="none"/>
                <w:lang w:val="en-US" w:eastAsia="zh-CN" w:bidi="ar-SA"/>
              </w:rPr>
              <w:t>4</w:t>
            </w:r>
            <w:r>
              <w:rPr>
                <w:rFonts w:hint="default" w:ascii="Times New Roman" w:hAnsi="Times New Roman" w:eastAsia="宋体" w:cs="Times New Roman"/>
                <w:b/>
                <w:color w:val="auto"/>
                <w:kern w:val="2"/>
                <w:sz w:val="24"/>
                <w:szCs w:val="24"/>
                <w:highlight w:val="none"/>
                <w:lang w:val="en-US" w:eastAsia="zh-CN" w:bidi="ar-SA"/>
              </w:rPr>
              <w:t>TSP环境质量现状（监测结果）表</w:t>
            </w:r>
          </w:p>
          <w:tbl>
            <w:tblPr>
              <w:tblStyle w:val="33"/>
              <w:tblW w:w="814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87"/>
              <w:gridCol w:w="633"/>
              <w:gridCol w:w="884"/>
              <w:gridCol w:w="1071"/>
              <w:gridCol w:w="1231"/>
              <w:gridCol w:w="882"/>
              <w:gridCol w:w="666"/>
              <w:gridCol w:w="892"/>
              <w:gridCol w:w="1000"/>
            </w:tblGrid>
            <w:tr w14:paraId="20A347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2" w:hRule="atLeast"/>
                <w:jc w:val="center"/>
              </w:trPr>
              <w:tc>
                <w:tcPr>
                  <w:tcW w:w="887" w:type="dxa"/>
                  <w:tcBorders>
                    <w:top w:val="single" w:color="auto" w:sz="4" w:space="0"/>
                    <w:left w:val="single" w:color="auto" w:sz="4" w:space="0"/>
                    <w:right w:val="single" w:color="auto" w:sz="4" w:space="0"/>
                  </w:tcBorders>
                  <w:noWrap w:val="0"/>
                  <w:vAlign w:val="center"/>
                </w:tcPr>
                <w:p w14:paraId="63719AEA">
                  <w:pPr>
                    <w:shd w:val="clear"/>
                    <w:spacing w:line="240" w:lineRule="auto"/>
                    <w:jc w:val="center"/>
                    <w:rPr>
                      <w:rFonts w:hint="default" w:ascii="Times New Roman" w:hAnsi="Times New Roman" w:eastAsia="宋体" w:cs="Times New Roman"/>
                      <w:b/>
                      <w:bCs/>
                      <w:color w:val="auto"/>
                      <w:szCs w:val="21"/>
                      <w:highlight w:val="none"/>
                      <w:lang w:bidi="ar"/>
                    </w:rPr>
                  </w:pPr>
                  <w:r>
                    <w:rPr>
                      <w:rFonts w:hint="default" w:ascii="Times New Roman" w:hAnsi="Times New Roman" w:eastAsia="宋体" w:cs="Times New Roman"/>
                      <w:b/>
                      <w:bCs/>
                      <w:color w:val="auto"/>
                      <w:szCs w:val="21"/>
                      <w:highlight w:val="none"/>
                      <w:lang w:bidi="ar"/>
                    </w:rPr>
                    <w:t>监测点位</w:t>
                  </w:r>
                </w:p>
              </w:tc>
              <w:tc>
                <w:tcPr>
                  <w:tcW w:w="633" w:type="dxa"/>
                  <w:tcBorders>
                    <w:top w:val="single" w:color="auto" w:sz="4" w:space="0"/>
                    <w:left w:val="single" w:color="auto" w:sz="4" w:space="0"/>
                    <w:right w:val="single" w:color="auto" w:sz="4" w:space="0"/>
                  </w:tcBorders>
                  <w:noWrap w:val="0"/>
                  <w:vAlign w:val="center"/>
                </w:tcPr>
                <w:p w14:paraId="1AFA91F7">
                  <w:pPr>
                    <w:shd w:val="clear"/>
                    <w:spacing w:line="240" w:lineRule="auto"/>
                    <w:jc w:val="center"/>
                    <w:rPr>
                      <w:rFonts w:hint="default" w:ascii="Times New Roman" w:hAnsi="Times New Roman" w:eastAsia="宋体" w:cs="Times New Roman"/>
                      <w:b/>
                      <w:bCs/>
                      <w:color w:val="auto"/>
                      <w:szCs w:val="21"/>
                      <w:highlight w:val="none"/>
                      <w:lang w:bidi="ar"/>
                    </w:rPr>
                  </w:pPr>
                  <w:r>
                    <w:rPr>
                      <w:rFonts w:hint="default" w:ascii="Times New Roman" w:hAnsi="Times New Roman" w:eastAsia="宋体" w:cs="Times New Roman"/>
                      <w:b/>
                      <w:bCs/>
                      <w:color w:val="auto"/>
                      <w:szCs w:val="21"/>
                      <w:highlight w:val="none"/>
                      <w:lang w:bidi="ar"/>
                    </w:rPr>
                    <w:t>污染物</w:t>
                  </w:r>
                </w:p>
              </w:tc>
              <w:tc>
                <w:tcPr>
                  <w:tcW w:w="884" w:type="dxa"/>
                  <w:tcBorders>
                    <w:top w:val="single" w:color="auto" w:sz="4" w:space="0"/>
                    <w:left w:val="single" w:color="auto" w:sz="4" w:space="0"/>
                    <w:right w:val="single" w:color="auto" w:sz="4" w:space="0"/>
                  </w:tcBorders>
                  <w:noWrap w:val="0"/>
                  <w:vAlign w:val="center"/>
                </w:tcPr>
                <w:p w14:paraId="2B17F66D">
                  <w:pPr>
                    <w:shd w:val="clear"/>
                    <w:spacing w:line="240" w:lineRule="auto"/>
                    <w:jc w:val="center"/>
                    <w:rPr>
                      <w:rFonts w:hint="default" w:ascii="Times New Roman" w:hAnsi="Times New Roman" w:eastAsia="宋体" w:cs="Times New Roman"/>
                      <w:b/>
                      <w:bCs/>
                      <w:color w:val="auto"/>
                      <w:szCs w:val="21"/>
                      <w:highlight w:val="none"/>
                      <w:lang w:bidi="ar"/>
                    </w:rPr>
                  </w:pPr>
                  <w:r>
                    <w:rPr>
                      <w:rFonts w:hint="default" w:ascii="Times New Roman" w:hAnsi="Times New Roman" w:eastAsia="宋体" w:cs="Times New Roman"/>
                      <w:b/>
                      <w:bCs/>
                      <w:color w:val="auto"/>
                      <w:szCs w:val="21"/>
                      <w:highlight w:val="none"/>
                      <w:lang w:bidi="ar"/>
                    </w:rPr>
                    <w:t>平均时间</w:t>
                  </w:r>
                </w:p>
              </w:tc>
              <w:tc>
                <w:tcPr>
                  <w:tcW w:w="1071" w:type="dxa"/>
                  <w:tcBorders>
                    <w:top w:val="single" w:color="auto" w:sz="4" w:space="0"/>
                    <w:left w:val="single" w:color="auto" w:sz="4" w:space="0"/>
                    <w:right w:val="single" w:color="auto" w:sz="4" w:space="0"/>
                  </w:tcBorders>
                  <w:noWrap w:val="0"/>
                  <w:vAlign w:val="center"/>
                </w:tcPr>
                <w:p w14:paraId="172CBBD7">
                  <w:pPr>
                    <w:shd w:val="clear"/>
                    <w:spacing w:line="240" w:lineRule="auto"/>
                    <w:jc w:val="center"/>
                    <w:rPr>
                      <w:rFonts w:hint="default" w:ascii="Times New Roman" w:hAnsi="Times New Roman" w:eastAsia="宋体" w:cs="Times New Roman"/>
                      <w:b/>
                      <w:bCs/>
                      <w:color w:val="auto"/>
                      <w:szCs w:val="21"/>
                      <w:highlight w:val="none"/>
                      <w:lang w:bidi="ar"/>
                    </w:rPr>
                  </w:pPr>
                  <w:r>
                    <w:rPr>
                      <w:rFonts w:hint="default" w:ascii="Times New Roman" w:hAnsi="Times New Roman" w:eastAsia="宋体" w:cs="Times New Roman"/>
                      <w:b/>
                      <w:bCs/>
                      <w:color w:val="auto"/>
                      <w:szCs w:val="21"/>
                      <w:highlight w:val="none"/>
                      <w:lang w:bidi="ar"/>
                    </w:rPr>
                    <w:t>评价标准/(mg/m</w:t>
                  </w:r>
                  <w:r>
                    <w:rPr>
                      <w:rFonts w:hint="default" w:ascii="Times New Roman" w:hAnsi="Times New Roman" w:eastAsia="宋体" w:cs="Times New Roman"/>
                      <w:b/>
                      <w:bCs/>
                      <w:color w:val="auto"/>
                      <w:szCs w:val="21"/>
                      <w:highlight w:val="none"/>
                      <w:vertAlign w:val="superscript"/>
                      <w:lang w:bidi="ar"/>
                    </w:rPr>
                    <w:t>3</w:t>
                  </w:r>
                  <w:r>
                    <w:rPr>
                      <w:rFonts w:hint="default" w:ascii="Times New Roman" w:hAnsi="Times New Roman" w:eastAsia="宋体" w:cs="Times New Roman"/>
                      <w:b/>
                      <w:bCs/>
                      <w:color w:val="auto"/>
                      <w:szCs w:val="21"/>
                      <w:highlight w:val="none"/>
                      <w:lang w:bidi="ar"/>
                    </w:rPr>
                    <w:t>)</w:t>
                  </w:r>
                </w:p>
              </w:tc>
              <w:tc>
                <w:tcPr>
                  <w:tcW w:w="1231" w:type="dxa"/>
                  <w:tcBorders>
                    <w:top w:val="single" w:color="auto" w:sz="4" w:space="0"/>
                    <w:left w:val="single" w:color="auto" w:sz="4" w:space="0"/>
                    <w:right w:val="single" w:color="auto" w:sz="4" w:space="0"/>
                  </w:tcBorders>
                  <w:noWrap w:val="0"/>
                  <w:vAlign w:val="center"/>
                </w:tcPr>
                <w:p w14:paraId="3BCFAD5A">
                  <w:pPr>
                    <w:shd w:val="clear"/>
                    <w:spacing w:line="240" w:lineRule="auto"/>
                    <w:jc w:val="center"/>
                    <w:rPr>
                      <w:rFonts w:hint="default" w:ascii="Times New Roman" w:hAnsi="Times New Roman" w:eastAsia="宋体" w:cs="Times New Roman"/>
                      <w:b/>
                      <w:bCs/>
                      <w:color w:val="auto"/>
                      <w:szCs w:val="21"/>
                      <w:highlight w:val="none"/>
                      <w:lang w:bidi="ar"/>
                    </w:rPr>
                  </w:pPr>
                  <w:r>
                    <w:rPr>
                      <w:rFonts w:hint="default" w:ascii="Times New Roman" w:hAnsi="Times New Roman" w:eastAsia="宋体" w:cs="Times New Roman"/>
                      <w:b/>
                      <w:bCs/>
                      <w:color w:val="auto"/>
                      <w:szCs w:val="21"/>
                      <w:highlight w:val="none"/>
                      <w:lang w:bidi="ar"/>
                    </w:rPr>
                    <w:t>监测浓度范围/(mg/m</w:t>
                  </w:r>
                  <w:r>
                    <w:rPr>
                      <w:rFonts w:hint="default" w:ascii="Times New Roman" w:hAnsi="Times New Roman" w:eastAsia="宋体" w:cs="Times New Roman"/>
                      <w:b/>
                      <w:bCs/>
                      <w:color w:val="auto"/>
                      <w:szCs w:val="21"/>
                      <w:highlight w:val="none"/>
                      <w:vertAlign w:val="superscript"/>
                      <w:lang w:bidi="ar"/>
                    </w:rPr>
                    <w:t>3</w:t>
                  </w:r>
                  <w:r>
                    <w:rPr>
                      <w:rFonts w:hint="default" w:ascii="Times New Roman" w:hAnsi="Times New Roman" w:eastAsia="宋体" w:cs="Times New Roman"/>
                      <w:b/>
                      <w:bCs/>
                      <w:color w:val="auto"/>
                      <w:szCs w:val="21"/>
                      <w:highlight w:val="none"/>
                      <w:lang w:bidi="ar"/>
                    </w:rPr>
                    <w:t>)</w:t>
                  </w:r>
                </w:p>
              </w:tc>
              <w:tc>
                <w:tcPr>
                  <w:tcW w:w="882" w:type="dxa"/>
                  <w:tcBorders>
                    <w:top w:val="single" w:color="auto" w:sz="4" w:space="0"/>
                    <w:left w:val="single" w:color="auto" w:sz="4" w:space="0"/>
                    <w:right w:val="single" w:color="auto" w:sz="4" w:space="0"/>
                  </w:tcBorders>
                  <w:noWrap w:val="0"/>
                  <w:vAlign w:val="center"/>
                </w:tcPr>
                <w:p w14:paraId="2E54B4E0">
                  <w:pPr>
                    <w:shd w:val="clear"/>
                    <w:spacing w:line="240" w:lineRule="auto"/>
                    <w:jc w:val="center"/>
                    <w:rPr>
                      <w:rFonts w:hint="default" w:ascii="Times New Roman" w:hAnsi="Times New Roman" w:eastAsia="宋体" w:cs="Times New Roman"/>
                      <w:b/>
                      <w:bCs/>
                      <w:color w:val="auto"/>
                      <w:szCs w:val="21"/>
                      <w:highlight w:val="none"/>
                      <w:lang w:bidi="ar"/>
                    </w:rPr>
                  </w:pPr>
                  <w:r>
                    <w:rPr>
                      <w:rFonts w:hint="default" w:ascii="Times New Roman" w:hAnsi="Times New Roman" w:eastAsia="宋体" w:cs="Times New Roman"/>
                      <w:b/>
                      <w:bCs/>
                      <w:color w:val="auto"/>
                      <w:szCs w:val="21"/>
                      <w:highlight w:val="none"/>
                      <w:lang w:bidi="ar"/>
                    </w:rPr>
                    <w:t>最大浓度占标率%</w:t>
                  </w:r>
                </w:p>
              </w:tc>
              <w:tc>
                <w:tcPr>
                  <w:tcW w:w="666" w:type="dxa"/>
                  <w:tcBorders>
                    <w:top w:val="single" w:color="auto" w:sz="4" w:space="0"/>
                    <w:left w:val="single" w:color="auto" w:sz="4" w:space="0"/>
                    <w:right w:val="single" w:color="auto" w:sz="4" w:space="0"/>
                  </w:tcBorders>
                  <w:noWrap w:val="0"/>
                  <w:vAlign w:val="center"/>
                </w:tcPr>
                <w:p w14:paraId="7EE93AB4">
                  <w:pPr>
                    <w:shd w:val="clear"/>
                    <w:spacing w:line="240" w:lineRule="auto"/>
                    <w:jc w:val="center"/>
                    <w:rPr>
                      <w:rFonts w:hint="default" w:ascii="Times New Roman" w:hAnsi="Times New Roman" w:eastAsia="宋体" w:cs="Times New Roman"/>
                      <w:b/>
                      <w:bCs/>
                      <w:color w:val="auto"/>
                      <w:szCs w:val="21"/>
                      <w:highlight w:val="none"/>
                      <w:lang w:eastAsia="zh-CN" w:bidi="ar"/>
                    </w:rPr>
                  </w:pPr>
                  <w:r>
                    <w:rPr>
                      <w:rFonts w:hint="default" w:ascii="Times New Roman" w:hAnsi="Times New Roman" w:eastAsia="宋体" w:cs="Times New Roman"/>
                      <w:b/>
                      <w:bCs/>
                      <w:color w:val="auto"/>
                      <w:szCs w:val="21"/>
                      <w:highlight w:val="none"/>
                      <w:lang w:val="en-US" w:eastAsia="zh-CN" w:bidi="ar"/>
                    </w:rPr>
                    <w:t>超标率%</w:t>
                  </w:r>
                </w:p>
              </w:tc>
              <w:tc>
                <w:tcPr>
                  <w:tcW w:w="892" w:type="dxa"/>
                  <w:tcBorders>
                    <w:top w:val="single" w:color="auto" w:sz="4" w:space="0"/>
                    <w:left w:val="single" w:color="auto" w:sz="4" w:space="0"/>
                    <w:right w:val="single" w:color="auto" w:sz="4" w:space="0"/>
                  </w:tcBorders>
                  <w:noWrap w:val="0"/>
                  <w:vAlign w:val="center"/>
                </w:tcPr>
                <w:p w14:paraId="7FD9AD10">
                  <w:pPr>
                    <w:shd w:val="clear"/>
                    <w:spacing w:line="240" w:lineRule="auto"/>
                    <w:jc w:val="center"/>
                    <w:rPr>
                      <w:rFonts w:hint="default" w:ascii="Times New Roman" w:hAnsi="Times New Roman" w:eastAsia="宋体" w:cs="Times New Roman"/>
                      <w:b/>
                      <w:bCs/>
                      <w:color w:val="auto"/>
                      <w:szCs w:val="21"/>
                      <w:highlight w:val="none"/>
                      <w:lang w:bidi="ar"/>
                    </w:rPr>
                  </w:pPr>
                  <w:r>
                    <w:rPr>
                      <w:rFonts w:hint="default" w:ascii="Times New Roman" w:hAnsi="Times New Roman" w:eastAsia="宋体" w:cs="Times New Roman"/>
                      <w:b/>
                      <w:bCs/>
                      <w:color w:val="auto"/>
                      <w:szCs w:val="21"/>
                      <w:highlight w:val="none"/>
                      <w:lang w:bidi="ar"/>
                    </w:rPr>
                    <w:t>相对厂区方位</w:t>
                  </w:r>
                </w:p>
              </w:tc>
              <w:tc>
                <w:tcPr>
                  <w:tcW w:w="1000" w:type="dxa"/>
                  <w:tcBorders>
                    <w:top w:val="single" w:color="auto" w:sz="4" w:space="0"/>
                    <w:left w:val="single" w:color="auto" w:sz="4" w:space="0"/>
                    <w:right w:val="single" w:color="auto" w:sz="4" w:space="0"/>
                  </w:tcBorders>
                  <w:noWrap w:val="0"/>
                  <w:vAlign w:val="center"/>
                </w:tcPr>
                <w:p w14:paraId="15D93C87">
                  <w:pPr>
                    <w:shd w:val="clear"/>
                    <w:spacing w:line="240" w:lineRule="auto"/>
                    <w:jc w:val="center"/>
                    <w:rPr>
                      <w:rFonts w:hint="default" w:ascii="Times New Roman" w:hAnsi="Times New Roman" w:eastAsia="宋体" w:cs="Times New Roman"/>
                      <w:b/>
                      <w:bCs/>
                      <w:color w:val="auto"/>
                      <w:szCs w:val="21"/>
                      <w:highlight w:val="none"/>
                      <w:lang w:bidi="ar"/>
                    </w:rPr>
                  </w:pPr>
                  <w:r>
                    <w:rPr>
                      <w:rFonts w:hint="default" w:ascii="Times New Roman" w:hAnsi="Times New Roman" w:eastAsia="宋体" w:cs="Times New Roman"/>
                      <w:b/>
                      <w:bCs/>
                      <w:color w:val="auto"/>
                      <w:szCs w:val="21"/>
                      <w:highlight w:val="none"/>
                      <w:lang w:bidi="ar"/>
                    </w:rPr>
                    <w:t>相对厂界距离/km</w:t>
                  </w:r>
                </w:p>
              </w:tc>
            </w:tr>
            <w:tr w14:paraId="0CA208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87" w:type="dxa"/>
                  <w:tcBorders>
                    <w:left w:val="single" w:color="auto" w:sz="4" w:space="0"/>
                    <w:right w:val="single" w:color="auto" w:sz="4" w:space="0"/>
                  </w:tcBorders>
                  <w:noWrap w:val="0"/>
                  <w:vAlign w:val="center"/>
                </w:tcPr>
                <w:p w14:paraId="2D3AF9E1">
                  <w:pPr>
                    <w:shd w:val="clear"/>
                    <w:spacing w:line="240" w:lineRule="auto"/>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A1</w:t>
                  </w:r>
                </w:p>
              </w:tc>
              <w:tc>
                <w:tcPr>
                  <w:tcW w:w="633" w:type="dxa"/>
                  <w:tcBorders>
                    <w:top w:val="single" w:color="auto" w:sz="4" w:space="0"/>
                    <w:left w:val="single" w:color="auto" w:sz="4" w:space="0"/>
                    <w:bottom w:val="single" w:color="auto" w:sz="4" w:space="0"/>
                    <w:right w:val="single" w:color="auto" w:sz="4" w:space="0"/>
                  </w:tcBorders>
                  <w:noWrap w:val="0"/>
                  <w:vAlign w:val="center"/>
                </w:tcPr>
                <w:p w14:paraId="1E289168">
                  <w:pPr>
                    <w:shd w:val="clear"/>
                    <w:snapToGrid w:val="0"/>
                    <w:spacing w:line="240" w:lineRule="auto"/>
                    <w:jc w:val="center"/>
                    <w:rPr>
                      <w:rFonts w:hint="default" w:ascii="Times New Roman" w:hAnsi="Times New Roman" w:eastAsia="宋体" w:cs="Times New Roman"/>
                      <w:color w:val="auto"/>
                      <w:szCs w:val="21"/>
                      <w:highlight w:val="none"/>
                      <w:lang w:bidi="ar"/>
                    </w:rPr>
                  </w:pPr>
                  <w:r>
                    <w:rPr>
                      <w:rFonts w:hint="default" w:ascii="Times New Roman" w:hAnsi="Times New Roman" w:eastAsia="宋体" w:cs="Times New Roman"/>
                      <w:color w:val="auto"/>
                      <w:szCs w:val="21"/>
                      <w:highlight w:val="none"/>
                      <w:lang w:val="en-US" w:eastAsia="zh-CN"/>
                    </w:rPr>
                    <w:t>TSP</w:t>
                  </w:r>
                </w:p>
              </w:tc>
              <w:tc>
                <w:tcPr>
                  <w:tcW w:w="884" w:type="dxa"/>
                  <w:tcBorders>
                    <w:top w:val="single" w:color="auto" w:sz="4" w:space="0"/>
                    <w:left w:val="single" w:color="auto" w:sz="4" w:space="0"/>
                    <w:bottom w:val="single" w:color="auto" w:sz="4" w:space="0"/>
                    <w:right w:val="single" w:color="auto" w:sz="4" w:space="0"/>
                  </w:tcBorders>
                  <w:noWrap w:val="0"/>
                  <w:vAlign w:val="center"/>
                </w:tcPr>
                <w:p w14:paraId="76740B5A">
                  <w:pPr>
                    <w:shd w:val="clear"/>
                    <w:snapToGrid w:val="0"/>
                    <w:spacing w:line="240" w:lineRule="auto"/>
                    <w:jc w:val="center"/>
                    <w:rPr>
                      <w:rFonts w:hint="default" w:ascii="Times New Roman" w:hAnsi="Times New Roman" w:eastAsia="宋体" w:cs="Times New Roman"/>
                      <w:color w:val="auto"/>
                      <w:szCs w:val="21"/>
                      <w:highlight w:val="none"/>
                      <w:lang w:bidi="ar"/>
                    </w:rPr>
                  </w:pPr>
                  <w:r>
                    <w:rPr>
                      <w:rFonts w:hint="default" w:ascii="Times New Roman" w:hAnsi="Times New Roman" w:eastAsia="宋体" w:cs="Times New Roman"/>
                      <w:bCs/>
                      <w:color w:val="auto"/>
                      <w:szCs w:val="21"/>
                      <w:highlight w:val="none"/>
                      <w:lang w:val="en-US" w:eastAsia="zh-CN"/>
                    </w:rPr>
                    <w:t>24小时均值</w:t>
                  </w:r>
                </w:p>
              </w:tc>
              <w:tc>
                <w:tcPr>
                  <w:tcW w:w="1071" w:type="dxa"/>
                  <w:tcBorders>
                    <w:top w:val="single" w:color="auto" w:sz="4" w:space="0"/>
                    <w:left w:val="single" w:color="auto" w:sz="4" w:space="0"/>
                    <w:bottom w:val="single" w:color="auto" w:sz="4" w:space="0"/>
                    <w:right w:val="single" w:color="auto" w:sz="4" w:space="0"/>
                  </w:tcBorders>
                  <w:noWrap w:val="0"/>
                  <w:vAlign w:val="center"/>
                </w:tcPr>
                <w:p w14:paraId="12629377">
                  <w:pPr>
                    <w:shd w:val="clear"/>
                    <w:snapToGrid w:val="0"/>
                    <w:spacing w:line="240" w:lineRule="auto"/>
                    <w:jc w:val="center"/>
                    <w:rPr>
                      <w:rFonts w:hint="default" w:ascii="Times New Roman" w:hAnsi="Times New Roman" w:eastAsia="宋体" w:cs="Times New Roman"/>
                      <w:color w:val="auto"/>
                      <w:szCs w:val="21"/>
                      <w:highlight w:val="none"/>
                      <w:lang w:bidi="ar"/>
                    </w:rPr>
                  </w:pPr>
                  <w:r>
                    <w:rPr>
                      <w:rFonts w:hint="default" w:ascii="Times New Roman" w:hAnsi="Times New Roman" w:eastAsia="宋体" w:cs="Times New Roman"/>
                      <w:bCs/>
                      <w:color w:val="auto"/>
                      <w:szCs w:val="21"/>
                      <w:highlight w:val="none"/>
                      <w:lang w:val="en-US" w:eastAsia="zh-CN"/>
                    </w:rPr>
                    <w:t>0.3</w:t>
                  </w:r>
                </w:p>
              </w:tc>
              <w:tc>
                <w:tcPr>
                  <w:tcW w:w="1231" w:type="dxa"/>
                  <w:tcBorders>
                    <w:top w:val="single" w:color="auto" w:sz="4" w:space="0"/>
                    <w:bottom w:val="single" w:color="auto" w:sz="4" w:space="0"/>
                  </w:tcBorders>
                  <w:noWrap w:val="0"/>
                  <w:vAlign w:val="center"/>
                </w:tcPr>
                <w:p w14:paraId="79A82A31">
                  <w:pPr>
                    <w:shd w:val="clear"/>
                    <w:snapToGrid w:val="0"/>
                    <w:spacing w:line="240" w:lineRule="auto"/>
                    <w:jc w:val="center"/>
                    <w:rPr>
                      <w:rFonts w:hint="default" w:ascii="Times New Roman" w:hAnsi="Times New Roman" w:eastAsia="宋体" w:cs="Times New Roman"/>
                      <w:bCs/>
                      <w:color w:val="auto"/>
                      <w:szCs w:val="21"/>
                      <w:highlight w:val="none"/>
                      <w:lang w:val="en-US"/>
                    </w:rPr>
                  </w:pPr>
                  <w:r>
                    <w:rPr>
                      <w:rFonts w:hint="default" w:ascii="Times New Roman" w:hAnsi="Times New Roman" w:cs="Times New Roman"/>
                      <w:bCs/>
                      <w:color w:val="auto"/>
                      <w:szCs w:val="21"/>
                      <w:highlight w:val="none"/>
                      <w:lang w:val="en-US" w:eastAsia="zh-CN"/>
                    </w:rPr>
                    <w:t>0.</w:t>
                  </w:r>
                  <w:r>
                    <w:rPr>
                      <w:rFonts w:hint="eastAsia" w:cs="Times New Roman"/>
                      <w:bCs/>
                      <w:color w:val="auto"/>
                      <w:szCs w:val="21"/>
                      <w:highlight w:val="none"/>
                      <w:lang w:val="en-US" w:eastAsia="zh-CN"/>
                    </w:rPr>
                    <w:t>062</w:t>
                  </w:r>
                  <w:r>
                    <w:rPr>
                      <w:rFonts w:hint="default" w:ascii="Times New Roman" w:hAnsi="Times New Roman" w:cs="Times New Roman"/>
                      <w:bCs/>
                      <w:color w:val="auto"/>
                      <w:szCs w:val="21"/>
                      <w:highlight w:val="none"/>
                      <w:lang w:val="en-US" w:eastAsia="zh-CN"/>
                    </w:rPr>
                    <w:t>-0.</w:t>
                  </w:r>
                  <w:r>
                    <w:rPr>
                      <w:rFonts w:hint="eastAsia" w:cs="Times New Roman"/>
                      <w:bCs/>
                      <w:color w:val="auto"/>
                      <w:szCs w:val="21"/>
                      <w:highlight w:val="none"/>
                      <w:lang w:val="en-US" w:eastAsia="zh-CN"/>
                    </w:rPr>
                    <w:t>078</w:t>
                  </w:r>
                </w:p>
              </w:tc>
              <w:tc>
                <w:tcPr>
                  <w:tcW w:w="882" w:type="dxa"/>
                  <w:tcBorders>
                    <w:top w:val="single" w:color="auto" w:sz="4" w:space="0"/>
                    <w:bottom w:val="single" w:color="auto" w:sz="4" w:space="0"/>
                  </w:tcBorders>
                  <w:noWrap w:val="0"/>
                  <w:vAlign w:val="center"/>
                </w:tcPr>
                <w:p w14:paraId="35DE1DC2">
                  <w:pPr>
                    <w:shd w:val="clear"/>
                    <w:snapToGrid w:val="0"/>
                    <w:spacing w:line="240" w:lineRule="auto"/>
                    <w:jc w:val="center"/>
                    <w:rPr>
                      <w:rFonts w:hint="default" w:ascii="Times New Roman" w:hAnsi="Times New Roman" w:eastAsia="宋体" w:cs="Times New Roman"/>
                      <w:color w:val="auto"/>
                      <w:szCs w:val="21"/>
                      <w:highlight w:val="none"/>
                      <w:lang w:val="en-US" w:bidi="ar"/>
                    </w:rPr>
                  </w:pPr>
                  <w:r>
                    <w:rPr>
                      <w:rFonts w:hint="eastAsia" w:cs="Times New Roman"/>
                      <w:bCs/>
                      <w:color w:val="auto"/>
                      <w:szCs w:val="21"/>
                      <w:highlight w:val="none"/>
                      <w:lang w:val="en-US" w:eastAsia="zh-CN"/>
                    </w:rPr>
                    <w:t>26</w:t>
                  </w:r>
                </w:p>
              </w:tc>
              <w:tc>
                <w:tcPr>
                  <w:tcW w:w="666" w:type="dxa"/>
                  <w:tcBorders>
                    <w:top w:val="single" w:color="auto" w:sz="4" w:space="0"/>
                    <w:left w:val="single" w:color="auto" w:sz="4" w:space="0"/>
                    <w:bottom w:val="single" w:color="auto" w:sz="4" w:space="0"/>
                    <w:right w:val="single" w:color="auto" w:sz="4" w:space="0"/>
                  </w:tcBorders>
                  <w:noWrap w:val="0"/>
                  <w:vAlign w:val="center"/>
                </w:tcPr>
                <w:p w14:paraId="61107A06">
                  <w:pPr>
                    <w:shd w:val="clear"/>
                    <w:snapToGrid w:val="0"/>
                    <w:spacing w:line="240" w:lineRule="auto"/>
                    <w:jc w:val="center"/>
                    <w:rPr>
                      <w:rFonts w:hint="default" w:ascii="Times New Roman" w:hAnsi="Times New Roman" w:eastAsia="宋体" w:cs="Times New Roman"/>
                      <w:color w:val="auto"/>
                      <w:szCs w:val="21"/>
                      <w:highlight w:val="none"/>
                      <w:lang w:val="en-US" w:eastAsia="zh-CN" w:bidi="ar"/>
                    </w:rPr>
                  </w:pPr>
                  <w:r>
                    <w:rPr>
                      <w:rFonts w:hint="default" w:ascii="Times New Roman" w:hAnsi="Times New Roman" w:eastAsia="宋体" w:cs="Times New Roman"/>
                      <w:bCs/>
                      <w:color w:val="auto"/>
                      <w:szCs w:val="21"/>
                      <w:highlight w:val="none"/>
                      <w:lang w:val="en-US" w:eastAsia="zh-CN"/>
                    </w:rPr>
                    <w:t>0</w:t>
                  </w:r>
                </w:p>
              </w:tc>
              <w:tc>
                <w:tcPr>
                  <w:tcW w:w="892" w:type="dxa"/>
                  <w:tcBorders>
                    <w:top w:val="single" w:color="auto" w:sz="4" w:space="0"/>
                    <w:left w:val="single" w:color="auto" w:sz="4" w:space="0"/>
                    <w:right w:val="single" w:color="auto" w:sz="4" w:space="0"/>
                  </w:tcBorders>
                  <w:noWrap w:val="0"/>
                  <w:vAlign w:val="center"/>
                </w:tcPr>
                <w:p w14:paraId="09EEFADC">
                  <w:pPr>
                    <w:shd w:val="clear"/>
                    <w:spacing w:line="240" w:lineRule="auto"/>
                    <w:jc w:val="center"/>
                    <w:rPr>
                      <w:rFonts w:hint="default" w:ascii="Times New Roman" w:hAnsi="Times New Roman" w:eastAsia="宋体" w:cs="Times New Roman"/>
                      <w:color w:val="auto"/>
                      <w:szCs w:val="21"/>
                      <w:highlight w:val="none"/>
                      <w:lang w:val="en-US" w:eastAsia="zh-CN" w:bidi="ar"/>
                    </w:rPr>
                  </w:pPr>
                  <w:r>
                    <w:rPr>
                      <w:rFonts w:hint="eastAsia" w:cs="Times New Roman"/>
                      <w:color w:val="auto"/>
                      <w:szCs w:val="21"/>
                      <w:highlight w:val="none"/>
                      <w:lang w:val="en-US" w:eastAsia="zh-CN" w:bidi="ar"/>
                    </w:rPr>
                    <w:t>东南</w:t>
                  </w:r>
                </w:p>
              </w:tc>
              <w:tc>
                <w:tcPr>
                  <w:tcW w:w="1000" w:type="dxa"/>
                  <w:tcBorders>
                    <w:top w:val="single" w:color="auto" w:sz="4" w:space="0"/>
                    <w:left w:val="single" w:color="auto" w:sz="4" w:space="0"/>
                    <w:right w:val="single" w:color="auto" w:sz="4" w:space="0"/>
                  </w:tcBorders>
                  <w:noWrap w:val="0"/>
                  <w:vAlign w:val="center"/>
                </w:tcPr>
                <w:p w14:paraId="7BB288A9">
                  <w:pPr>
                    <w:shd w:val="clear"/>
                    <w:spacing w:line="240" w:lineRule="auto"/>
                    <w:jc w:val="center"/>
                    <w:rPr>
                      <w:rFonts w:hint="default" w:ascii="Times New Roman" w:hAnsi="Times New Roman" w:eastAsia="宋体" w:cs="Times New Roman"/>
                      <w:color w:val="auto"/>
                      <w:szCs w:val="21"/>
                      <w:highlight w:val="none"/>
                      <w:lang w:val="en-US" w:eastAsia="zh-CN" w:bidi="ar"/>
                    </w:rPr>
                  </w:pPr>
                  <w:r>
                    <w:rPr>
                      <w:rFonts w:hint="eastAsia" w:cs="Times New Roman"/>
                      <w:color w:val="auto"/>
                      <w:szCs w:val="21"/>
                      <w:highlight w:val="none"/>
                      <w:lang w:val="en-US" w:eastAsia="zh-CN" w:bidi="ar"/>
                    </w:rPr>
                    <w:t>0.006</w:t>
                  </w:r>
                </w:p>
              </w:tc>
            </w:tr>
          </w:tbl>
          <w:p w14:paraId="0977A0B7">
            <w:pPr>
              <w:keepNext w:val="0"/>
              <w:keepLines w:val="0"/>
              <w:pageBreakBefore w:val="0"/>
              <w:widowControl/>
              <w:suppressLineNumbers w:val="0"/>
              <w:kinsoku/>
              <w:wordWrap/>
              <w:overflowPunct/>
              <w:topLinePunct w:val="0"/>
              <w:autoSpaceDE/>
              <w:autoSpaceDN/>
              <w:bidi w:val="0"/>
              <w:adjustRightInd/>
              <w:snapToGrid/>
              <w:spacing w:line="360" w:lineRule="auto"/>
              <w:ind w:firstLine="420" w:firstLineChars="200"/>
              <w:jc w:val="left"/>
              <w:textAlignment w:val="auto"/>
              <w:rPr>
                <w:rFonts w:hint="default" w:ascii="Times New Roman" w:hAnsi="Times New Roman" w:eastAsia="宋体" w:cs="Times New Roman"/>
                <w:b/>
                <w:bCs/>
                <w:color w:val="auto"/>
                <w:sz w:val="21"/>
                <w:szCs w:val="21"/>
                <w:highlight w:val="none"/>
                <w:lang w:val="zh-CN"/>
              </w:rPr>
            </w:pPr>
            <w:r>
              <w:rPr>
                <w:rFonts w:hint="default" w:ascii="Times New Roman" w:hAnsi="Times New Roman" w:eastAsia="宋体" w:cs="Times New Roman"/>
                <w:color w:val="auto"/>
                <w:kern w:val="0"/>
                <w:sz w:val="21"/>
                <w:szCs w:val="21"/>
                <w:highlight w:val="none"/>
                <w:lang w:val="en-US" w:eastAsia="zh-CN" w:bidi="ar"/>
              </w:rPr>
              <w:t>从监测结果看出，TSP符合《环境空气质量标准》（GB3095--2026）二级标准</w:t>
            </w:r>
            <w:r>
              <w:rPr>
                <w:rFonts w:hint="eastAsia" w:cs="Times New Roman"/>
                <w:color w:val="auto"/>
                <w:kern w:val="0"/>
                <w:sz w:val="21"/>
                <w:szCs w:val="21"/>
                <w:highlight w:val="none"/>
                <w:lang w:val="en-US" w:eastAsia="zh-CN" w:bidi="ar"/>
              </w:rPr>
              <w:t>。</w:t>
            </w:r>
            <w:r>
              <w:rPr>
                <w:rFonts w:hint="default" w:ascii="Times New Roman" w:hAnsi="Times New Roman" w:eastAsia="宋体" w:cs="Times New Roman"/>
                <w:color w:val="auto"/>
                <w:kern w:val="0"/>
                <w:sz w:val="21"/>
                <w:szCs w:val="21"/>
                <w:highlight w:val="none"/>
                <w:lang w:val="en-US" w:eastAsia="zh-CN" w:bidi="ar"/>
              </w:rPr>
              <w:t>从监测结果看，该区域大气环境质量较好。</w:t>
            </w:r>
          </w:p>
          <w:p w14:paraId="29CDBACE">
            <w:pPr>
              <w:shd w:val="clear"/>
              <w:spacing w:line="360" w:lineRule="auto"/>
              <w:ind w:firstLine="482" w:firstLineChars="200"/>
              <w:rPr>
                <w:rFonts w:hint="default" w:ascii="Times New Roman" w:hAnsi="Times New Roman" w:eastAsia="宋体" w:cs="Times New Roman"/>
                <w:b/>
                <w:bCs/>
                <w:color w:val="auto"/>
                <w:sz w:val="24"/>
                <w:szCs w:val="24"/>
                <w:highlight w:val="none"/>
                <w:lang w:val="zh-CN"/>
              </w:rPr>
            </w:pPr>
            <w:r>
              <w:rPr>
                <w:rFonts w:hint="default" w:ascii="Times New Roman" w:hAnsi="Times New Roman" w:eastAsia="宋体" w:cs="Times New Roman"/>
                <w:b/>
                <w:bCs/>
                <w:color w:val="auto"/>
                <w:sz w:val="24"/>
                <w:szCs w:val="24"/>
                <w:highlight w:val="none"/>
                <w:lang w:val="zh-CN"/>
              </w:rPr>
              <w:t>二、水环境质量现状</w:t>
            </w:r>
          </w:p>
          <w:p w14:paraId="1A290036">
            <w:pPr>
              <w:keepNext w:val="0"/>
              <w:keepLines w:val="0"/>
              <w:pageBreakBefore w:val="0"/>
              <w:widowControl w:val="0"/>
              <w:shd w:val="clear"/>
              <w:kinsoku/>
              <w:wordWrap/>
              <w:overflowPunct/>
              <w:topLinePunct w:val="0"/>
              <w:autoSpaceDE/>
              <w:autoSpaceDN/>
              <w:bidi w:val="0"/>
              <w:adjustRightInd/>
              <w:snapToGrid/>
              <w:spacing w:line="360" w:lineRule="auto"/>
              <w:ind w:firstLine="420" w:firstLineChars="200"/>
              <w:jc w:val="left"/>
              <w:textAlignment w:val="auto"/>
              <w:rPr>
                <w:rFonts w:hint="default" w:ascii="Times New Roman" w:hAnsi="Times New Roman" w:eastAsia="宋体" w:cs="Times New Roman"/>
                <w:color w:val="auto"/>
                <w:sz w:val="21"/>
                <w:szCs w:val="21"/>
                <w:highlight w:val="none"/>
                <w:lang w:val="zh-CN"/>
              </w:rPr>
            </w:pPr>
            <w:r>
              <w:rPr>
                <w:rFonts w:hint="default" w:ascii="Times New Roman" w:hAnsi="Times New Roman" w:eastAsia="宋体" w:cs="Times New Roman"/>
                <w:color w:val="auto"/>
                <w:sz w:val="21"/>
                <w:szCs w:val="21"/>
                <w:highlight w:val="none"/>
                <w:lang w:val="zh-CN" w:eastAsia="zh-CN"/>
              </w:rPr>
              <w:t xml:space="preserve">项目产生的生活污水经三级化粪池预处理经市政管网进入中山市珍家山污水处理有限公司处理，然后排入石岐河，根据中府[2008]96号《中山市水功能区管理办法》及《中山市水功能区划》，石岐河为Ⅳ类水体，执行《地表水环境质量标准》（GB3838-2002）Ⅳ级标准。 </w:t>
            </w:r>
          </w:p>
          <w:p w14:paraId="086C5681">
            <w:pPr>
              <w:keepNext w:val="0"/>
              <w:keepLines w:val="0"/>
              <w:pageBreakBefore w:val="0"/>
              <w:widowControl w:val="0"/>
              <w:shd w:val="clear"/>
              <w:kinsoku/>
              <w:wordWrap/>
              <w:overflowPunct/>
              <w:topLinePunct w:val="0"/>
              <w:autoSpaceDE/>
              <w:autoSpaceDN/>
              <w:bidi w:val="0"/>
              <w:adjustRightInd/>
              <w:snapToGrid/>
              <w:spacing w:line="360" w:lineRule="auto"/>
              <w:ind w:firstLine="420" w:firstLineChars="200"/>
              <w:jc w:val="left"/>
              <w:textAlignment w:val="auto"/>
              <w:rPr>
                <w:rFonts w:hint="default" w:ascii="Times New Roman" w:hAnsi="Times New Roman" w:eastAsia="宋体" w:cs="Times New Roman"/>
                <w:color w:val="auto"/>
                <w:sz w:val="21"/>
                <w:szCs w:val="21"/>
                <w:highlight w:val="none"/>
                <w:lang w:val="zh-CN"/>
              </w:rPr>
            </w:pPr>
            <w:r>
              <w:rPr>
                <w:rFonts w:hint="default" w:ascii="Times New Roman" w:hAnsi="Times New Roman" w:eastAsia="宋体" w:cs="Times New Roman"/>
                <w:color w:val="auto"/>
                <w:sz w:val="21"/>
                <w:szCs w:val="21"/>
                <w:highlight w:val="none"/>
                <w:lang w:val="zh-CN" w:eastAsia="zh-CN"/>
              </w:rPr>
              <w:t>根据《2024年中山市生态环境质量报告书》（公众版），2024年石岐河水质达到《地表水环境质量标准》(GB3838-2002)中的Ⅳ类标准，水质状况为良好。</w:t>
            </w:r>
          </w:p>
          <w:p w14:paraId="45953A2F">
            <w:pPr>
              <w:shd w:val="clear"/>
              <w:spacing w:line="360" w:lineRule="auto"/>
              <w:jc w:val="center"/>
              <w:rPr>
                <w:rFonts w:hint="default" w:ascii="Times New Roman" w:hAnsi="Times New Roman" w:eastAsia="宋体" w:cs="Times New Roman"/>
                <w:color w:val="auto"/>
                <w:sz w:val="24"/>
                <w:szCs w:val="24"/>
                <w:highlight w:val="none"/>
                <w:lang w:val="zh-CN" w:eastAsia="zh-CN"/>
              </w:rPr>
            </w:pPr>
            <w:r>
              <w:rPr>
                <w:rFonts w:hint="default" w:ascii="Times New Roman" w:hAnsi="Times New Roman" w:eastAsia="宋体" w:cs="Times New Roman"/>
                <w:color w:val="auto"/>
                <w:sz w:val="21"/>
                <w:szCs w:val="21"/>
                <w:highlight w:val="none"/>
                <w:lang w:val="zh-CN"/>
              </w:rPr>
              <w:drawing>
                <wp:inline distT="0" distB="0" distL="114300" distR="114300">
                  <wp:extent cx="4618355" cy="4635500"/>
                  <wp:effectExtent l="0" t="0" r="10795" b="12700"/>
                  <wp:docPr id="158" name="图片 158" descr="f8b46f422493829fc31116ccc881b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descr="f8b46f422493829fc31116ccc881b81"/>
                          <pic:cNvPicPr>
                            <a:picLocks noChangeAspect="1"/>
                          </pic:cNvPicPr>
                        </pic:nvPicPr>
                        <pic:blipFill>
                          <a:blip r:embed="rId19"/>
                          <a:stretch>
                            <a:fillRect/>
                          </a:stretch>
                        </pic:blipFill>
                        <pic:spPr>
                          <a:xfrm>
                            <a:off x="0" y="0"/>
                            <a:ext cx="4618355" cy="4635500"/>
                          </a:xfrm>
                          <a:prstGeom prst="rect">
                            <a:avLst/>
                          </a:prstGeom>
                        </pic:spPr>
                      </pic:pic>
                    </a:graphicData>
                  </a:graphic>
                </wp:inline>
              </w:drawing>
            </w:r>
          </w:p>
          <w:p w14:paraId="070D42E3">
            <w:pPr>
              <w:pStyle w:val="14"/>
              <w:shd w:val="clear"/>
              <w:ind w:firstLine="422"/>
              <w:rPr>
                <w:rFonts w:hint="default" w:ascii="Times New Roman" w:hAnsi="Times New Roman" w:eastAsia="宋体" w:cs="Times New Roman"/>
                <w:b/>
                <w:bCs/>
                <w:color w:val="auto"/>
                <w:sz w:val="24"/>
                <w:szCs w:val="24"/>
                <w:highlight w:val="none"/>
                <w:lang w:val="zh-CN"/>
              </w:rPr>
            </w:pPr>
            <w:r>
              <w:rPr>
                <w:rFonts w:hint="default" w:ascii="Times New Roman" w:hAnsi="Times New Roman" w:eastAsia="宋体" w:cs="Times New Roman"/>
                <w:b/>
                <w:bCs/>
                <w:color w:val="auto"/>
                <w:sz w:val="24"/>
                <w:szCs w:val="24"/>
                <w:highlight w:val="none"/>
                <w:lang w:val="zh-CN"/>
              </w:rPr>
              <w:t>三、声环境质量现状</w:t>
            </w:r>
          </w:p>
          <w:p w14:paraId="1F366711">
            <w:pPr>
              <w:keepNext w:val="0"/>
              <w:keepLines w:val="0"/>
              <w:pageBreakBefore w:val="0"/>
              <w:widowControl/>
              <w:suppressLineNumbers w:val="0"/>
              <w:shd w:val="clear"/>
              <w:kinsoku/>
              <w:wordWrap/>
              <w:overflowPunct/>
              <w:topLinePunct w:val="0"/>
              <w:autoSpaceDE/>
              <w:autoSpaceDN/>
              <w:bidi w:val="0"/>
              <w:adjustRightInd/>
              <w:snapToGrid/>
              <w:spacing w:line="360" w:lineRule="auto"/>
              <w:ind w:firstLine="420" w:firstLineChars="200"/>
              <w:jc w:val="lef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根据《声环境功能区划分技术规范》（GB/T15190-2014）及《中山市声环境功能区划方案》（2021年修编），项目属3类声功能区域，</w:t>
            </w:r>
            <w:r>
              <w:rPr>
                <w:rFonts w:hint="eastAsia" w:cs="Times New Roman"/>
                <w:color w:val="auto"/>
                <w:sz w:val="21"/>
                <w:szCs w:val="21"/>
                <w:highlight w:val="none"/>
                <w:lang w:val="en-US" w:eastAsia="zh-CN"/>
              </w:rPr>
              <w:t>本项目</w:t>
            </w:r>
            <w:r>
              <w:rPr>
                <w:rFonts w:hint="default" w:ascii="Times New Roman" w:hAnsi="Times New Roman" w:eastAsia="宋体" w:cs="Times New Roman"/>
                <w:color w:val="auto"/>
                <w:sz w:val="21"/>
                <w:szCs w:val="21"/>
                <w:highlight w:val="none"/>
                <w:lang w:val="en-US" w:eastAsia="zh-CN"/>
              </w:rPr>
              <w:t>厂界执行国家《声环境质量标准》(GB3096-2008)中的3类标准，昼间噪声值标准为65dB(A)，夜间不生产。</w:t>
            </w:r>
          </w:p>
          <w:p w14:paraId="7FF70436">
            <w:pPr>
              <w:keepNext w:val="0"/>
              <w:keepLines w:val="0"/>
              <w:pageBreakBefore w:val="0"/>
              <w:widowControl/>
              <w:suppressLineNumbers w:val="0"/>
              <w:shd w:val="clear"/>
              <w:kinsoku/>
              <w:wordWrap/>
              <w:overflowPunct/>
              <w:topLinePunct w:val="0"/>
              <w:autoSpaceDE/>
              <w:autoSpaceDN/>
              <w:bidi w:val="0"/>
              <w:adjustRightInd/>
              <w:snapToGrid/>
              <w:spacing w:line="360" w:lineRule="auto"/>
              <w:ind w:firstLine="420" w:firstLineChars="200"/>
              <w:jc w:val="lef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项目为新建项目，且周边50米范围内不存在敏感点，不开展声环境质量现状监测。</w:t>
            </w:r>
          </w:p>
          <w:p w14:paraId="0D687891">
            <w:pPr>
              <w:pStyle w:val="18"/>
              <w:shd w:val="clear"/>
              <w:spacing w:before="0" w:beforeLines="0"/>
              <w:ind w:firstLine="422"/>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四、地下水及土壤环境质量现状</w:t>
            </w:r>
          </w:p>
          <w:p w14:paraId="64BCC0A4">
            <w:pPr>
              <w:shd w:val="clear"/>
              <w:spacing w:line="360" w:lineRule="auto"/>
              <w:ind w:firstLine="420" w:firstLineChars="20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项目不开采地下水，生产过程不涉及重金属污染工序，无有毒有害物质产生，</w:t>
            </w:r>
            <w:r>
              <w:rPr>
                <w:rFonts w:hint="default" w:ascii="Times New Roman" w:hAnsi="Times New Roman" w:eastAsia="宋体" w:cs="Times New Roman"/>
                <w:color w:val="auto"/>
                <w:sz w:val="21"/>
                <w:szCs w:val="21"/>
                <w:highlight w:val="none"/>
                <w:lang w:val="en-US"/>
              </w:rPr>
              <w:t>项目厂界外500米范围内无地下水集中式饮用水源和热水、矿泉水、温泉等特殊地下水资源等保护目标</w:t>
            </w:r>
            <w:r>
              <w:rPr>
                <w:rFonts w:hint="default"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rPr>
              <w:t>项目可能产生地下水及土壤污染的途径主要包括以下几个方面：</w:t>
            </w:r>
          </w:p>
          <w:p w14:paraId="36ADA3B4">
            <w:pPr>
              <w:keepNext w:val="0"/>
              <w:keepLines w:val="0"/>
              <w:pageBreakBefore w:val="0"/>
              <w:widowControl/>
              <w:suppressLineNumbers w:val="0"/>
              <w:shd w:val="clear"/>
              <w:kinsoku/>
              <w:wordWrap/>
              <w:overflowPunct/>
              <w:topLinePunct w:val="0"/>
              <w:autoSpaceDE/>
              <w:autoSpaceDN/>
              <w:bidi w:val="0"/>
              <w:adjustRightInd/>
              <w:snapToGrid/>
              <w:spacing w:line="360" w:lineRule="auto"/>
              <w:ind w:firstLine="420" w:firstLineChars="200"/>
              <w:jc w:val="both"/>
              <w:textAlignment w:val="auto"/>
              <w:rPr>
                <w:rFonts w:hint="default" w:ascii="Times New Roman" w:hAnsi="Times New Roman" w:eastAsia="宋体" w:cs="Times New Roman"/>
                <w:color w:val="auto"/>
                <w:sz w:val="21"/>
                <w:szCs w:val="21"/>
                <w:highlight w:val="none"/>
                <w:lang w:val="zh-CN" w:eastAsia="zh-CN"/>
              </w:rPr>
            </w:pPr>
            <w:r>
              <w:rPr>
                <w:rFonts w:hint="default" w:ascii="Times New Roman" w:hAnsi="Times New Roman" w:eastAsia="宋体" w:cs="Times New Roman"/>
                <w:color w:val="auto"/>
                <w:sz w:val="21"/>
                <w:szCs w:val="21"/>
                <w:highlight w:val="none"/>
                <w:lang w:val="zh-CN" w:eastAsia="zh-CN"/>
              </w:rPr>
              <w:t>①生活污水</w:t>
            </w:r>
            <w:r>
              <w:rPr>
                <w:rFonts w:hint="eastAsia" w:cs="Times New Roman"/>
                <w:color w:val="auto"/>
                <w:sz w:val="21"/>
                <w:szCs w:val="21"/>
                <w:highlight w:val="none"/>
                <w:lang w:val="zh-CN" w:eastAsia="zh-CN"/>
              </w:rPr>
              <w:t>、</w:t>
            </w:r>
            <w:r>
              <w:rPr>
                <w:rFonts w:hint="eastAsia" w:cs="Times New Roman"/>
                <w:color w:val="auto"/>
                <w:sz w:val="21"/>
                <w:szCs w:val="21"/>
                <w:highlight w:val="none"/>
                <w:lang w:val="en-US" w:eastAsia="zh-CN"/>
              </w:rPr>
              <w:t>生产</w:t>
            </w:r>
            <w:r>
              <w:rPr>
                <w:rFonts w:hint="eastAsia" w:cs="Times New Roman"/>
                <w:color w:val="auto"/>
                <w:sz w:val="21"/>
                <w:szCs w:val="21"/>
                <w:highlight w:val="none"/>
                <w:lang w:val="en-US" w:eastAsia="zh-CN"/>
              </w:rPr>
              <w:t>废水</w:t>
            </w:r>
            <w:r>
              <w:rPr>
                <w:rFonts w:hint="default" w:ascii="Times New Roman" w:hAnsi="Times New Roman" w:eastAsia="宋体" w:cs="Times New Roman"/>
                <w:color w:val="auto"/>
                <w:sz w:val="21"/>
                <w:szCs w:val="21"/>
                <w:highlight w:val="none"/>
                <w:lang w:val="zh-CN" w:eastAsia="zh-CN"/>
              </w:rPr>
              <w:t>泄漏；</w:t>
            </w:r>
          </w:p>
          <w:p w14:paraId="66A74BCB">
            <w:pPr>
              <w:keepNext w:val="0"/>
              <w:keepLines w:val="0"/>
              <w:pageBreakBefore w:val="0"/>
              <w:widowControl/>
              <w:suppressLineNumbers w:val="0"/>
              <w:shd w:val="clear"/>
              <w:kinsoku/>
              <w:wordWrap/>
              <w:overflowPunct/>
              <w:topLinePunct w:val="0"/>
              <w:autoSpaceDE/>
              <w:autoSpaceDN/>
              <w:bidi w:val="0"/>
              <w:adjustRightInd/>
              <w:snapToGrid/>
              <w:spacing w:line="360" w:lineRule="auto"/>
              <w:ind w:firstLine="420" w:firstLineChars="200"/>
              <w:jc w:val="both"/>
              <w:textAlignment w:val="auto"/>
              <w:rPr>
                <w:rFonts w:hint="default" w:ascii="Times New Roman" w:hAnsi="Times New Roman" w:eastAsia="宋体" w:cs="Times New Roman"/>
                <w:color w:val="auto"/>
                <w:sz w:val="21"/>
                <w:szCs w:val="21"/>
                <w:highlight w:val="none"/>
                <w:lang w:val="zh-CN" w:eastAsia="zh-CN"/>
              </w:rPr>
            </w:pPr>
            <w:r>
              <w:rPr>
                <w:rFonts w:hint="default" w:ascii="Times New Roman" w:hAnsi="Times New Roman" w:eastAsia="宋体" w:cs="Times New Roman"/>
                <w:color w:val="auto"/>
                <w:sz w:val="21"/>
                <w:szCs w:val="21"/>
                <w:highlight w:val="none"/>
                <w:lang w:val="zh-CN" w:eastAsia="zh-CN"/>
              </w:rPr>
              <w:t>②液态化学品运输使用过程的泄漏；</w:t>
            </w:r>
          </w:p>
          <w:p w14:paraId="4CCCE3FE">
            <w:pPr>
              <w:keepNext w:val="0"/>
              <w:keepLines w:val="0"/>
              <w:pageBreakBefore w:val="0"/>
              <w:widowControl/>
              <w:suppressLineNumbers w:val="0"/>
              <w:shd w:val="clear"/>
              <w:kinsoku/>
              <w:wordWrap/>
              <w:overflowPunct/>
              <w:topLinePunct w:val="0"/>
              <w:autoSpaceDE/>
              <w:autoSpaceDN/>
              <w:bidi w:val="0"/>
              <w:adjustRightInd/>
              <w:snapToGrid/>
              <w:spacing w:line="360" w:lineRule="auto"/>
              <w:ind w:firstLine="420" w:firstLineChars="200"/>
              <w:jc w:val="both"/>
              <w:textAlignment w:val="auto"/>
              <w:rPr>
                <w:rFonts w:hint="default" w:ascii="Times New Roman" w:hAnsi="Times New Roman" w:eastAsia="宋体" w:cs="Times New Roman"/>
                <w:color w:val="auto"/>
                <w:sz w:val="21"/>
                <w:szCs w:val="21"/>
                <w:highlight w:val="none"/>
                <w:lang w:val="zh-CN" w:eastAsia="zh-CN"/>
              </w:rPr>
            </w:pPr>
            <w:r>
              <w:rPr>
                <w:rFonts w:hint="default" w:ascii="Times New Roman" w:hAnsi="Times New Roman" w:eastAsia="宋体" w:cs="Times New Roman"/>
                <w:color w:val="auto"/>
                <w:sz w:val="21"/>
                <w:szCs w:val="21"/>
                <w:highlight w:val="none"/>
                <w:lang w:val="zh-CN" w:eastAsia="zh-CN"/>
              </w:rPr>
              <w:t>③一般固体废物暂存间或危废暂存间的渗滤液的下渗；</w:t>
            </w:r>
          </w:p>
          <w:p w14:paraId="3B586774">
            <w:pPr>
              <w:keepNext w:val="0"/>
              <w:keepLines w:val="0"/>
              <w:pageBreakBefore w:val="0"/>
              <w:widowControl/>
              <w:suppressLineNumbers w:val="0"/>
              <w:shd w:val="clear"/>
              <w:kinsoku/>
              <w:wordWrap/>
              <w:overflowPunct/>
              <w:topLinePunct w:val="0"/>
              <w:autoSpaceDE/>
              <w:autoSpaceDN/>
              <w:bidi w:val="0"/>
              <w:adjustRightInd/>
              <w:snapToGrid/>
              <w:spacing w:line="360" w:lineRule="auto"/>
              <w:ind w:firstLine="420" w:firstLineChars="200"/>
              <w:jc w:val="both"/>
              <w:textAlignment w:val="auto"/>
              <w:rPr>
                <w:rFonts w:hint="default" w:ascii="Times New Roman" w:hAnsi="Times New Roman" w:eastAsia="宋体" w:cs="Times New Roman"/>
                <w:color w:val="auto"/>
                <w:sz w:val="21"/>
                <w:szCs w:val="21"/>
                <w:highlight w:val="none"/>
                <w:lang w:val="zh-CN" w:eastAsia="zh-CN"/>
              </w:rPr>
            </w:pPr>
            <w:r>
              <w:rPr>
                <w:rFonts w:hint="default" w:ascii="Times New Roman" w:hAnsi="Times New Roman" w:eastAsia="宋体" w:cs="Times New Roman"/>
                <w:color w:val="auto"/>
                <w:sz w:val="21"/>
                <w:szCs w:val="21"/>
                <w:highlight w:val="none"/>
                <w:lang w:val="zh-CN" w:eastAsia="zh-CN"/>
              </w:rPr>
              <w:t>④生产过程产生的废气大气沉降，导致土壤的污染；</w:t>
            </w:r>
          </w:p>
          <w:p w14:paraId="44BA1048">
            <w:pPr>
              <w:keepNext w:val="0"/>
              <w:keepLines w:val="0"/>
              <w:pageBreakBefore w:val="0"/>
              <w:widowControl/>
              <w:suppressLineNumbers w:val="0"/>
              <w:shd w:val="clear"/>
              <w:kinsoku/>
              <w:wordWrap/>
              <w:overflowPunct/>
              <w:topLinePunct w:val="0"/>
              <w:autoSpaceDE/>
              <w:autoSpaceDN/>
              <w:bidi w:val="0"/>
              <w:adjustRightInd/>
              <w:snapToGrid/>
              <w:spacing w:line="360" w:lineRule="auto"/>
              <w:ind w:firstLine="420" w:firstLineChars="200"/>
              <w:jc w:val="both"/>
              <w:textAlignment w:val="auto"/>
              <w:rPr>
                <w:rFonts w:hint="default" w:ascii="Times New Roman" w:hAnsi="Times New Roman" w:eastAsia="宋体" w:cs="Times New Roman"/>
                <w:color w:val="auto"/>
                <w:sz w:val="21"/>
                <w:szCs w:val="21"/>
                <w:highlight w:val="none"/>
                <w:lang w:val="zh-CN" w:eastAsia="zh-CN"/>
              </w:rPr>
            </w:pPr>
            <w:r>
              <w:rPr>
                <w:rFonts w:hint="default" w:ascii="Times New Roman" w:hAnsi="Times New Roman" w:eastAsia="宋体" w:cs="Times New Roman"/>
                <w:color w:val="auto"/>
                <w:sz w:val="21"/>
                <w:szCs w:val="21"/>
                <w:highlight w:val="none"/>
                <w:lang w:val="zh-CN" w:eastAsia="zh-CN"/>
              </w:rPr>
              <w:t>针对以上几种污染途径做出以下几点防治措施：</w:t>
            </w:r>
          </w:p>
          <w:p w14:paraId="581FDCA9">
            <w:pPr>
              <w:keepNext w:val="0"/>
              <w:keepLines w:val="0"/>
              <w:pageBreakBefore w:val="0"/>
              <w:widowControl/>
              <w:suppressLineNumbers w:val="0"/>
              <w:shd w:val="clear"/>
              <w:kinsoku/>
              <w:wordWrap/>
              <w:overflowPunct/>
              <w:topLinePunct w:val="0"/>
              <w:autoSpaceDE/>
              <w:autoSpaceDN/>
              <w:bidi w:val="0"/>
              <w:adjustRightInd/>
              <w:snapToGrid/>
              <w:spacing w:line="360" w:lineRule="auto"/>
              <w:ind w:firstLine="420" w:firstLineChars="200"/>
              <w:jc w:val="both"/>
              <w:textAlignment w:val="auto"/>
              <w:rPr>
                <w:rFonts w:hint="eastAsia" w:cs="Times New Roman"/>
                <w:color w:val="auto"/>
                <w:sz w:val="21"/>
                <w:szCs w:val="21"/>
                <w:highlight w:val="none"/>
                <w:lang w:val="zh-CN" w:eastAsia="zh-CN"/>
              </w:rPr>
            </w:pPr>
            <w:r>
              <w:rPr>
                <w:rFonts w:hint="default" w:ascii="Times New Roman" w:hAnsi="Times New Roman" w:eastAsia="宋体" w:cs="Times New Roman"/>
                <w:color w:val="auto"/>
                <w:sz w:val="21"/>
                <w:szCs w:val="21"/>
                <w:highlight w:val="none"/>
                <w:lang w:val="zh-CN" w:eastAsia="zh-CN"/>
              </w:rPr>
              <w:t>①生活污水经化粪池预处理后经市政管网排入</w:t>
            </w:r>
            <w:r>
              <w:rPr>
                <w:rFonts w:hint="eastAsia" w:cs="Times New Roman"/>
                <w:color w:val="auto"/>
                <w:sz w:val="21"/>
                <w:szCs w:val="21"/>
                <w:highlight w:val="none"/>
                <w:lang w:val="zh-CN" w:eastAsia="zh-CN"/>
              </w:rPr>
              <w:t>中山市珍家山污水处理有限公司</w:t>
            </w:r>
            <w:r>
              <w:rPr>
                <w:rFonts w:hint="default" w:ascii="Times New Roman" w:hAnsi="Times New Roman" w:eastAsia="宋体" w:cs="Times New Roman"/>
                <w:color w:val="auto"/>
                <w:sz w:val="21"/>
                <w:szCs w:val="21"/>
                <w:highlight w:val="none"/>
                <w:lang w:val="en-US" w:eastAsia="zh-CN"/>
              </w:rPr>
              <w:t>集中</w:t>
            </w:r>
            <w:r>
              <w:rPr>
                <w:rFonts w:hint="default" w:ascii="Times New Roman" w:hAnsi="Times New Roman" w:eastAsia="宋体" w:cs="Times New Roman"/>
                <w:color w:val="auto"/>
                <w:sz w:val="21"/>
                <w:szCs w:val="21"/>
                <w:highlight w:val="none"/>
                <w:lang w:val="zh-CN" w:eastAsia="zh-CN"/>
              </w:rPr>
              <w:t>处理</w:t>
            </w:r>
            <w:r>
              <w:rPr>
                <w:rFonts w:hint="eastAsia" w:cs="Times New Roman"/>
                <w:color w:val="auto"/>
                <w:sz w:val="21"/>
                <w:szCs w:val="21"/>
                <w:highlight w:val="none"/>
                <w:lang w:val="zh-CN" w:eastAsia="zh-CN"/>
              </w:rPr>
              <w:t>。超声波废水、手工清洗废水、水样废水及喷淋废水定期交由有废水处理能力的公司转移处理。生产废水经</w:t>
            </w:r>
            <w:r>
              <w:rPr>
                <w:rFonts w:hint="eastAsia" w:cs="Times New Roman"/>
                <w:color w:val="auto"/>
                <w:sz w:val="21"/>
                <w:szCs w:val="21"/>
                <w:highlight w:val="none"/>
                <w:lang w:val="en-US" w:eastAsia="zh-CN"/>
              </w:rPr>
              <w:t>废水暂存区</w:t>
            </w:r>
            <w:r>
              <w:rPr>
                <w:rFonts w:hint="eastAsia" w:cs="Times New Roman"/>
                <w:color w:val="auto"/>
                <w:sz w:val="21"/>
                <w:szCs w:val="21"/>
                <w:highlight w:val="none"/>
                <w:lang w:val="zh-CN" w:eastAsia="zh-CN"/>
              </w:rPr>
              <w:t>进行储存，</w:t>
            </w:r>
            <w:r>
              <w:rPr>
                <w:rFonts w:hint="eastAsia" w:cs="Times New Roman"/>
                <w:color w:val="auto"/>
                <w:sz w:val="21"/>
                <w:szCs w:val="21"/>
                <w:highlight w:val="none"/>
                <w:lang w:val="en-US" w:eastAsia="zh-CN"/>
              </w:rPr>
              <w:t>周边设置围堰，</w:t>
            </w:r>
            <w:r>
              <w:rPr>
                <w:rFonts w:hint="eastAsia" w:cs="Times New Roman"/>
                <w:color w:val="auto"/>
                <w:sz w:val="21"/>
                <w:szCs w:val="21"/>
                <w:highlight w:val="none"/>
                <w:lang w:val="zh-CN" w:eastAsia="zh-CN"/>
              </w:rPr>
              <w:t>项目厂区内地面为混凝土硬化地面；</w:t>
            </w:r>
          </w:p>
          <w:p w14:paraId="0CD1CE35">
            <w:pPr>
              <w:keepNext w:val="0"/>
              <w:keepLines w:val="0"/>
              <w:pageBreakBefore w:val="0"/>
              <w:widowControl/>
              <w:suppressLineNumbers w:val="0"/>
              <w:shd w:val="clear"/>
              <w:kinsoku/>
              <w:wordWrap/>
              <w:overflowPunct/>
              <w:topLinePunct w:val="0"/>
              <w:autoSpaceDE/>
              <w:autoSpaceDN/>
              <w:bidi w:val="0"/>
              <w:adjustRightInd/>
              <w:snapToGrid/>
              <w:spacing w:line="360" w:lineRule="auto"/>
              <w:ind w:firstLine="420" w:firstLineChars="200"/>
              <w:jc w:val="both"/>
              <w:textAlignment w:val="auto"/>
              <w:rPr>
                <w:rFonts w:hint="default" w:ascii="Times New Roman" w:hAnsi="Times New Roman" w:eastAsia="宋体" w:cs="Times New Roman"/>
                <w:color w:val="auto"/>
                <w:sz w:val="21"/>
                <w:szCs w:val="21"/>
                <w:highlight w:val="none"/>
                <w:lang w:val="zh-CN" w:eastAsia="zh-CN"/>
              </w:rPr>
            </w:pPr>
            <w:r>
              <w:rPr>
                <w:rFonts w:hint="default" w:ascii="Times New Roman" w:hAnsi="Times New Roman" w:eastAsia="宋体" w:cs="Times New Roman"/>
                <w:color w:val="auto"/>
                <w:sz w:val="21"/>
                <w:szCs w:val="21"/>
                <w:highlight w:val="none"/>
                <w:lang w:val="zh-CN" w:eastAsia="zh-CN"/>
              </w:rPr>
              <w:t>②</w:t>
            </w:r>
            <w:r>
              <w:rPr>
                <w:rFonts w:hint="default" w:ascii="Times New Roman" w:hAnsi="Times New Roman" w:eastAsia="宋体" w:cs="Times New Roman"/>
                <w:color w:val="auto"/>
                <w:sz w:val="21"/>
                <w:szCs w:val="21"/>
                <w:highlight w:val="none"/>
                <w:lang w:val="en-US" w:eastAsia="zh-CN"/>
              </w:rPr>
              <w:t>化学品仓</w:t>
            </w:r>
            <w:r>
              <w:rPr>
                <w:rFonts w:hint="default" w:ascii="Times New Roman" w:hAnsi="Times New Roman" w:eastAsia="宋体" w:cs="Times New Roman"/>
                <w:color w:val="auto"/>
                <w:sz w:val="21"/>
                <w:szCs w:val="21"/>
                <w:highlight w:val="none"/>
                <w:lang w:val="zh-CN" w:eastAsia="zh-CN"/>
              </w:rPr>
              <w:t>采取严格的分区防腐防渗措施，防止因事故消防废水漫流通过下渗污染项目区周围地下水环境，避免对地下水造成环境污染；</w:t>
            </w:r>
          </w:p>
          <w:p w14:paraId="34561361">
            <w:pPr>
              <w:keepNext w:val="0"/>
              <w:keepLines w:val="0"/>
              <w:pageBreakBefore w:val="0"/>
              <w:widowControl/>
              <w:suppressLineNumbers w:val="0"/>
              <w:shd w:val="clear"/>
              <w:kinsoku/>
              <w:wordWrap/>
              <w:overflowPunct/>
              <w:topLinePunct w:val="0"/>
              <w:autoSpaceDE/>
              <w:autoSpaceDN/>
              <w:bidi w:val="0"/>
              <w:adjustRightInd/>
              <w:snapToGrid/>
              <w:spacing w:line="360" w:lineRule="auto"/>
              <w:ind w:firstLine="420" w:firstLineChars="200"/>
              <w:jc w:val="both"/>
              <w:textAlignment w:val="auto"/>
              <w:rPr>
                <w:rFonts w:hint="default" w:ascii="Times New Roman" w:hAnsi="Times New Roman" w:eastAsia="宋体" w:cs="Times New Roman"/>
                <w:color w:val="auto"/>
                <w:sz w:val="21"/>
                <w:szCs w:val="21"/>
                <w:highlight w:val="none"/>
                <w:lang w:val="zh-CN" w:eastAsia="zh-CN"/>
              </w:rPr>
            </w:pPr>
            <w:r>
              <w:rPr>
                <w:rFonts w:hint="default" w:ascii="Times New Roman" w:hAnsi="Times New Roman" w:eastAsia="宋体" w:cs="Times New Roman"/>
                <w:color w:val="auto"/>
                <w:sz w:val="21"/>
                <w:szCs w:val="21"/>
                <w:highlight w:val="none"/>
                <w:lang w:val="en-US" w:eastAsia="zh-CN"/>
              </w:rPr>
              <w:t>③</w:t>
            </w:r>
            <w:r>
              <w:rPr>
                <w:rFonts w:hint="default" w:ascii="Times New Roman" w:hAnsi="Times New Roman" w:eastAsia="宋体" w:cs="Times New Roman"/>
                <w:color w:val="auto"/>
                <w:sz w:val="21"/>
                <w:szCs w:val="21"/>
                <w:highlight w:val="none"/>
                <w:lang w:val="zh-CN" w:eastAsia="zh-CN"/>
              </w:rPr>
              <w:t>项目于厂内设置一般固体堆放场用于储存一般固体废物，地面为混凝土结构，并在相应的位置做好相应的标识。必须采取防扬散、防流失、防渗漏或者其他防止污染环境的措施，不得擅自倾倒、堆放、丢弃、遗撒固体废物，且不能相容的固废要分开储存，并在相应的位置做好相应的标识。</w:t>
            </w:r>
          </w:p>
          <w:p w14:paraId="1E884AAF">
            <w:pPr>
              <w:keepNext w:val="0"/>
              <w:keepLines w:val="0"/>
              <w:pageBreakBefore w:val="0"/>
              <w:widowControl/>
              <w:suppressLineNumbers w:val="0"/>
              <w:shd w:val="clear"/>
              <w:kinsoku/>
              <w:wordWrap/>
              <w:overflowPunct/>
              <w:topLinePunct w:val="0"/>
              <w:autoSpaceDE/>
              <w:autoSpaceDN/>
              <w:bidi w:val="0"/>
              <w:adjustRightInd/>
              <w:snapToGrid/>
              <w:spacing w:line="360" w:lineRule="auto"/>
              <w:ind w:firstLine="420" w:firstLineChars="200"/>
              <w:jc w:val="both"/>
              <w:textAlignment w:val="auto"/>
              <w:rPr>
                <w:rFonts w:hint="default" w:ascii="Times New Roman" w:hAnsi="Times New Roman" w:eastAsia="宋体" w:cs="Times New Roman"/>
                <w:color w:val="auto"/>
                <w:sz w:val="21"/>
                <w:szCs w:val="21"/>
                <w:highlight w:val="none"/>
                <w:lang w:val="zh-CN" w:eastAsia="zh-CN"/>
              </w:rPr>
            </w:pPr>
            <w:r>
              <w:rPr>
                <w:rFonts w:hint="default" w:ascii="Times New Roman" w:hAnsi="Times New Roman" w:eastAsia="宋体" w:cs="Times New Roman"/>
                <w:color w:val="auto"/>
                <w:sz w:val="21"/>
                <w:szCs w:val="21"/>
                <w:highlight w:val="none"/>
                <w:lang w:val="en-US" w:eastAsia="zh-CN"/>
              </w:rPr>
              <w:t>④</w:t>
            </w:r>
            <w:r>
              <w:rPr>
                <w:rFonts w:hint="default" w:ascii="Times New Roman" w:hAnsi="Times New Roman" w:eastAsia="宋体" w:cs="Times New Roman"/>
                <w:color w:val="auto"/>
                <w:sz w:val="21"/>
                <w:szCs w:val="21"/>
                <w:highlight w:val="none"/>
                <w:lang w:val="zh-CN" w:eastAsia="zh-CN"/>
              </w:rPr>
              <w:t>危险废物贮存于室内，不露天堆放，贮存场所按照《危险废物贮存污染控制标准》（GB18597</w:t>
            </w:r>
            <w:r>
              <w:rPr>
                <w:rFonts w:hint="default"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zh-CN" w:eastAsia="zh-CN"/>
              </w:rPr>
              <w:t>2023）中的规定建设，设置防雨淋、防渗漏、防流失措施，以防止危险废物或其淋滤液渗入地下或进入地表水体而污染地下水。</w:t>
            </w:r>
          </w:p>
          <w:p w14:paraId="70274094">
            <w:pPr>
              <w:keepNext w:val="0"/>
              <w:keepLines w:val="0"/>
              <w:pageBreakBefore w:val="0"/>
              <w:widowControl/>
              <w:suppressLineNumbers w:val="0"/>
              <w:shd w:val="clear"/>
              <w:kinsoku/>
              <w:wordWrap/>
              <w:overflowPunct/>
              <w:topLinePunct w:val="0"/>
              <w:autoSpaceDE/>
              <w:autoSpaceDN/>
              <w:bidi w:val="0"/>
              <w:adjustRightInd/>
              <w:snapToGrid/>
              <w:spacing w:line="360" w:lineRule="auto"/>
              <w:ind w:left="0" w:leftChars="0" w:firstLine="420" w:firstLineChars="200"/>
              <w:jc w:val="lef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⑤</w:t>
            </w:r>
            <w:r>
              <w:rPr>
                <w:rFonts w:hint="default" w:ascii="Times New Roman" w:hAnsi="Times New Roman" w:cs="Times New Roman"/>
                <w:color w:val="auto"/>
                <w:sz w:val="21"/>
                <w:szCs w:val="21"/>
                <w:highlight w:val="none"/>
                <w:lang w:val="en-US" w:eastAsia="zh-CN"/>
              </w:rPr>
              <w:t>项目酸雾废气经通风柜收集</w:t>
            </w:r>
            <w:r>
              <w:rPr>
                <w:rFonts w:hint="eastAsia" w:cs="Times New Roman"/>
                <w:color w:val="auto"/>
                <w:sz w:val="21"/>
                <w:szCs w:val="21"/>
                <w:highlight w:val="none"/>
                <w:lang w:val="en-US" w:eastAsia="zh-CN"/>
              </w:rPr>
              <w:t>后</w:t>
            </w:r>
            <w:r>
              <w:rPr>
                <w:rFonts w:hint="default" w:ascii="Times New Roman" w:hAnsi="Times New Roman" w:cs="Times New Roman"/>
                <w:color w:val="auto"/>
                <w:sz w:val="21"/>
                <w:szCs w:val="21"/>
                <w:highlight w:val="none"/>
                <w:lang w:val="en-US" w:eastAsia="zh-CN"/>
              </w:rPr>
              <w:t>，经碱液喷淋塔处理后通过G1排气筒排放；项目有机废气、粉尘废气一起经密闭车间+通风柜收集后汇入到1套</w:t>
            </w:r>
            <w:r>
              <w:rPr>
                <w:rFonts w:hint="eastAsia" w:cs="Times New Roman"/>
                <w:color w:val="auto"/>
                <w:sz w:val="21"/>
                <w:szCs w:val="21"/>
                <w:highlight w:val="none"/>
                <w:lang w:val="en-US" w:eastAsia="zh-CN"/>
              </w:rPr>
              <w:t>单</w:t>
            </w:r>
            <w:r>
              <w:rPr>
                <w:rFonts w:hint="default" w:ascii="Times New Roman" w:hAnsi="Times New Roman" w:cs="Times New Roman"/>
                <w:color w:val="auto"/>
                <w:sz w:val="21"/>
                <w:szCs w:val="21"/>
                <w:highlight w:val="none"/>
                <w:lang w:val="en-US" w:eastAsia="zh-CN"/>
              </w:rPr>
              <w:t>级活性炭吸附装置进行处理后经G2排气筒排放</w:t>
            </w:r>
            <w:r>
              <w:rPr>
                <w:rFonts w:hint="default" w:ascii="Times New Roman" w:hAnsi="Times New Roman" w:eastAsia="宋体" w:cs="Times New Roman"/>
                <w:color w:val="auto"/>
                <w:sz w:val="21"/>
                <w:szCs w:val="21"/>
                <w:highlight w:val="none"/>
                <w:lang w:val="en-US" w:eastAsia="zh-CN"/>
              </w:rPr>
              <w:t>。</w:t>
            </w:r>
          </w:p>
          <w:p w14:paraId="4CDFC89B">
            <w:pPr>
              <w:keepNext w:val="0"/>
              <w:keepLines w:val="0"/>
              <w:pageBreakBefore w:val="0"/>
              <w:widowControl/>
              <w:suppressLineNumbers w:val="0"/>
              <w:shd w:val="clear"/>
              <w:kinsoku/>
              <w:wordWrap/>
              <w:overflowPunct/>
              <w:topLinePunct w:val="0"/>
              <w:autoSpaceDE/>
              <w:autoSpaceDN/>
              <w:bidi w:val="0"/>
              <w:adjustRightInd/>
              <w:snapToGrid/>
              <w:spacing w:line="360" w:lineRule="auto"/>
              <w:ind w:firstLine="420" w:firstLineChars="200"/>
              <w:jc w:val="both"/>
              <w:textAlignment w:val="auto"/>
              <w:rPr>
                <w:rFonts w:hint="default" w:ascii="Times New Roman" w:hAnsi="Times New Roman" w:eastAsia="宋体" w:cs="Times New Roman"/>
                <w:color w:val="auto"/>
                <w:sz w:val="21"/>
                <w:szCs w:val="21"/>
                <w:highlight w:val="none"/>
                <w:lang w:val="zh-CN" w:eastAsia="zh-CN"/>
              </w:rPr>
            </w:pPr>
            <w:r>
              <w:rPr>
                <w:rFonts w:hint="default" w:ascii="Times New Roman" w:hAnsi="Times New Roman" w:eastAsia="宋体" w:cs="Times New Roman"/>
                <w:color w:val="auto"/>
                <w:sz w:val="21"/>
                <w:szCs w:val="21"/>
                <w:highlight w:val="none"/>
                <w:lang w:val="zh-CN" w:eastAsia="zh-CN"/>
              </w:rPr>
              <w:t>根据生态环境部“关于土壤破坏性监测问题”的回复。“根据建设项目实际情况，如果项目场地已经做了防腐防渗（包括硬化）处理无法取样，可不取样监测，但需详细说明无法取样原因”。根据广东省生态环境厅对“建设项目用地范围内已全部硬地化，不具备采样监测条件的，可采取拍照证明并在环评文件中体现，不进行厂区内用地范围的土壤现状监测”。</w:t>
            </w:r>
          </w:p>
          <w:p w14:paraId="27F39C70">
            <w:pPr>
              <w:keepNext w:val="0"/>
              <w:keepLines w:val="0"/>
              <w:pageBreakBefore w:val="0"/>
              <w:widowControl/>
              <w:suppressLineNumbers w:val="0"/>
              <w:shd w:val="clear"/>
              <w:kinsoku/>
              <w:wordWrap/>
              <w:overflowPunct/>
              <w:topLinePunct w:val="0"/>
              <w:autoSpaceDE/>
              <w:autoSpaceDN/>
              <w:bidi w:val="0"/>
              <w:adjustRightInd/>
              <w:snapToGrid/>
              <w:spacing w:line="360" w:lineRule="auto"/>
              <w:ind w:firstLine="420" w:firstLineChars="200"/>
              <w:jc w:val="both"/>
              <w:textAlignment w:val="auto"/>
              <w:rPr>
                <w:rFonts w:hint="default" w:ascii="Times New Roman" w:hAnsi="Times New Roman" w:eastAsia="宋体" w:cs="Times New Roman"/>
                <w:color w:val="auto"/>
                <w:sz w:val="21"/>
                <w:szCs w:val="21"/>
                <w:highlight w:val="none"/>
                <w:lang w:val="zh-CN" w:eastAsia="zh-CN"/>
              </w:rPr>
            </w:pPr>
            <w:r>
              <w:rPr>
                <w:rFonts w:hint="default" w:ascii="Times New Roman" w:hAnsi="Times New Roman" w:eastAsia="宋体" w:cs="Times New Roman"/>
                <w:color w:val="auto"/>
                <w:sz w:val="21"/>
                <w:szCs w:val="21"/>
                <w:highlight w:val="none"/>
                <w:lang w:val="zh-CN" w:eastAsia="zh-CN"/>
              </w:rPr>
              <w:t>根据现场勘查，项目厂房</w:t>
            </w:r>
            <w:r>
              <w:rPr>
                <w:rFonts w:hint="default" w:ascii="Times New Roman" w:hAnsi="Times New Roman" w:eastAsia="宋体" w:cs="Times New Roman"/>
                <w:color w:val="auto"/>
                <w:sz w:val="21"/>
                <w:szCs w:val="21"/>
                <w:highlight w:val="none"/>
                <w:lang w:val="en-US" w:eastAsia="zh-CN"/>
              </w:rPr>
              <w:t>已建成</w:t>
            </w:r>
            <w:r>
              <w:rPr>
                <w:rFonts w:hint="default" w:ascii="Times New Roman" w:hAnsi="Times New Roman" w:eastAsia="宋体" w:cs="Times New Roman"/>
                <w:color w:val="auto"/>
                <w:sz w:val="21"/>
                <w:szCs w:val="21"/>
                <w:highlight w:val="none"/>
                <w:lang w:val="zh-CN" w:eastAsia="zh-CN"/>
              </w:rPr>
              <w:t>，厂房内地面均为混凝土硬底化，因此不具备占地范围内土壤监测条件，各种地下水污染途径均经有效防治，不会对地下水环境造成较大的影响，不进行厂区土壤及地下水的环境质量现状监测。</w:t>
            </w:r>
          </w:p>
          <w:p w14:paraId="42BEA54D">
            <w:pPr>
              <w:pStyle w:val="79"/>
              <w:shd w:val="clear"/>
              <w:spacing w:line="360" w:lineRule="auto"/>
              <w:ind w:firstLine="430"/>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五、生态环境</w:t>
            </w:r>
          </w:p>
          <w:p w14:paraId="652556BF">
            <w:pPr>
              <w:shd w:val="clear"/>
              <w:adjustRightInd w:val="0"/>
              <w:snapToGrid w:val="0"/>
              <w:spacing w:line="360" w:lineRule="auto"/>
              <w:ind w:firstLine="420" w:firstLineChars="200"/>
              <w:jc w:val="left"/>
              <w:rPr>
                <w:rFonts w:hint="default" w:ascii="Times New Roman" w:hAnsi="Times New Roman" w:eastAsia="宋体" w:cs="Times New Roman"/>
                <w:color w:val="auto"/>
                <w:sz w:val="21"/>
                <w:szCs w:val="21"/>
                <w:highlight w:val="none"/>
                <w:lang w:val="zh-CN" w:eastAsia="zh-CN"/>
              </w:rPr>
            </w:pPr>
            <w:r>
              <w:rPr>
                <w:rFonts w:hint="default" w:ascii="Times New Roman" w:hAnsi="Times New Roman" w:eastAsia="宋体" w:cs="Times New Roman"/>
                <w:color w:val="auto"/>
                <w:sz w:val="21"/>
                <w:szCs w:val="21"/>
                <w:highlight w:val="none"/>
                <w:lang w:val="zh-CN" w:eastAsia="zh-CN"/>
              </w:rPr>
              <w:t>本项目建设项目用地范围内无生态环境保护目标，因此无需进行生态现状调查。</w:t>
            </w:r>
          </w:p>
          <w:p w14:paraId="7885AE23">
            <w:pPr>
              <w:pStyle w:val="79"/>
              <w:shd w:val="clear"/>
              <w:spacing w:line="360" w:lineRule="auto"/>
              <w:ind w:firstLine="430"/>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六、电磁辐射</w:t>
            </w:r>
          </w:p>
          <w:p w14:paraId="60FCF1E0">
            <w:pPr>
              <w:shd w:val="clear"/>
              <w:adjustRightInd w:val="0"/>
              <w:snapToGrid w:val="0"/>
              <w:spacing w:line="360" w:lineRule="auto"/>
              <w:ind w:firstLine="420" w:firstLineChars="200"/>
              <w:jc w:val="left"/>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无</w:t>
            </w:r>
          </w:p>
        </w:tc>
      </w:tr>
      <w:tr w14:paraId="76CC0B7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01" w:type="dxa"/>
            <w:noWrap w:val="0"/>
            <w:vAlign w:val="center"/>
          </w:tcPr>
          <w:p w14:paraId="6136EBFD">
            <w:pPr>
              <w:shd w:val="clea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环境保护目标</w:t>
            </w:r>
          </w:p>
        </w:tc>
        <w:tc>
          <w:tcPr>
            <w:tcW w:w="8660" w:type="dxa"/>
            <w:noWrap w:val="0"/>
            <w:vAlign w:val="center"/>
          </w:tcPr>
          <w:p w14:paraId="6B488F53">
            <w:pPr>
              <w:shd w:val="clear"/>
              <w:tabs>
                <w:tab w:val="left" w:pos="302"/>
              </w:tabs>
              <w:snapToGrid w:val="0"/>
              <w:spacing w:line="360" w:lineRule="auto"/>
              <w:ind w:firstLine="482" w:firstLineChars="200"/>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一、</w:t>
            </w:r>
            <w:r>
              <w:rPr>
                <w:rFonts w:hint="default" w:ascii="Times New Roman" w:hAnsi="Times New Roman" w:eastAsia="宋体" w:cs="Times New Roman"/>
                <w:b/>
                <w:bCs/>
                <w:color w:val="auto"/>
                <w:sz w:val="24"/>
                <w:szCs w:val="24"/>
                <w:highlight w:val="none"/>
                <w:lang w:val="en-US" w:eastAsia="zh-CN"/>
              </w:rPr>
              <w:t>地表水</w:t>
            </w:r>
            <w:r>
              <w:rPr>
                <w:rFonts w:hint="default" w:ascii="Times New Roman" w:hAnsi="Times New Roman" w:eastAsia="宋体" w:cs="Times New Roman"/>
                <w:b/>
                <w:bCs/>
                <w:color w:val="auto"/>
                <w:sz w:val="24"/>
                <w:szCs w:val="24"/>
                <w:highlight w:val="none"/>
              </w:rPr>
              <w:t>保护目标</w:t>
            </w:r>
          </w:p>
          <w:p w14:paraId="76EE16F1">
            <w:pPr>
              <w:shd w:val="clear"/>
              <w:tabs>
                <w:tab w:val="left" w:pos="302"/>
              </w:tabs>
              <w:snapToGrid w:val="0"/>
              <w:spacing w:line="360" w:lineRule="auto"/>
              <w:ind w:firstLine="420" w:firstLineChars="20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水环境保护目标是在本项目建成后周围的河流水质不受明显的影响，生活污水经三级化粪池预处理后，经管道排入</w:t>
            </w:r>
            <w:r>
              <w:rPr>
                <w:rFonts w:hint="eastAsia" w:cs="Times New Roman"/>
                <w:color w:val="auto"/>
                <w:sz w:val="21"/>
                <w:szCs w:val="21"/>
                <w:highlight w:val="none"/>
                <w:lang w:val="zh-CN"/>
              </w:rPr>
              <w:t>中山市珍家山污水处理有限公司</w:t>
            </w:r>
            <w:r>
              <w:rPr>
                <w:rFonts w:hint="default" w:ascii="Times New Roman" w:hAnsi="Times New Roman" w:eastAsia="宋体" w:cs="Times New Roman"/>
                <w:color w:val="auto"/>
                <w:sz w:val="21"/>
                <w:szCs w:val="21"/>
                <w:highlight w:val="none"/>
                <w:lang w:val="en-US" w:eastAsia="zh-CN"/>
              </w:rPr>
              <w:t>处理，故项目对周边水环境影响不大。项目周围无饮用水水源保护区、饮用水取水口、涉水的自然保护区、风景名胜区等水环境保护目标。</w:t>
            </w:r>
          </w:p>
          <w:p w14:paraId="3D54C1A3">
            <w:pPr>
              <w:shd w:val="clear"/>
              <w:tabs>
                <w:tab w:val="left" w:pos="302"/>
              </w:tabs>
              <w:snapToGrid w:val="0"/>
              <w:spacing w:line="360" w:lineRule="auto"/>
              <w:ind w:firstLine="482" w:firstLineChars="200"/>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二、</w:t>
            </w:r>
            <w:r>
              <w:rPr>
                <w:rFonts w:hint="default" w:ascii="Times New Roman" w:hAnsi="Times New Roman" w:eastAsia="宋体" w:cs="Times New Roman"/>
                <w:b/>
                <w:bCs/>
                <w:color w:val="auto"/>
                <w:sz w:val="24"/>
                <w:szCs w:val="24"/>
                <w:highlight w:val="none"/>
                <w:lang w:val="en-US" w:eastAsia="zh-CN"/>
              </w:rPr>
              <w:t>大气环境</w:t>
            </w:r>
            <w:r>
              <w:rPr>
                <w:rFonts w:hint="default" w:ascii="Times New Roman" w:hAnsi="Times New Roman" w:eastAsia="宋体" w:cs="Times New Roman"/>
                <w:b/>
                <w:bCs/>
                <w:color w:val="auto"/>
                <w:sz w:val="24"/>
                <w:szCs w:val="24"/>
                <w:highlight w:val="none"/>
              </w:rPr>
              <w:t>保护目标</w:t>
            </w:r>
          </w:p>
          <w:p w14:paraId="29DD0A87">
            <w:pPr>
              <w:keepNext w:val="0"/>
              <w:keepLines w:val="0"/>
              <w:widowControl/>
              <w:suppressLineNumbers w:val="0"/>
              <w:shd w:val="clear"/>
              <w:spacing w:line="360" w:lineRule="auto"/>
              <w:ind w:firstLine="420" w:firstLineChars="200"/>
              <w:jc w:val="left"/>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rPr>
              <w:t>环境空气保护目标是周围地区的环境在项目建成后不受明显影响，保护该区域环境空气质量符合《环境空气质量标准》（GB3095-20</w:t>
            </w:r>
            <w:r>
              <w:rPr>
                <w:rFonts w:hint="eastAsia" w:cs="Times New Roman"/>
                <w:color w:val="auto"/>
                <w:sz w:val="21"/>
                <w:szCs w:val="21"/>
                <w:highlight w:val="none"/>
                <w:lang w:val="en-US" w:eastAsia="zh-CN"/>
              </w:rPr>
              <w:t>26</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过渡阶段浓度限值中的二级标准</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kern w:val="0"/>
                <w:sz w:val="21"/>
                <w:szCs w:val="21"/>
                <w:highlight w:val="none"/>
                <w:lang w:val="en-US" w:eastAsia="zh-CN" w:bidi="ar"/>
              </w:rPr>
              <w:t>大气评价范围500米内大气环境敏感点情况见下表。</w:t>
            </w:r>
          </w:p>
          <w:p w14:paraId="1F77B1D6">
            <w:pPr>
              <w:keepNext w:val="0"/>
              <w:keepLines w:val="0"/>
              <w:widowControl/>
              <w:suppressLineNumbers w:val="0"/>
              <w:shd w:val="clear"/>
              <w:spacing w:line="360" w:lineRule="auto"/>
              <w:jc w:val="cente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b/>
                <w:color w:val="auto"/>
                <w:kern w:val="2"/>
                <w:sz w:val="24"/>
                <w:szCs w:val="24"/>
                <w:highlight w:val="none"/>
                <w:lang w:val="en-US" w:eastAsia="zh-CN" w:bidi="ar-SA"/>
              </w:rPr>
              <w:t>表1</w:t>
            </w:r>
            <w:r>
              <w:rPr>
                <w:rFonts w:hint="eastAsia" w:cs="Times New Roman"/>
                <w:b/>
                <w:color w:val="auto"/>
                <w:kern w:val="2"/>
                <w:sz w:val="24"/>
                <w:szCs w:val="24"/>
                <w:highlight w:val="none"/>
                <w:lang w:val="en-US" w:eastAsia="zh-CN" w:bidi="ar-SA"/>
              </w:rPr>
              <w:t>5</w:t>
            </w:r>
            <w:r>
              <w:rPr>
                <w:rFonts w:hint="default" w:ascii="Times New Roman" w:hAnsi="Times New Roman" w:eastAsia="宋体" w:cs="Times New Roman"/>
                <w:b/>
                <w:bCs/>
                <w:color w:val="auto"/>
                <w:kern w:val="0"/>
                <w:sz w:val="24"/>
                <w:szCs w:val="24"/>
                <w:highlight w:val="none"/>
                <w:lang w:val="en-US" w:eastAsia="zh-CN" w:bidi="ar"/>
              </w:rPr>
              <w:t>建设项目主要大气环境敏感点一览表</w:t>
            </w:r>
          </w:p>
          <w:tbl>
            <w:tblPr>
              <w:tblStyle w:val="33"/>
              <w:tblW w:w="8295"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272"/>
              <w:gridCol w:w="1193"/>
              <w:gridCol w:w="1009"/>
              <w:gridCol w:w="470"/>
              <w:gridCol w:w="928"/>
              <w:gridCol w:w="1827"/>
              <w:gridCol w:w="805"/>
              <w:gridCol w:w="791"/>
            </w:tblGrid>
            <w:tr w14:paraId="1514E13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6" w:hRule="atLeast"/>
                <w:jc w:val="center"/>
              </w:trPr>
              <w:tc>
                <w:tcPr>
                  <w:tcW w:w="1272" w:type="dxa"/>
                  <w:vMerge w:val="restart"/>
                  <w:tcBorders>
                    <w:top w:val="single" w:color="000000" w:sz="4" w:space="0"/>
                    <w:left w:val="single" w:color="000000" w:sz="4" w:space="0"/>
                    <w:bottom w:val="single" w:color="000000" w:sz="4" w:space="0"/>
                    <w:right w:val="single" w:color="000000" w:sz="4" w:space="0"/>
                  </w:tcBorders>
                  <w:noWrap/>
                  <w:vAlign w:val="center"/>
                </w:tcPr>
                <w:p w14:paraId="3EB9618C">
                  <w:pPr>
                    <w:keepNext w:val="0"/>
                    <w:keepLines w:val="0"/>
                    <w:widowControl/>
                    <w:suppressLineNumbers w:val="0"/>
                    <w:shd w:val="clear"/>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敏感点名称</w:t>
                  </w:r>
                </w:p>
              </w:tc>
              <w:tc>
                <w:tcPr>
                  <w:tcW w:w="2202" w:type="dxa"/>
                  <w:gridSpan w:val="2"/>
                  <w:tcBorders>
                    <w:top w:val="single" w:color="000000" w:sz="4" w:space="0"/>
                    <w:left w:val="single" w:color="000000" w:sz="4" w:space="0"/>
                    <w:bottom w:val="single" w:color="000000" w:sz="4" w:space="0"/>
                    <w:right w:val="single" w:color="000000" w:sz="4" w:space="0"/>
                  </w:tcBorders>
                  <w:noWrap/>
                  <w:vAlign w:val="center"/>
                </w:tcPr>
                <w:p w14:paraId="2CB7323F">
                  <w:pPr>
                    <w:keepNext w:val="0"/>
                    <w:keepLines w:val="0"/>
                    <w:widowControl/>
                    <w:suppressLineNumbers w:val="0"/>
                    <w:shd w:val="clear"/>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坐标</w:t>
                  </w:r>
                </w:p>
              </w:tc>
              <w:tc>
                <w:tcPr>
                  <w:tcW w:w="470" w:type="dxa"/>
                  <w:vMerge w:val="restart"/>
                  <w:tcBorders>
                    <w:top w:val="single" w:color="000000" w:sz="4" w:space="0"/>
                    <w:left w:val="single" w:color="000000" w:sz="4" w:space="0"/>
                    <w:bottom w:val="single" w:color="000000" w:sz="4" w:space="0"/>
                    <w:right w:val="single" w:color="000000" w:sz="4" w:space="0"/>
                  </w:tcBorders>
                  <w:noWrap/>
                  <w:vAlign w:val="center"/>
                </w:tcPr>
                <w:p w14:paraId="422AF921">
                  <w:pPr>
                    <w:keepNext w:val="0"/>
                    <w:keepLines w:val="0"/>
                    <w:widowControl/>
                    <w:suppressLineNumbers w:val="0"/>
                    <w:shd w:val="clear"/>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保护对象</w:t>
                  </w:r>
                </w:p>
              </w:tc>
              <w:tc>
                <w:tcPr>
                  <w:tcW w:w="928" w:type="dxa"/>
                  <w:vMerge w:val="restart"/>
                  <w:tcBorders>
                    <w:top w:val="single" w:color="000000" w:sz="4" w:space="0"/>
                    <w:left w:val="single" w:color="000000" w:sz="4" w:space="0"/>
                    <w:bottom w:val="single" w:color="000000" w:sz="4" w:space="0"/>
                    <w:right w:val="single" w:color="000000" w:sz="4" w:space="0"/>
                  </w:tcBorders>
                  <w:noWrap/>
                  <w:vAlign w:val="center"/>
                </w:tcPr>
                <w:p w14:paraId="58757804">
                  <w:pPr>
                    <w:keepNext w:val="0"/>
                    <w:keepLines w:val="0"/>
                    <w:widowControl/>
                    <w:suppressLineNumbers w:val="0"/>
                    <w:shd w:val="clear"/>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保护内容</w:t>
                  </w:r>
                </w:p>
              </w:tc>
              <w:tc>
                <w:tcPr>
                  <w:tcW w:w="1827" w:type="dxa"/>
                  <w:vMerge w:val="restart"/>
                  <w:tcBorders>
                    <w:top w:val="single" w:color="000000" w:sz="4" w:space="0"/>
                    <w:left w:val="single" w:color="000000" w:sz="4" w:space="0"/>
                    <w:bottom w:val="single" w:color="000000" w:sz="4" w:space="0"/>
                    <w:right w:val="single" w:color="000000" w:sz="4" w:space="0"/>
                  </w:tcBorders>
                  <w:noWrap/>
                  <w:vAlign w:val="center"/>
                </w:tcPr>
                <w:p w14:paraId="7634B5E0">
                  <w:pPr>
                    <w:keepNext w:val="0"/>
                    <w:keepLines w:val="0"/>
                    <w:widowControl/>
                    <w:suppressLineNumbers w:val="0"/>
                    <w:shd w:val="clear"/>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环境功能区</w:t>
                  </w:r>
                </w:p>
              </w:tc>
              <w:tc>
                <w:tcPr>
                  <w:tcW w:w="805" w:type="dxa"/>
                  <w:vMerge w:val="restart"/>
                  <w:tcBorders>
                    <w:top w:val="single" w:color="000000" w:sz="4" w:space="0"/>
                    <w:left w:val="single" w:color="000000" w:sz="4" w:space="0"/>
                    <w:bottom w:val="single" w:color="000000" w:sz="4" w:space="0"/>
                    <w:right w:val="single" w:color="000000" w:sz="4" w:space="0"/>
                  </w:tcBorders>
                  <w:noWrap/>
                  <w:vAlign w:val="center"/>
                </w:tcPr>
                <w:p w14:paraId="21BB02C2">
                  <w:pPr>
                    <w:keepNext w:val="0"/>
                    <w:keepLines w:val="0"/>
                    <w:widowControl/>
                    <w:suppressLineNumbers w:val="0"/>
                    <w:shd w:val="clear"/>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相对厂址方位</w:t>
                  </w:r>
                </w:p>
              </w:tc>
              <w:tc>
                <w:tcPr>
                  <w:tcW w:w="791" w:type="dxa"/>
                  <w:vMerge w:val="restart"/>
                  <w:tcBorders>
                    <w:top w:val="single" w:color="000000" w:sz="4" w:space="0"/>
                    <w:left w:val="single" w:color="000000" w:sz="4" w:space="0"/>
                    <w:bottom w:val="single" w:color="000000" w:sz="4" w:space="0"/>
                    <w:right w:val="single" w:color="000000" w:sz="4" w:space="0"/>
                  </w:tcBorders>
                  <w:noWrap/>
                  <w:vAlign w:val="center"/>
                </w:tcPr>
                <w:p w14:paraId="22F4EB72">
                  <w:pPr>
                    <w:keepNext w:val="0"/>
                    <w:keepLines w:val="0"/>
                    <w:widowControl/>
                    <w:suppressLineNumbers w:val="0"/>
                    <w:shd w:val="clear"/>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lang w:val="en-US"/>
                    </w:rPr>
                  </w:pPr>
                  <w:r>
                    <w:rPr>
                      <w:rFonts w:hint="default" w:ascii="Times New Roman" w:hAnsi="Times New Roman" w:eastAsia="宋体" w:cs="Times New Roman"/>
                      <w:b/>
                      <w:bCs/>
                      <w:i w:val="0"/>
                      <w:iCs w:val="0"/>
                      <w:color w:val="auto"/>
                      <w:kern w:val="0"/>
                      <w:sz w:val="21"/>
                      <w:szCs w:val="21"/>
                      <w:highlight w:val="none"/>
                      <w:u w:val="none"/>
                      <w:lang w:val="en-US" w:eastAsia="zh-CN" w:bidi="ar"/>
                    </w:rPr>
                    <w:t>最近距离/m</w:t>
                  </w:r>
                </w:p>
              </w:tc>
            </w:tr>
            <w:tr w14:paraId="0044749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6" w:hRule="atLeast"/>
                <w:jc w:val="center"/>
              </w:trPr>
              <w:tc>
                <w:tcPr>
                  <w:tcW w:w="1272" w:type="dxa"/>
                  <w:vMerge w:val="continue"/>
                  <w:tcBorders>
                    <w:top w:val="single" w:color="000000" w:sz="4" w:space="0"/>
                    <w:left w:val="single" w:color="000000" w:sz="4" w:space="0"/>
                    <w:bottom w:val="single" w:color="000000" w:sz="4" w:space="0"/>
                    <w:right w:val="single" w:color="000000" w:sz="4" w:space="0"/>
                  </w:tcBorders>
                  <w:noWrap/>
                  <w:vAlign w:val="center"/>
                </w:tcPr>
                <w:p w14:paraId="4E8A449B">
                  <w:pPr>
                    <w:shd w:val="clear"/>
                    <w:spacing w:line="240" w:lineRule="auto"/>
                    <w:jc w:val="center"/>
                    <w:rPr>
                      <w:rFonts w:hint="default" w:ascii="Times New Roman" w:hAnsi="Times New Roman" w:eastAsia="宋体" w:cs="Times New Roman"/>
                      <w:i w:val="0"/>
                      <w:iCs w:val="0"/>
                      <w:color w:val="auto"/>
                      <w:sz w:val="21"/>
                      <w:szCs w:val="21"/>
                      <w:highlight w:val="none"/>
                      <w:u w:val="none"/>
                    </w:rPr>
                  </w:pPr>
                </w:p>
              </w:tc>
              <w:tc>
                <w:tcPr>
                  <w:tcW w:w="1193" w:type="dxa"/>
                  <w:tcBorders>
                    <w:top w:val="single" w:color="000000" w:sz="4" w:space="0"/>
                    <w:left w:val="single" w:color="000000" w:sz="4" w:space="0"/>
                    <w:bottom w:val="single" w:color="000000" w:sz="4" w:space="0"/>
                    <w:right w:val="single" w:color="000000" w:sz="4" w:space="0"/>
                  </w:tcBorders>
                  <w:noWrap/>
                  <w:vAlign w:val="center"/>
                </w:tcPr>
                <w:p w14:paraId="1017A852">
                  <w:pPr>
                    <w:keepNext w:val="0"/>
                    <w:keepLines w:val="0"/>
                    <w:widowControl/>
                    <w:suppressLineNumbers w:val="0"/>
                    <w:shd w:val="clear"/>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X</w:t>
                  </w:r>
                </w:p>
              </w:tc>
              <w:tc>
                <w:tcPr>
                  <w:tcW w:w="1009" w:type="dxa"/>
                  <w:tcBorders>
                    <w:top w:val="single" w:color="000000" w:sz="4" w:space="0"/>
                    <w:left w:val="single" w:color="000000" w:sz="4" w:space="0"/>
                    <w:bottom w:val="single" w:color="000000" w:sz="4" w:space="0"/>
                    <w:right w:val="single" w:color="000000" w:sz="4" w:space="0"/>
                  </w:tcBorders>
                  <w:noWrap/>
                  <w:vAlign w:val="center"/>
                </w:tcPr>
                <w:p w14:paraId="3802D5D2">
                  <w:pPr>
                    <w:keepNext w:val="0"/>
                    <w:keepLines w:val="0"/>
                    <w:widowControl/>
                    <w:suppressLineNumbers w:val="0"/>
                    <w:shd w:val="clear"/>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lang w:val="en-US" w:eastAsia="zh-CN"/>
                    </w:rPr>
                  </w:pPr>
                  <w:r>
                    <w:rPr>
                      <w:rFonts w:hint="default" w:ascii="Times New Roman" w:hAnsi="Times New Roman" w:cs="Times New Roman"/>
                      <w:b/>
                      <w:bCs/>
                      <w:i w:val="0"/>
                      <w:iCs w:val="0"/>
                      <w:color w:val="auto"/>
                      <w:sz w:val="21"/>
                      <w:szCs w:val="21"/>
                      <w:highlight w:val="none"/>
                      <w:u w:val="none"/>
                      <w:lang w:val="en-US" w:eastAsia="zh-CN"/>
                    </w:rPr>
                    <w:t>Y</w:t>
                  </w:r>
                </w:p>
              </w:tc>
              <w:tc>
                <w:tcPr>
                  <w:tcW w:w="470" w:type="dxa"/>
                  <w:vMerge w:val="continue"/>
                  <w:tcBorders>
                    <w:top w:val="single" w:color="000000" w:sz="4" w:space="0"/>
                    <w:left w:val="single" w:color="000000" w:sz="4" w:space="0"/>
                    <w:bottom w:val="single" w:color="000000" w:sz="4" w:space="0"/>
                    <w:right w:val="single" w:color="000000" w:sz="4" w:space="0"/>
                  </w:tcBorders>
                  <w:noWrap/>
                  <w:vAlign w:val="center"/>
                </w:tcPr>
                <w:p w14:paraId="066E300B">
                  <w:pPr>
                    <w:shd w:val="clear"/>
                    <w:spacing w:line="240" w:lineRule="auto"/>
                    <w:jc w:val="center"/>
                    <w:rPr>
                      <w:rFonts w:hint="default" w:ascii="Times New Roman" w:hAnsi="Times New Roman" w:eastAsia="宋体" w:cs="Times New Roman"/>
                      <w:i w:val="0"/>
                      <w:iCs w:val="0"/>
                      <w:color w:val="auto"/>
                      <w:sz w:val="21"/>
                      <w:szCs w:val="21"/>
                      <w:highlight w:val="none"/>
                      <w:u w:val="none"/>
                    </w:rPr>
                  </w:pPr>
                </w:p>
              </w:tc>
              <w:tc>
                <w:tcPr>
                  <w:tcW w:w="928" w:type="dxa"/>
                  <w:vMerge w:val="continue"/>
                  <w:tcBorders>
                    <w:top w:val="single" w:color="000000" w:sz="4" w:space="0"/>
                    <w:left w:val="single" w:color="000000" w:sz="4" w:space="0"/>
                    <w:bottom w:val="single" w:color="000000" w:sz="4" w:space="0"/>
                    <w:right w:val="single" w:color="000000" w:sz="4" w:space="0"/>
                  </w:tcBorders>
                  <w:noWrap/>
                  <w:vAlign w:val="center"/>
                </w:tcPr>
                <w:p w14:paraId="24294A16">
                  <w:pPr>
                    <w:shd w:val="clear"/>
                    <w:spacing w:line="240" w:lineRule="auto"/>
                    <w:jc w:val="center"/>
                    <w:rPr>
                      <w:rFonts w:hint="default" w:ascii="Times New Roman" w:hAnsi="Times New Roman" w:eastAsia="宋体" w:cs="Times New Roman"/>
                      <w:i w:val="0"/>
                      <w:iCs w:val="0"/>
                      <w:color w:val="auto"/>
                      <w:sz w:val="21"/>
                      <w:szCs w:val="21"/>
                      <w:highlight w:val="none"/>
                      <w:u w:val="none"/>
                    </w:rPr>
                  </w:pPr>
                </w:p>
              </w:tc>
              <w:tc>
                <w:tcPr>
                  <w:tcW w:w="1827" w:type="dxa"/>
                  <w:vMerge w:val="continue"/>
                  <w:tcBorders>
                    <w:top w:val="single" w:color="000000" w:sz="4" w:space="0"/>
                    <w:left w:val="single" w:color="000000" w:sz="4" w:space="0"/>
                    <w:bottom w:val="single" w:color="000000" w:sz="4" w:space="0"/>
                    <w:right w:val="single" w:color="000000" w:sz="4" w:space="0"/>
                  </w:tcBorders>
                  <w:noWrap/>
                  <w:vAlign w:val="center"/>
                </w:tcPr>
                <w:p w14:paraId="0552B41A">
                  <w:pPr>
                    <w:shd w:val="clear"/>
                    <w:spacing w:line="240" w:lineRule="auto"/>
                    <w:jc w:val="center"/>
                    <w:rPr>
                      <w:rFonts w:hint="default" w:ascii="Times New Roman" w:hAnsi="Times New Roman" w:eastAsia="宋体" w:cs="Times New Roman"/>
                      <w:i w:val="0"/>
                      <w:iCs w:val="0"/>
                      <w:color w:val="auto"/>
                      <w:sz w:val="21"/>
                      <w:szCs w:val="21"/>
                      <w:highlight w:val="none"/>
                      <w:u w:val="none"/>
                    </w:rPr>
                  </w:pPr>
                </w:p>
              </w:tc>
              <w:tc>
                <w:tcPr>
                  <w:tcW w:w="805" w:type="dxa"/>
                  <w:vMerge w:val="continue"/>
                  <w:tcBorders>
                    <w:top w:val="single" w:color="000000" w:sz="4" w:space="0"/>
                    <w:left w:val="single" w:color="000000" w:sz="4" w:space="0"/>
                    <w:bottom w:val="single" w:color="000000" w:sz="4" w:space="0"/>
                    <w:right w:val="single" w:color="000000" w:sz="4" w:space="0"/>
                  </w:tcBorders>
                  <w:noWrap/>
                  <w:vAlign w:val="center"/>
                </w:tcPr>
                <w:p w14:paraId="45315B1B">
                  <w:pPr>
                    <w:shd w:val="clear"/>
                    <w:spacing w:line="240" w:lineRule="auto"/>
                    <w:jc w:val="center"/>
                    <w:rPr>
                      <w:rFonts w:hint="default" w:ascii="Times New Roman" w:hAnsi="Times New Roman" w:eastAsia="宋体" w:cs="Times New Roman"/>
                      <w:i w:val="0"/>
                      <w:iCs w:val="0"/>
                      <w:color w:val="auto"/>
                      <w:sz w:val="21"/>
                      <w:szCs w:val="21"/>
                      <w:highlight w:val="none"/>
                      <w:u w:val="none"/>
                    </w:rPr>
                  </w:pPr>
                </w:p>
              </w:tc>
              <w:tc>
                <w:tcPr>
                  <w:tcW w:w="791" w:type="dxa"/>
                  <w:vMerge w:val="continue"/>
                  <w:tcBorders>
                    <w:top w:val="single" w:color="000000" w:sz="4" w:space="0"/>
                    <w:left w:val="single" w:color="000000" w:sz="4" w:space="0"/>
                    <w:bottom w:val="single" w:color="000000" w:sz="4" w:space="0"/>
                    <w:right w:val="single" w:color="000000" w:sz="4" w:space="0"/>
                  </w:tcBorders>
                  <w:noWrap/>
                  <w:vAlign w:val="center"/>
                </w:tcPr>
                <w:p w14:paraId="7500B56B">
                  <w:pPr>
                    <w:shd w:val="clear"/>
                    <w:spacing w:line="240" w:lineRule="auto"/>
                    <w:jc w:val="center"/>
                    <w:rPr>
                      <w:rFonts w:hint="default" w:ascii="Times New Roman" w:hAnsi="Times New Roman" w:eastAsia="宋体" w:cs="Times New Roman"/>
                      <w:i w:val="0"/>
                      <w:iCs w:val="0"/>
                      <w:color w:val="auto"/>
                      <w:sz w:val="21"/>
                      <w:szCs w:val="21"/>
                      <w:highlight w:val="none"/>
                      <w:u w:val="none"/>
                    </w:rPr>
                  </w:pPr>
                </w:p>
              </w:tc>
            </w:tr>
            <w:tr w14:paraId="5A1DF50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1272" w:type="dxa"/>
                  <w:vMerge w:val="restart"/>
                  <w:tcBorders>
                    <w:top w:val="single" w:color="000000" w:sz="4" w:space="0"/>
                    <w:left w:val="single" w:color="000000" w:sz="4" w:space="0"/>
                    <w:right w:val="single" w:color="000000" w:sz="4" w:space="0"/>
                  </w:tcBorders>
                  <w:noWrap/>
                  <w:vAlign w:val="center"/>
                </w:tcPr>
                <w:p w14:paraId="35A3BA30">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融创东城首府</w:t>
                  </w:r>
                </w:p>
              </w:tc>
              <w:tc>
                <w:tcPr>
                  <w:tcW w:w="1193" w:type="dxa"/>
                  <w:vMerge w:val="restart"/>
                  <w:tcBorders>
                    <w:top w:val="single" w:color="000000" w:sz="4" w:space="0"/>
                    <w:left w:val="single" w:color="000000" w:sz="4" w:space="0"/>
                    <w:right w:val="single" w:color="000000" w:sz="4" w:space="0"/>
                  </w:tcBorders>
                  <w:noWrap/>
                  <w:vAlign w:val="center"/>
                </w:tcPr>
                <w:p w14:paraId="0733E9F6">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113.</w:t>
                  </w:r>
                  <w:r>
                    <w:rPr>
                      <w:rFonts w:hint="eastAsia" w:cs="Times New Roman"/>
                      <w:i w:val="0"/>
                      <w:iCs w:val="0"/>
                      <w:color w:val="auto"/>
                      <w:sz w:val="21"/>
                      <w:szCs w:val="21"/>
                      <w:highlight w:val="none"/>
                      <w:u w:val="none"/>
                      <w:lang w:val="en-US" w:eastAsia="zh-CN"/>
                    </w:rPr>
                    <w:t>44182</w:t>
                  </w:r>
                </w:p>
              </w:tc>
              <w:tc>
                <w:tcPr>
                  <w:tcW w:w="1009" w:type="dxa"/>
                  <w:vMerge w:val="restart"/>
                  <w:tcBorders>
                    <w:top w:val="single" w:color="000000" w:sz="4" w:space="0"/>
                    <w:left w:val="single" w:color="000000" w:sz="4" w:space="0"/>
                    <w:right w:val="single" w:color="000000" w:sz="4" w:space="0"/>
                  </w:tcBorders>
                  <w:noWrap/>
                  <w:vAlign w:val="center"/>
                </w:tcPr>
                <w:p w14:paraId="1413382B">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22.</w:t>
                  </w:r>
                  <w:r>
                    <w:rPr>
                      <w:rFonts w:hint="eastAsia" w:cs="Times New Roman"/>
                      <w:i w:val="0"/>
                      <w:iCs w:val="0"/>
                      <w:color w:val="auto"/>
                      <w:sz w:val="21"/>
                      <w:szCs w:val="21"/>
                      <w:highlight w:val="none"/>
                      <w:u w:val="none"/>
                      <w:lang w:val="en-US" w:eastAsia="zh-CN"/>
                    </w:rPr>
                    <w:t>55738</w:t>
                  </w:r>
                </w:p>
              </w:tc>
              <w:tc>
                <w:tcPr>
                  <w:tcW w:w="470" w:type="dxa"/>
                  <w:vMerge w:val="restart"/>
                  <w:tcBorders>
                    <w:top w:val="single" w:color="000000" w:sz="4" w:space="0"/>
                    <w:left w:val="single" w:color="000000" w:sz="4" w:space="0"/>
                    <w:right w:val="single" w:color="000000" w:sz="4" w:space="0"/>
                  </w:tcBorders>
                  <w:noWrap/>
                  <w:vAlign w:val="center"/>
                </w:tcPr>
                <w:p w14:paraId="500CF9E8">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居民</w:t>
                  </w:r>
                </w:p>
              </w:tc>
              <w:tc>
                <w:tcPr>
                  <w:tcW w:w="928" w:type="dxa"/>
                  <w:vMerge w:val="restart"/>
                  <w:tcBorders>
                    <w:top w:val="single" w:color="000000" w:sz="4" w:space="0"/>
                    <w:left w:val="single" w:color="000000" w:sz="4" w:space="0"/>
                    <w:right w:val="single" w:color="000000" w:sz="4" w:space="0"/>
                  </w:tcBorders>
                  <w:noWrap/>
                  <w:vAlign w:val="center"/>
                </w:tcPr>
                <w:p w14:paraId="1E16EE15">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大气环境</w:t>
                  </w:r>
                </w:p>
              </w:tc>
              <w:tc>
                <w:tcPr>
                  <w:tcW w:w="1827" w:type="dxa"/>
                  <w:vMerge w:val="restart"/>
                  <w:tcBorders>
                    <w:top w:val="single" w:color="000000" w:sz="4" w:space="0"/>
                    <w:left w:val="single" w:color="000000" w:sz="4" w:space="0"/>
                    <w:right w:val="single" w:color="000000" w:sz="4" w:space="0"/>
                  </w:tcBorders>
                  <w:noWrap/>
                  <w:vAlign w:val="center"/>
                </w:tcPr>
                <w:p w14:paraId="3B3D9926">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color w:val="auto"/>
                      <w:sz w:val="21"/>
                      <w:szCs w:val="21"/>
                      <w:highlight w:val="none"/>
                    </w:rPr>
                    <w:t>《环境空气质量标准》(GB3095-20</w:t>
                  </w:r>
                  <w:r>
                    <w:rPr>
                      <w:rFonts w:hint="eastAsia" w:cs="Times New Roman"/>
                      <w:color w:val="auto"/>
                      <w:sz w:val="21"/>
                      <w:szCs w:val="21"/>
                      <w:highlight w:val="none"/>
                      <w:lang w:val="en-US" w:eastAsia="zh-CN"/>
                    </w:rPr>
                    <w:t>26</w:t>
                  </w:r>
                  <w:r>
                    <w:rPr>
                      <w:rFonts w:hint="default" w:ascii="Times New Roman" w:hAnsi="Times New Roman" w:eastAsia="宋体" w:cs="Times New Roman"/>
                      <w:color w:val="auto"/>
                      <w:sz w:val="21"/>
                      <w:szCs w:val="21"/>
                      <w:highlight w:val="none"/>
                    </w:rPr>
                    <w:t>)</w:t>
                  </w:r>
                  <w:r>
                    <w:rPr>
                      <w:rFonts w:hint="eastAsia" w:cs="Times New Roman"/>
                      <w:color w:val="auto"/>
                      <w:sz w:val="21"/>
                      <w:szCs w:val="21"/>
                      <w:highlight w:val="none"/>
                      <w:lang w:val="en-US" w:eastAsia="zh-CN"/>
                    </w:rPr>
                    <w:t>过渡阶段</w:t>
                  </w:r>
                  <w:r>
                    <w:rPr>
                      <w:rFonts w:hint="default" w:ascii="Times New Roman" w:hAnsi="Times New Roman" w:eastAsia="宋体" w:cs="Times New Roman"/>
                      <w:color w:val="auto"/>
                      <w:sz w:val="21"/>
                      <w:szCs w:val="21"/>
                      <w:highlight w:val="none"/>
                    </w:rPr>
                    <w:t>二类区</w:t>
                  </w:r>
                </w:p>
              </w:tc>
              <w:tc>
                <w:tcPr>
                  <w:tcW w:w="805" w:type="dxa"/>
                  <w:vMerge w:val="restart"/>
                  <w:tcBorders>
                    <w:top w:val="single" w:color="000000" w:sz="4" w:space="0"/>
                    <w:left w:val="single" w:color="000000" w:sz="4" w:space="0"/>
                    <w:right w:val="single" w:color="000000" w:sz="4" w:space="0"/>
                  </w:tcBorders>
                  <w:noWrap/>
                  <w:vAlign w:val="center"/>
                </w:tcPr>
                <w:p w14:paraId="0857E741">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color w:val="auto"/>
                      <w:highlight w:val="none"/>
                      <w:lang w:val="en-US" w:eastAsia="zh-CN"/>
                    </w:rPr>
                    <w:t>西</w:t>
                  </w:r>
                  <w:r>
                    <w:rPr>
                      <w:rFonts w:hint="default" w:ascii="Times New Roman" w:hAnsi="Times New Roman" w:eastAsia="宋体" w:cs="Times New Roman"/>
                      <w:i w:val="0"/>
                      <w:iCs w:val="0"/>
                      <w:color w:val="auto"/>
                      <w:kern w:val="0"/>
                      <w:sz w:val="21"/>
                      <w:szCs w:val="21"/>
                      <w:highlight w:val="none"/>
                      <w:u w:val="none"/>
                      <w:lang w:val="en-US" w:eastAsia="zh-CN" w:bidi="ar"/>
                    </w:rPr>
                    <w:t>面</w:t>
                  </w:r>
                </w:p>
              </w:tc>
              <w:tc>
                <w:tcPr>
                  <w:tcW w:w="791" w:type="dxa"/>
                  <w:vMerge w:val="restart"/>
                  <w:tcBorders>
                    <w:top w:val="single" w:color="000000" w:sz="4" w:space="0"/>
                    <w:left w:val="single" w:color="000000" w:sz="4" w:space="0"/>
                    <w:right w:val="single" w:color="000000" w:sz="4" w:space="0"/>
                  </w:tcBorders>
                  <w:noWrap/>
                  <w:vAlign w:val="center"/>
                </w:tcPr>
                <w:p w14:paraId="26A09B86">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189</w:t>
                  </w:r>
                </w:p>
              </w:tc>
            </w:tr>
            <w:tr w14:paraId="7D478EC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1272" w:type="dxa"/>
                  <w:vMerge w:val="continue"/>
                  <w:tcBorders>
                    <w:left w:val="single" w:color="000000" w:sz="4" w:space="0"/>
                    <w:right w:val="single" w:color="000000" w:sz="4" w:space="0"/>
                  </w:tcBorders>
                  <w:noWrap/>
                  <w:vAlign w:val="center"/>
                </w:tcPr>
                <w:p w14:paraId="04A3885F">
                  <w:pPr>
                    <w:keepNext w:val="0"/>
                    <w:keepLines w:val="0"/>
                    <w:widowControl/>
                    <w:suppressLineNumbers w:val="0"/>
                    <w:shd w:val="clear"/>
                    <w:spacing w:line="240" w:lineRule="auto"/>
                    <w:jc w:val="center"/>
                    <w:textAlignment w:val="center"/>
                    <w:rPr>
                      <w:rFonts w:hint="default" w:ascii="Times New Roman" w:hAnsi="Times New Roman" w:cs="Times New Roman"/>
                      <w:i w:val="0"/>
                      <w:iCs w:val="0"/>
                      <w:color w:val="auto"/>
                      <w:sz w:val="21"/>
                      <w:szCs w:val="21"/>
                      <w:highlight w:val="none"/>
                      <w:u w:val="none"/>
                      <w:lang w:val="en-US" w:eastAsia="zh-CN"/>
                    </w:rPr>
                  </w:pPr>
                </w:p>
              </w:tc>
              <w:tc>
                <w:tcPr>
                  <w:tcW w:w="1193" w:type="dxa"/>
                  <w:vMerge w:val="continue"/>
                  <w:tcBorders>
                    <w:left w:val="single" w:color="000000" w:sz="4" w:space="0"/>
                    <w:right w:val="single" w:color="000000" w:sz="4" w:space="0"/>
                  </w:tcBorders>
                  <w:noWrap/>
                  <w:vAlign w:val="center"/>
                </w:tcPr>
                <w:p w14:paraId="0F1DC621">
                  <w:pPr>
                    <w:keepNext w:val="0"/>
                    <w:keepLines w:val="0"/>
                    <w:widowControl/>
                    <w:suppressLineNumbers w:val="0"/>
                    <w:shd w:val="clear"/>
                    <w:spacing w:line="240" w:lineRule="auto"/>
                    <w:jc w:val="center"/>
                    <w:textAlignment w:val="center"/>
                    <w:rPr>
                      <w:rFonts w:hint="default" w:ascii="Times New Roman" w:hAnsi="Times New Roman" w:cs="Times New Roman"/>
                      <w:i w:val="0"/>
                      <w:iCs w:val="0"/>
                      <w:color w:val="auto"/>
                      <w:sz w:val="21"/>
                      <w:szCs w:val="21"/>
                      <w:highlight w:val="none"/>
                      <w:u w:val="none"/>
                      <w:lang w:val="en-US" w:eastAsia="zh-CN"/>
                    </w:rPr>
                  </w:pPr>
                </w:p>
              </w:tc>
              <w:tc>
                <w:tcPr>
                  <w:tcW w:w="1009" w:type="dxa"/>
                  <w:vMerge w:val="continue"/>
                  <w:tcBorders>
                    <w:left w:val="single" w:color="000000" w:sz="4" w:space="0"/>
                    <w:right w:val="single" w:color="000000" w:sz="4" w:space="0"/>
                  </w:tcBorders>
                  <w:noWrap/>
                  <w:vAlign w:val="center"/>
                </w:tcPr>
                <w:p w14:paraId="682E0550">
                  <w:pPr>
                    <w:keepNext w:val="0"/>
                    <w:keepLines w:val="0"/>
                    <w:widowControl/>
                    <w:suppressLineNumbers w:val="0"/>
                    <w:shd w:val="clear"/>
                    <w:spacing w:line="240" w:lineRule="auto"/>
                    <w:jc w:val="center"/>
                    <w:textAlignment w:val="center"/>
                    <w:rPr>
                      <w:rFonts w:hint="default" w:ascii="Times New Roman" w:hAnsi="Times New Roman" w:cs="Times New Roman"/>
                      <w:i w:val="0"/>
                      <w:iCs w:val="0"/>
                      <w:color w:val="auto"/>
                      <w:sz w:val="21"/>
                      <w:szCs w:val="21"/>
                      <w:highlight w:val="none"/>
                      <w:u w:val="none"/>
                      <w:lang w:val="en-US" w:eastAsia="zh-CN"/>
                    </w:rPr>
                  </w:pPr>
                </w:p>
              </w:tc>
              <w:tc>
                <w:tcPr>
                  <w:tcW w:w="470" w:type="dxa"/>
                  <w:vMerge w:val="continue"/>
                  <w:tcBorders>
                    <w:left w:val="single" w:color="000000" w:sz="4" w:space="0"/>
                    <w:right w:val="single" w:color="000000" w:sz="4" w:space="0"/>
                  </w:tcBorders>
                  <w:noWrap/>
                  <w:vAlign w:val="center"/>
                </w:tcPr>
                <w:p w14:paraId="24522150">
                  <w:pPr>
                    <w:keepNext w:val="0"/>
                    <w:keepLines w:val="0"/>
                    <w:widowControl/>
                    <w:suppressLineNumbers w:val="0"/>
                    <w:shd w:val="clear"/>
                    <w:spacing w:line="240" w:lineRule="auto"/>
                    <w:jc w:val="center"/>
                    <w:textAlignment w:val="center"/>
                    <w:rPr>
                      <w:rFonts w:hint="default" w:ascii="Times New Roman" w:hAnsi="Times New Roman" w:cs="Times New Roman"/>
                      <w:i w:val="0"/>
                      <w:iCs w:val="0"/>
                      <w:color w:val="auto"/>
                      <w:sz w:val="21"/>
                      <w:szCs w:val="21"/>
                      <w:highlight w:val="none"/>
                      <w:u w:val="none"/>
                      <w:lang w:val="en-US" w:eastAsia="zh-CN"/>
                    </w:rPr>
                  </w:pPr>
                </w:p>
              </w:tc>
              <w:tc>
                <w:tcPr>
                  <w:tcW w:w="928" w:type="dxa"/>
                  <w:vMerge w:val="continue"/>
                  <w:tcBorders>
                    <w:left w:val="single" w:color="000000" w:sz="4" w:space="0"/>
                    <w:right w:val="single" w:color="000000" w:sz="4" w:space="0"/>
                  </w:tcBorders>
                  <w:noWrap/>
                  <w:vAlign w:val="center"/>
                </w:tcPr>
                <w:p w14:paraId="4E23DF69">
                  <w:pPr>
                    <w:keepNext w:val="0"/>
                    <w:keepLines w:val="0"/>
                    <w:widowControl/>
                    <w:suppressLineNumbers w:val="0"/>
                    <w:shd w:val="clear"/>
                    <w:spacing w:line="240" w:lineRule="auto"/>
                    <w:jc w:val="center"/>
                    <w:textAlignment w:val="center"/>
                    <w:rPr>
                      <w:rFonts w:hint="default" w:ascii="Times New Roman" w:hAnsi="Times New Roman" w:cs="Times New Roman"/>
                      <w:i w:val="0"/>
                      <w:iCs w:val="0"/>
                      <w:color w:val="auto"/>
                      <w:sz w:val="21"/>
                      <w:szCs w:val="21"/>
                      <w:highlight w:val="none"/>
                      <w:u w:val="none"/>
                      <w:lang w:val="en-US" w:eastAsia="zh-CN"/>
                    </w:rPr>
                  </w:pPr>
                </w:p>
              </w:tc>
              <w:tc>
                <w:tcPr>
                  <w:tcW w:w="1827" w:type="dxa"/>
                  <w:vMerge w:val="continue"/>
                  <w:tcBorders>
                    <w:left w:val="single" w:color="000000" w:sz="4" w:space="0"/>
                    <w:right w:val="single" w:color="auto" w:sz="4" w:space="0"/>
                  </w:tcBorders>
                  <w:noWrap/>
                  <w:vAlign w:val="center"/>
                </w:tcPr>
                <w:p w14:paraId="2E036585">
                  <w:pPr>
                    <w:keepNext w:val="0"/>
                    <w:keepLines w:val="0"/>
                    <w:widowControl/>
                    <w:suppressLineNumbers w:val="0"/>
                    <w:shd w:val="clear"/>
                    <w:spacing w:line="240" w:lineRule="auto"/>
                    <w:jc w:val="center"/>
                    <w:textAlignment w:val="center"/>
                    <w:rPr>
                      <w:rFonts w:hint="default" w:ascii="Times New Roman" w:hAnsi="Times New Roman" w:cs="Times New Roman"/>
                      <w:i w:val="0"/>
                      <w:iCs w:val="0"/>
                      <w:color w:val="auto"/>
                      <w:sz w:val="21"/>
                      <w:szCs w:val="21"/>
                      <w:highlight w:val="none"/>
                      <w:u w:val="none"/>
                      <w:lang w:val="en-US" w:eastAsia="zh-CN"/>
                    </w:rPr>
                  </w:pPr>
                </w:p>
              </w:tc>
              <w:tc>
                <w:tcPr>
                  <w:tcW w:w="805" w:type="dxa"/>
                  <w:vMerge w:val="continue"/>
                  <w:tcBorders>
                    <w:left w:val="single" w:color="auto" w:sz="4" w:space="0"/>
                    <w:bottom w:val="single" w:color="auto" w:sz="4" w:space="0"/>
                    <w:right w:val="single" w:color="auto" w:sz="4" w:space="0"/>
                  </w:tcBorders>
                  <w:noWrap/>
                  <w:vAlign w:val="center"/>
                </w:tcPr>
                <w:p w14:paraId="6C4DFA03">
                  <w:pPr>
                    <w:keepNext w:val="0"/>
                    <w:keepLines w:val="0"/>
                    <w:widowControl/>
                    <w:suppressLineNumbers w:val="0"/>
                    <w:shd w:val="clear"/>
                    <w:spacing w:line="240" w:lineRule="auto"/>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color w:val="auto"/>
                      <w:highlight w:val="none"/>
                      <w:lang w:val="en-US" w:eastAsia="zh-CN"/>
                    </w:rPr>
                    <w:t>西</w:t>
                  </w:r>
                  <w:r>
                    <w:rPr>
                      <w:rFonts w:hint="default" w:ascii="Times New Roman" w:hAnsi="Times New Roman" w:eastAsia="宋体" w:cs="Times New Roman"/>
                      <w:i w:val="0"/>
                      <w:iCs w:val="0"/>
                      <w:color w:val="auto"/>
                      <w:kern w:val="0"/>
                      <w:sz w:val="21"/>
                      <w:szCs w:val="21"/>
                      <w:highlight w:val="none"/>
                      <w:u w:val="none"/>
                      <w:lang w:val="en-US" w:eastAsia="zh-CN" w:bidi="ar"/>
                    </w:rPr>
                    <w:t>面</w:t>
                  </w:r>
                </w:p>
              </w:tc>
              <w:tc>
                <w:tcPr>
                  <w:tcW w:w="791" w:type="dxa"/>
                  <w:vMerge w:val="continue"/>
                  <w:tcBorders>
                    <w:left w:val="single" w:color="auto" w:sz="4" w:space="0"/>
                    <w:bottom w:val="single" w:color="000000" w:sz="4" w:space="0"/>
                    <w:right w:val="single" w:color="000000" w:sz="4" w:space="0"/>
                  </w:tcBorders>
                  <w:noWrap/>
                  <w:vAlign w:val="center"/>
                </w:tcPr>
                <w:p w14:paraId="617AC19B">
                  <w:pPr>
                    <w:keepNext w:val="0"/>
                    <w:keepLines w:val="0"/>
                    <w:widowControl/>
                    <w:suppressLineNumbers w:val="0"/>
                    <w:shd w:val="clear"/>
                    <w:spacing w:line="240" w:lineRule="auto"/>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178</w:t>
                  </w:r>
                </w:p>
              </w:tc>
            </w:tr>
            <w:tr w14:paraId="4246083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9" w:hRule="atLeast"/>
                <w:jc w:val="center"/>
              </w:trPr>
              <w:tc>
                <w:tcPr>
                  <w:tcW w:w="1272" w:type="dxa"/>
                  <w:tcBorders>
                    <w:top w:val="single" w:color="000000" w:sz="4" w:space="0"/>
                    <w:left w:val="single" w:color="000000" w:sz="4" w:space="0"/>
                    <w:bottom w:val="single" w:color="000000" w:sz="4" w:space="0"/>
                    <w:right w:val="single" w:color="000000" w:sz="4" w:space="0"/>
                  </w:tcBorders>
                  <w:noWrap/>
                  <w:vAlign w:val="center"/>
                </w:tcPr>
                <w:p w14:paraId="3E51D35D">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中港花园</w:t>
                  </w:r>
                </w:p>
              </w:tc>
              <w:tc>
                <w:tcPr>
                  <w:tcW w:w="1193" w:type="dxa"/>
                  <w:tcBorders>
                    <w:top w:val="single" w:color="000000" w:sz="4" w:space="0"/>
                    <w:left w:val="single" w:color="000000" w:sz="4" w:space="0"/>
                    <w:bottom w:val="single" w:color="000000" w:sz="4" w:space="0"/>
                    <w:right w:val="single" w:color="000000" w:sz="4" w:space="0"/>
                  </w:tcBorders>
                  <w:noWrap/>
                  <w:vAlign w:val="center"/>
                </w:tcPr>
                <w:p w14:paraId="07BF32BB">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113.</w:t>
                  </w:r>
                  <w:r>
                    <w:rPr>
                      <w:rFonts w:hint="eastAsia" w:cs="Times New Roman"/>
                      <w:i w:val="0"/>
                      <w:iCs w:val="0"/>
                      <w:color w:val="auto"/>
                      <w:sz w:val="21"/>
                      <w:szCs w:val="21"/>
                      <w:highlight w:val="none"/>
                      <w:u w:val="none"/>
                      <w:lang w:val="en-US" w:eastAsia="zh-CN"/>
                    </w:rPr>
                    <w:t>44929</w:t>
                  </w:r>
                </w:p>
              </w:tc>
              <w:tc>
                <w:tcPr>
                  <w:tcW w:w="1009" w:type="dxa"/>
                  <w:tcBorders>
                    <w:top w:val="single" w:color="000000" w:sz="4" w:space="0"/>
                    <w:left w:val="single" w:color="000000" w:sz="4" w:space="0"/>
                    <w:bottom w:val="single" w:color="000000" w:sz="4" w:space="0"/>
                    <w:right w:val="single" w:color="000000" w:sz="4" w:space="0"/>
                  </w:tcBorders>
                  <w:noWrap/>
                  <w:vAlign w:val="center"/>
                </w:tcPr>
                <w:p w14:paraId="3C28475D">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22.</w:t>
                  </w:r>
                  <w:r>
                    <w:rPr>
                      <w:rFonts w:hint="eastAsia" w:cs="Times New Roman"/>
                      <w:i w:val="0"/>
                      <w:iCs w:val="0"/>
                      <w:color w:val="auto"/>
                      <w:sz w:val="21"/>
                      <w:szCs w:val="21"/>
                      <w:highlight w:val="none"/>
                      <w:u w:val="none"/>
                      <w:lang w:val="en-US" w:eastAsia="zh-CN"/>
                    </w:rPr>
                    <w:t>55208</w:t>
                  </w:r>
                </w:p>
              </w:tc>
              <w:tc>
                <w:tcPr>
                  <w:tcW w:w="470" w:type="dxa"/>
                  <w:tcBorders>
                    <w:top w:val="single" w:color="000000" w:sz="4" w:space="0"/>
                    <w:left w:val="single" w:color="000000" w:sz="4" w:space="0"/>
                    <w:bottom w:val="single" w:color="000000" w:sz="4" w:space="0"/>
                    <w:right w:val="single" w:color="000000" w:sz="4" w:space="0"/>
                  </w:tcBorders>
                  <w:noWrap/>
                  <w:vAlign w:val="center"/>
                </w:tcPr>
                <w:p w14:paraId="1D667001">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居民</w:t>
                  </w:r>
                </w:p>
              </w:tc>
              <w:tc>
                <w:tcPr>
                  <w:tcW w:w="928" w:type="dxa"/>
                  <w:tcBorders>
                    <w:top w:val="single" w:color="000000" w:sz="4" w:space="0"/>
                    <w:left w:val="single" w:color="000000" w:sz="4" w:space="0"/>
                    <w:bottom w:val="single" w:color="000000" w:sz="4" w:space="0"/>
                    <w:right w:val="single" w:color="000000" w:sz="4" w:space="0"/>
                  </w:tcBorders>
                  <w:noWrap/>
                  <w:vAlign w:val="center"/>
                </w:tcPr>
                <w:p w14:paraId="43E8F7F4">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大气环境</w:t>
                  </w:r>
                </w:p>
              </w:tc>
              <w:tc>
                <w:tcPr>
                  <w:tcW w:w="1827" w:type="dxa"/>
                  <w:tcBorders>
                    <w:top w:val="single" w:color="000000" w:sz="4" w:space="0"/>
                    <w:left w:val="single" w:color="000000" w:sz="4" w:space="0"/>
                    <w:bottom w:val="single" w:color="000000" w:sz="4" w:space="0"/>
                    <w:right w:val="single" w:color="000000" w:sz="4" w:space="0"/>
                  </w:tcBorders>
                  <w:noWrap/>
                  <w:vAlign w:val="center"/>
                </w:tcPr>
                <w:p w14:paraId="67C36850">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color w:val="auto"/>
                      <w:sz w:val="21"/>
                      <w:szCs w:val="21"/>
                      <w:highlight w:val="none"/>
                    </w:rPr>
                    <w:t>《环境空气质量标准》(GB3095-20</w:t>
                  </w:r>
                  <w:r>
                    <w:rPr>
                      <w:rFonts w:hint="eastAsia" w:cs="Times New Roman"/>
                      <w:color w:val="auto"/>
                      <w:sz w:val="21"/>
                      <w:szCs w:val="21"/>
                      <w:highlight w:val="none"/>
                      <w:lang w:val="en-US" w:eastAsia="zh-CN"/>
                    </w:rPr>
                    <w:t>26</w:t>
                  </w:r>
                  <w:r>
                    <w:rPr>
                      <w:rFonts w:hint="default" w:ascii="Times New Roman" w:hAnsi="Times New Roman" w:eastAsia="宋体" w:cs="Times New Roman"/>
                      <w:color w:val="auto"/>
                      <w:sz w:val="21"/>
                      <w:szCs w:val="21"/>
                      <w:highlight w:val="none"/>
                    </w:rPr>
                    <w:t>)</w:t>
                  </w:r>
                  <w:r>
                    <w:rPr>
                      <w:rFonts w:hint="eastAsia" w:cs="Times New Roman"/>
                      <w:color w:val="auto"/>
                      <w:sz w:val="21"/>
                      <w:szCs w:val="21"/>
                      <w:highlight w:val="none"/>
                      <w:lang w:val="en-US" w:eastAsia="zh-CN"/>
                    </w:rPr>
                    <w:t>过渡阶段</w:t>
                  </w:r>
                  <w:r>
                    <w:rPr>
                      <w:rFonts w:hint="default" w:ascii="Times New Roman" w:hAnsi="Times New Roman" w:eastAsia="宋体" w:cs="Times New Roman"/>
                      <w:color w:val="auto"/>
                      <w:sz w:val="21"/>
                      <w:szCs w:val="21"/>
                      <w:highlight w:val="none"/>
                    </w:rPr>
                    <w:t>二类区</w:t>
                  </w:r>
                </w:p>
              </w:tc>
              <w:tc>
                <w:tcPr>
                  <w:tcW w:w="805" w:type="dxa"/>
                  <w:tcBorders>
                    <w:top w:val="single" w:color="auto" w:sz="4" w:space="0"/>
                    <w:left w:val="single" w:color="000000" w:sz="4" w:space="0"/>
                    <w:bottom w:val="single" w:color="auto" w:sz="4" w:space="0"/>
                    <w:right w:val="single" w:color="000000" w:sz="4" w:space="0"/>
                  </w:tcBorders>
                  <w:noWrap/>
                  <w:vAlign w:val="center"/>
                </w:tcPr>
                <w:p w14:paraId="620FEA7B">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cs="Times New Roman"/>
                      <w:i w:val="0"/>
                      <w:iCs w:val="0"/>
                      <w:color w:val="auto"/>
                      <w:kern w:val="0"/>
                      <w:sz w:val="21"/>
                      <w:szCs w:val="21"/>
                      <w:highlight w:val="none"/>
                      <w:u w:val="none"/>
                      <w:lang w:val="en-US" w:eastAsia="zh-CN" w:bidi="ar"/>
                    </w:rPr>
                    <w:t>东南</w:t>
                  </w:r>
                  <w:r>
                    <w:rPr>
                      <w:rFonts w:hint="default" w:ascii="Times New Roman" w:hAnsi="Times New Roman" w:cs="Times New Roman"/>
                      <w:i w:val="0"/>
                      <w:iCs w:val="0"/>
                      <w:color w:val="auto"/>
                      <w:kern w:val="0"/>
                      <w:sz w:val="21"/>
                      <w:szCs w:val="21"/>
                      <w:highlight w:val="none"/>
                      <w:u w:val="none"/>
                      <w:lang w:val="en-US" w:eastAsia="zh-CN" w:bidi="ar"/>
                    </w:rPr>
                    <w:t>面</w:t>
                  </w:r>
                </w:p>
              </w:tc>
              <w:tc>
                <w:tcPr>
                  <w:tcW w:w="791" w:type="dxa"/>
                  <w:tcBorders>
                    <w:top w:val="single" w:color="000000" w:sz="4" w:space="0"/>
                    <w:left w:val="single" w:color="000000" w:sz="4" w:space="0"/>
                    <w:bottom w:val="single" w:color="000000" w:sz="4" w:space="0"/>
                    <w:right w:val="single" w:color="000000" w:sz="4" w:space="0"/>
                  </w:tcBorders>
                  <w:noWrap/>
                  <w:vAlign w:val="center"/>
                </w:tcPr>
                <w:p w14:paraId="5DF89EBD">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495</w:t>
                  </w:r>
                </w:p>
              </w:tc>
            </w:tr>
            <w:tr w14:paraId="3CC3EA4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9" w:hRule="atLeast"/>
                <w:jc w:val="center"/>
              </w:trPr>
              <w:tc>
                <w:tcPr>
                  <w:tcW w:w="1272" w:type="dxa"/>
                  <w:tcBorders>
                    <w:top w:val="single" w:color="000000" w:sz="4" w:space="0"/>
                    <w:left w:val="single" w:color="000000" w:sz="4" w:space="0"/>
                    <w:bottom w:val="single" w:color="000000" w:sz="4" w:space="0"/>
                    <w:right w:val="single" w:color="000000" w:sz="4" w:space="0"/>
                  </w:tcBorders>
                  <w:noWrap/>
                  <w:vAlign w:val="center"/>
                </w:tcPr>
                <w:p w14:paraId="0117EF21">
                  <w:pPr>
                    <w:keepNext w:val="0"/>
                    <w:keepLines w:val="0"/>
                    <w:widowControl/>
                    <w:suppressLineNumbers w:val="0"/>
                    <w:shd w:val="clear"/>
                    <w:spacing w:line="240" w:lineRule="auto"/>
                    <w:jc w:val="center"/>
                    <w:textAlignment w:val="center"/>
                    <w:rPr>
                      <w:rFonts w:hint="eastAsia"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新帮珺悦花园</w:t>
                  </w:r>
                </w:p>
              </w:tc>
              <w:tc>
                <w:tcPr>
                  <w:tcW w:w="1193" w:type="dxa"/>
                  <w:tcBorders>
                    <w:top w:val="single" w:color="000000" w:sz="4" w:space="0"/>
                    <w:left w:val="single" w:color="000000" w:sz="4" w:space="0"/>
                    <w:bottom w:val="single" w:color="000000" w:sz="4" w:space="0"/>
                    <w:right w:val="single" w:color="000000" w:sz="4" w:space="0"/>
                  </w:tcBorders>
                  <w:noWrap/>
                  <w:vAlign w:val="center"/>
                </w:tcPr>
                <w:p w14:paraId="43A1EB24">
                  <w:pPr>
                    <w:keepNext w:val="0"/>
                    <w:keepLines w:val="0"/>
                    <w:widowControl/>
                    <w:suppressLineNumbers w:val="0"/>
                    <w:shd w:val="clear"/>
                    <w:spacing w:line="240" w:lineRule="auto"/>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113.44218</w:t>
                  </w:r>
                </w:p>
              </w:tc>
              <w:tc>
                <w:tcPr>
                  <w:tcW w:w="1009" w:type="dxa"/>
                  <w:tcBorders>
                    <w:top w:val="single" w:color="000000" w:sz="4" w:space="0"/>
                    <w:left w:val="single" w:color="000000" w:sz="4" w:space="0"/>
                    <w:bottom w:val="single" w:color="000000" w:sz="4" w:space="0"/>
                    <w:right w:val="single" w:color="000000" w:sz="4" w:space="0"/>
                  </w:tcBorders>
                  <w:noWrap/>
                  <w:vAlign w:val="center"/>
                </w:tcPr>
                <w:p w14:paraId="74F9BE0D">
                  <w:pPr>
                    <w:keepNext w:val="0"/>
                    <w:keepLines w:val="0"/>
                    <w:widowControl/>
                    <w:suppressLineNumbers w:val="0"/>
                    <w:shd w:val="clear"/>
                    <w:spacing w:line="240" w:lineRule="auto"/>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22.55957</w:t>
                  </w:r>
                </w:p>
              </w:tc>
              <w:tc>
                <w:tcPr>
                  <w:tcW w:w="470" w:type="dxa"/>
                  <w:tcBorders>
                    <w:top w:val="single" w:color="000000" w:sz="4" w:space="0"/>
                    <w:left w:val="single" w:color="000000" w:sz="4" w:space="0"/>
                    <w:bottom w:val="single" w:color="000000" w:sz="4" w:space="0"/>
                    <w:right w:val="single" w:color="000000" w:sz="4" w:space="0"/>
                  </w:tcBorders>
                  <w:noWrap/>
                  <w:vAlign w:val="center"/>
                </w:tcPr>
                <w:p w14:paraId="1DEFB6C7">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居民</w:t>
                  </w:r>
                </w:p>
              </w:tc>
              <w:tc>
                <w:tcPr>
                  <w:tcW w:w="928" w:type="dxa"/>
                  <w:tcBorders>
                    <w:top w:val="single" w:color="000000" w:sz="4" w:space="0"/>
                    <w:left w:val="single" w:color="000000" w:sz="4" w:space="0"/>
                    <w:bottom w:val="single" w:color="000000" w:sz="4" w:space="0"/>
                    <w:right w:val="single" w:color="000000" w:sz="4" w:space="0"/>
                  </w:tcBorders>
                  <w:noWrap/>
                  <w:vAlign w:val="center"/>
                </w:tcPr>
                <w:p w14:paraId="25D3031F">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大气环境</w:t>
                  </w:r>
                </w:p>
              </w:tc>
              <w:tc>
                <w:tcPr>
                  <w:tcW w:w="1827" w:type="dxa"/>
                  <w:tcBorders>
                    <w:top w:val="single" w:color="000000" w:sz="4" w:space="0"/>
                    <w:left w:val="single" w:color="000000" w:sz="4" w:space="0"/>
                    <w:bottom w:val="single" w:color="000000" w:sz="4" w:space="0"/>
                    <w:right w:val="single" w:color="000000" w:sz="4" w:space="0"/>
                  </w:tcBorders>
                  <w:noWrap/>
                  <w:vAlign w:val="center"/>
                </w:tcPr>
                <w:p w14:paraId="4A0B5144">
                  <w:pPr>
                    <w:keepNext w:val="0"/>
                    <w:keepLines w:val="0"/>
                    <w:widowControl/>
                    <w:suppressLineNumbers w:val="0"/>
                    <w:shd w:val="clear"/>
                    <w:spacing w:line="240" w:lineRule="auto"/>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《环境空气质量标准》(GB3095-20</w:t>
                  </w:r>
                  <w:r>
                    <w:rPr>
                      <w:rFonts w:hint="eastAsia" w:cs="Times New Roman"/>
                      <w:color w:val="auto"/>
                      <w:sz w:val="21"/>
                      <w:szCs w:val="21"/>
                      <w:highlight w:val="none"/>
                      <w:lang w:val="en-US" w:eastAsia="zh-CN"/>
                    </w:rPr>
                    <w:t>26</w:t>
                  </w:r>
                  <w:r>
                    <w:rPr>
                      <w:rFonts w:hint="default" w:ascii="Times New Roman" w:hAnsi="Times New Roman" w:eastAsia="宋体" w:cs="Times New Roman"/>
                      <w:color w:val="auto"/>
                      <w:sz w:val="21"/>
                      <w:szCs w:val="21"/>
                      <w:highlight w:val="none"/>
                    </w:rPr>
                    <w:t>)</w:t>
                  </w:r>
                  <w:r>
                    <w:rPr>
                      <w:rFonts w:hint="eastAsia" w:cs="Times New Roman"/>
                      <w:color w:val="auto"/>
                      <w:sz w:val="21"/>
                      <w:szCs w:val="21"/>
                      <w:highlight w:val="none"/>
                      <w:lang w:val="en-US" w:eastAsia="zh-CN"/>
                    </w:rPr>
                    <w:t>过渡阶段</w:t>
                  </w:r>
                  <w:r>
                    <w:rPr>
                      <w:rFonts w:hint="default" w:ascii="Times New Roman" w:hAnsi="Times New Roman" w:eastAsia="宋体" w:cs="Times New Roman"/>
                      <w:color w:val="auto"/>
                      <w:sz w:val="21"/>
                      <w:szCs w:val="21"/>
                      <w:highlight w:val="none"/>
                    </w:rPr>
                    <w:t>二类区</w:t>
                  </w:r>
                </w:p>
              </w:tc>
              <w:tc>
                <w:tcPr>
                  <w:tcW w:w="805" w:type="dxa"/>
                  <w:tcBorders>
                    <w:top w:val="single" w:color="auto" w:sz="4" w:space="0"/>
                    <w:left w:val="single" w:color="000000" w:sz="4" w:space="0"/>
                    <w:bottom w:val="single" w:color="auto" w:sz="4" w:space="0"/>
                    <w:right w:val="single" w:color="000000" w:sz="4" w:space="0"/>
                  </w:tcBorders>
                  <w:noWrap/>
                  <w:vAlign w:val="center"/>
                </w:tcPr>
                <w:p w14:paraId="55274735">
                  <w:pPr>
                    <w:keepNext w:val="0"/>
                    <w:keepLines w:val="0"/>
                    <w:widowControl/>
                    <w:suppressLineNumbers w:val="0"/>
                    <w:shd w:val="clear"/>
                    <w:spacing w:line="240" w:lineRule="auto"/>
                    <w:jc w:val="center"/>
                    <w:textAlignment w:val="center"/>
                    <w:rPr>
                      <w:rFonts w:hint="eastAsia" w:cs="Times New Roman"/>
                      <w:i w:val="0"/>
                      <w:iCs w:val="0"/>
                      <w:color w:val="auto"/>
                      <w:kern w:val="0"/>
                      <w:sz w:val="21"/>
                      <w:szCs w:val="21"/>
                      <w:highlight w:val="none"/>
                      <w:u w:val="none"/>
                      <w:lang w:val="en-US" w:eastAsia="zh-CN" w:bidi="ar"/>
                    </w:rPr>
                  </w:pPr>
                  <w:r>
                    <w:rPr>
                      <w:rFonts w:hint="eastAsia" w:cs="Times New Roman"/>
                      <w:color w:val="auto"/>
                      <w:highlight w:val="none"/>
                      <w:lang w:val="en-US" w:eastAsia="zh-CN"/>
                    </w:rPr>
                    <w:t>西北</w:t>
                  </w:r>
                  <w:r>
                    <w:rPr>
                      <w:rFonts w:hint="default" w:ascii="Times New Roman" w:hAnsi="Times New Roman" w:eastAsia="宋体" w:cs="Times New Roman"/>
                      <w:i w:val="0"/>
                      <w:iCs w:val="0"/>
                      <w:color w:val="auto"/>
                      <w:kern w:val="0"/>
                      <w:sz w:val="21"/>
                      <w:szCs w:val="21"/>
                      <w:highlight w:val="none"/>
                      <w:u w:val="none"/>
                      <w:lang w:val="en-US" w:eastAsia="zh-CN" w:bidi="ar"/>
                    </w:rPr>
                    <w:t>面</w:t>
                  </w:r>
                </w:p>
              </w:tc>
              <w:tc>
                <w:tcPr>
                  <w:tcW w:w="791" w:type="dxa"/>
                  <w:tcBorders>
                    <w:top w:val="single" w:color="000000" w:sz="4" w:space="0"/>
                    <w:left w:val="single" w:color="000000" w:sz="4" w:space="0"/>
                    <w:bottom w:val="single" w:color="000000" w:sz="4" w:space="0"/>
                    <w:right w:val="single" w:color="000000" w:sz="4" w:space="0"/>
                  </w:tcBorders>
                  <w:noWrap/>
                  <w:vAlign w:val="center"/>
                </w:tcPr>
                <w:p w14:paraId="55A2615A">
                  <w:pPr>
                    <w:keepNext w:val="0"/>
                    <w:keepLines w:val="0"/>
                    <w:widowControl/>
                    <w:suppressLineNumbers w:val="0"/>
                    <w:shd w:val="clear"/>
                    <w:spacing w:line="240" w:lineRule="auto"/>
                    <w:jc w:val="center"/>
                    <w:textAlignment w:val="center"/>
                    <w:rPr>
                      <w:rFonts w:hint="default"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306</w:t>
                  </w:r>
                </w:p>
              </w:tc>
            </w:tr>
            <w:tr w14:paraId="28574A4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9" w:hRule="atLeast"/>
                <w:jc w:val="center"/>
              </w:trPr>
              <w:tc>
                <w:tcPr>
                  <w:tcW w:w="1272" w:type="dxa"/>
                  <w:tcBorders>
                    <w:top w:val="single" w:color="000000" w:sz="4" w:space="0"/>
                    <w:left w:val="single" w:color="000000" w:sz="4" w:space="0"/>
                    <w:bottom w:val="single" w:color="000000" w:sz="4" w:space="0"/>
                    <w:right w:val="single" w:color="000000" w:sz="4" w:space="0"/>
                  </w:tcBorders>
                  <w:noWrap/>
                  <w:vAlign w:val="center"/>
                </w:tcPr>
                <w:p w14:paraId="0FCC1F09">
                  <w:pPr>
                    <w:rPr>
                      <w:rFonts w:hint="eastAsia" w:cs="Times New Roman"/>
                      <w:i w:val="0"/>
                      <w:iCs w:val="0"/>
                      <w:color w:val="auto"/>
                      <w:sz w:val="21"/>
                      <w:szCs w:val="21"/>
                      <w:highlight w:val="none"/>
                      <w:u w:val="none"/>
                      <w:lang w:val="en-US" w:eastAsia="zh-CN"/>
                    </w:rPr>
                  </w:pPr>
                  <w:r>
                    <w:rPr>
                      <w:rFonts w:ascii="Arial" w:hAnsi="Arial" w:eastAsia="宋体" w:cs="Arial"/>
                      <w:b w:val="0"/>
                      <w:bCs w:val="0"/>
                      <w:i w:val="0"/>
                      <w:iCs w:val="0"/>
                      <w:caps w:val="0"/>
                      <w:color w:val="auto"/>
                      <w:spacing w:val="0"/>
                      <w:sz w:val="21"/>
                      <w:szCs w:val="21"/>
                      <w:highlight w:val="none"/>
                      <w:shd w:val="clear" w:fill="FFFFFF"/>
                    </w:rPr>
                    <w:t>西城派出所沙边驻警站</w:t>
                  </w:r>
                </w:p>
              </w:tc>
              <w:tc>
                <w:tcPr>
                  <w:tcW w:w="1193" w:type="dxa"/>
                  <w:tcBorders>
                    <w:top w:val="single" w:color="000000" w:sz="4" w:space="0"/>
                    <w:left w:val="single" w:color="000000" w:sz="4" w:space="0"/>
                    <w:bottom w:val="single" w:color="000000" w:sz="4" w:space="0"/>
                    <w:right w:val="single" w:color="000000" w:sz="4" w:space="0"/>
                  </w:tcBorders>
                  <w:noWrap/>
                  <w:vAlign w:val="center"/>
                </w:tcPr>
                <w:p w14:paraId="503130E5">
                  <w:pPr>
                    <w:keepNext w:val="0"/>
                    <w:keepLines w:val="0"/>
                    <w:widowControl/>
                    <w:suppressLineNumbers w:val="0"/>
                    <w:shd w:val="clear"/>
                    <w:spacing w:line="240" w:lineRule="auto"/>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113.44535</w:t>
                  </w:r>
                </w:p>
              </w:tc>
              <w:tc>
                <w:tcPr>
                  <w:tcW w:w="1009" w:type="dxa"/>
                  <w:tcBorders>
                    <w:top w:val="single" w:color="000000" w:sz="4" w:space="0"/>
                    <w:left w:val="single" w:color="000000" w:sz="4" w:space="0"/>
                    <w:bottom w:val="single" w:color="000000" w:sz="4" w:space="0"/>
                    <w:right w:val="single" w:color="000000" w:sz="4" w:space="0"/>
                  </w:tcBorders>
                  <w:noWrap/>
                  <w:vAlign w:val="center"/>
                </w:tcPr>
                <w:p w14:paraId="55B31F12">
                  <w:pPr>
                    <w:keepNext w:val="0"/>
                    <w:keepLines w:val="0"/>
                    <w:widowControl/>
                    <w:suppressLineNumbers w:val="0"/>
                    <w:shd w:val="clear"/>
                    <w:spacing w:line="240" w:lineRule="auto"/>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22.55505</w:t>
                  </w:r>
                </w:p>
              </w:tc>
              <w:tc>
                <w:tcPr>
                  <w:tcW w:w="470" w:type="dxa"/>
                  <w:tcBorders>
                    <w:top w:val="single" w:color="000000" w:sz="4" w:space="0"/>
                    <w:left w:val="single" w:color="000000" w:sz="4" w:space="0"/>
                    <w:bottom w:val="single" w:color="000000" w:sz="4" w:space="0"/>
                    <w:right w:val="single" w:color="000000" w:sz="4" w:space="0"/>
                  </w:tcBorders>
                  <w:noWrap/>
                  <w:vAlign w:val="center"/>
                </w:tcPr>
                <w:p w14:paraId="2B6CE97A">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政府</w:t>
                  </w:r>
                </w:p>
              </w:tc>
              <w:tc>
                <w:tcPr>
                  <w:tcW w:w="928" w:type="dxa"/>
                  <w:tcBorders>
                    <w:top w:val="single" w:color="000000" w:sz="4" w:space="0"/>
                    <w:left w:val="single" w:color="000000" w:sz="4" w:space="0"/>
                    <w:bottom w:val="single" w:color="000000" w:sz="4" w:space="0"/>
                    <w:right w:val="single" w:color="000000" w:sz="4" w:space="0"/>
                  </w:tcBorders>
                  <w:noWrap/>
                  <w:vAlign w:val="center"/>
                </w:tcPr>
                <w:p w14:paraId="7EE3E00E">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大气环境</w:t>
                  </w:r>
                </w:p>
              </w:tc>
              <w:tc>
                <w:tcPr>
                  <w:tcW w:w="1827" w:type="dxa"/>
                  <w:tcBorders>
                    <w:top w:val="single" w:color="000000" w:sz="4" w:space="0"/>
                    <w:left w:val="single" w:color="000000" w:sz="4" w:space="0"/>
                    <w:bottom w:val="single" w:color="000000" w:sz="4" w:space="0"/>
                    <w:right w:val="single" w:color="000000" w:sz="4" w:space="0"/>
                  </w:tcBorders>
                  <w:noWrap/>
                  <w:vAlign w:val="center"/>
                </w:tcPr>
                <w:p w14:paraId="523D1C52">
                  <w:pPr>
                    <w:keepNext w:val="0"/>
                    <w:keepLines w:val="0"/>
                    <w:widowControl/>
                    <w:suppressLineNumbers w:val="0"/>
                    <w:shd w:val="clear"/>
                    <w:spacing w:line="240" w:lineRule="auto"/>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《环境空气质量标准》(GB3095-20</w:t>
                  </w:r>
                  <w:r>
                    <w:rPr>
                      <w:rFonts w:hint="eastAsia" w:cs="Times New Roman"/>
                      <w:color w:val="auto"/>
                      <w:sz w:val="21"/>
                      <w:szCs w:val="21"/>
                      <w:highlight w:val="none"/>
                      <w:lang w:val="en-US" w:eastAsia="zh-CN"/>
                    </w:rPr>
                    <w:t>26</w:t>
                  </w:r>
                  <w:r>
                    <w:rPr>
                      <w:rFonts w:hint="default" w:ascii="Times New Roman" w:hAnsi="Times New Roman" w:eastAsia="宋体" w:cs="Times New Roman"/>
                      <w:color w:val="auto"/>
                      <w:sz w:val="21"/>
                      <w:szCs w:val="21"/>
                      <w:highlight w:val="none"/>
                    </w:rPr>
                    <w:t>)</w:t>
                  </w:r>
                  <w:r>
                    <w:rPr>
                      <w:rFonts w:hint="eastAsia" w:cs="Times New Roman"/>
                      <w:color w:val="auto"/>
                      <w:sz w:val="21"/>
                      <w:szCs w:val="21"/>
                      <w:highlight w:val="none"/>
                      <w:lang w:val="en-US" w:eastAsia="zh-CN"/>
                    </w:rPr>
                    <w:t>过渡阶段</w:t>
                  </w:r>
                  <w:r>
                    <w:rPr>
                      <w:rFonts w:hint="default" w:ascii="Times New Roman" w:hAnsi="Times New Roman" w:eastAsia="宋体" w:cs="Times New Roman"/>
                      <w:color w:val="auto"/>
                      <w:sz w:val="21"/>
                      <w:szCs w:val="21"/>
                      <w:highlight w:val="none"/>
                    </w:rPr>
                    <w:t>二类区</w:t>
                  </w:r>
                </w:p>
              </w:tc>
              <w:tc>
                <w:tcPr>
                  <w:tcW w:w="805" w:type="dxa"/>
                  <w:tcBorders>
                    <w:top w:val="single" w:color="auto" w:sz="4" w:space="0"/>
                    <w:left w:val="single" w:color="000000" w:sz="4" w:space="0"/>
                    <w:bottom w:val="single" w:color="000000" w:sz="4" w:space="0"/>
                    <w:right w:val="single" w:color="000000" w:sz="4" w:space="0"/>
                  </w:tcBorders>
                  <w:noWrap/>
                  <w:vAlign w:val="center"/>
                </w:tcPr>
                <w:p w14:paraId="09A18D24">
                  <w:pPr>
                    <w:keepNext w:val="0"/>
                    <w:keepLines w:val="0"/>
                    <w:widowControl/>
                    <w:suppressLineNumbers w:val="0"/>
                    <w:shd w:val="clear"/>
                    <w:spacing w:line="240" w:lineRule="auto"/>
                    <w:jc w:val="center"/>
                    <w:textAlignment w:val="center"/>
                    <w:rPr>
                      <w:rFonts w:hint="eastAsia"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东南</w:t>
                  </w:r>
                  <w:r>
                    <w:rPr>
                      <w:rFonts w:hint="default" w:ascii="Times New Roman" w:hAnsi="Times New Roman" w:cs="Times New Roman"/>
                      <w:i w:val="0"/>
                      <w:iCs w:val="0"/>
                      <w:color w:val="auto"/>
                      <w:kern w:val="0"/>
                      <w:sz w:val="21"/>
                      <w:szCs w:val="21"/>
                      <w:highlight w:val="none"/>
                      <w:u w:val="none"/>
                      <w:lang w:val="en-US" w:eastAsia="zh-CN" w:bidi="ar"/>
                    </w:rPr>
                    <w:t>面</w:t>
                  </w:r>
                </w:p>
              </w:tc>
              <w:tc>
                <w:tcPr>
                  <w:tcW w:w="791" w:type="dxa"/>
                  <w:tcBorders>
                    <w:top w:val="single" w:color="000000" w:sz="4" w:space="0"/>
                    <w:left w:val="single" w:color="000000" w:sz="4" w:space="0"/>
                    <w:bottom w:val="single" w:color="000000" w:sz="4" w:space="0"/>
                    <w:right w:val="single" w:color="000000" w:sz="4" w:space="0"/>
                  </w:tcBorders>
                  <w:noWrap/>
                  <w:vAlign w:val="center"/>
                </w:tcPr>
                <w:p w14:paraId="70129E45">
                  <w:pPr>
                    <w:keepNext w:val="0"/>
                    <w:keepLines w:val="0"/>
                    <w:widowControl/>
                    <w:suppressLineNumbers w:val="0"/>
                    <w:shd w:val="clear"/>
                    <w:spacing w:line="240" w:lineRule="auto"/>
                    <w:jc w:val="center"/>
                    <w:textAlignment w:val="center"/>
                    <w:rPr>
                      <w:rFonts w:hint="default"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120</w:t>
                  </w:r>
                </w:p>
              </w:tc>
            </w:tr>
          </w:tbl>
          <w:p w14:paraId="7568168C">
            <w:pPr>
              <w:shd w:val="clear"/>
              <w:tabs>
                <w:tab w:val="left" w:pos="302"/>
              </w:tabs>
              <w:snapToGrid w:val="0"/>
              <w:spacing w:line="360" w:lineRule="auto"/>
              <w:ind w:firstLine="498" w:firstLineChars="200"/>
              <w:rPr>
                <w:rFonts w:hint="default" w:ascii="Times New Roman" w:hAnsi="Times New Roman" w:eastAsia="宋体" w:cs="Times New Roman"/>
                <w:b/>
                <w:color w:val="auto"/>
                <w:spacing w:val="4"/>
                <w:sz w:val="24"/>
                <w:szCs w:val="24"/>
                <w:highlight w:val="none"/>
              </w:rPr>
            </w:pPr>
            <w:r>
              <w:rPr>
                <w:rFonts w:hint="default" w:ascii="Times New Roman" w:hAnsi="Times New Roman" w:eastAsia="宋体" w:cs="Times New Roman"/>
                <w:b/>
                <w:color w:val="auto"/>
                <w:spacing w:val="4"/>
                <w:sz w:val="24"/>
                <w:szCs w:val="24"/>
                <w:highlight w:val="none"/>
              </w:rPr>
              <w:t>三、声环境保护目标</w:t>
            </w:r>
          </w:p>
          <w:p w14:paraId="4395E8CF">
            <w:pPr>
              <w:pStyle w:val="18"/>
              <w:keepNext w:val="0"/>
              <w:keepLines w:val="0"/>
              <w:pageBreakBefore w:val="0"/>
              <w:shd w:val="clear"/>
              <w:kinsoku/>
              <w:wordWrap/>
              <w:overflowPunct/>
              <w:topLinePunct w:val="0"/>
              <w:autoSpaceDE/>
              <w:autoSpaceDN/>
              <w:bidi w:val="0"/>
              <w:snapToGrid w:val="0"/>
              <w:spacing w:before="0" w:after="0" w:line="360" w:lineRule="auto"/>
              <w:ind w:right="0" w:firstLine="430"/>
              <w:textAlignment w:val="auto"/>
              <w:rPr>
                <w:rFonts w:hint="default" w:ascii="Times New Roman" w:hAnsi="Times New Roman" w:eastAsia="宋体" w:cs="Times New Roman"/>
                <w:color w:val="auto"/>
                <w:kern w:val="2"/>
                <w:sz w:val="21"/>
                <w:szCs w:val="21"/>
                <w:highlight w:val="none"/>
                <w:lang w:val="zh-CN" w:eastAsia="zh-CN" w:bidi="ar-SA"/>
              </w:rPr>
            </w:pPr>
            <w:r>
              <w:rPr>
                <w:rFonts w:ascii="Times New Roman" w:hAnsi="Times New Roman" w:cs="Times New Roman"/>
                <w:color w:val="auto"/>
                <w:sz w:val="21"/>
                <w:szCs w:val="21"/>
                <w:highlight w:val="none"/>
              </w:rPr>
              <w:t>声环境保护目标是确保项目声环境质量符合《声环境质量标准》（GB3096-2008）中的</w:t>
            </w:r>
            <w:r>
              <w:rPr>
                <w:rFonts w:hint="eastAsia" w:ascii="Times New Roman" w:hAnsi="Times New Roman" w:cs="Times New Roman"/>
                <w:color w:val="auto"/>
                <w:sz w:val="21"/>
                <w:szCs w:val="21"/>
                <w:highlight w:val="none"/>
                <w:lang w:val="en-US" w:eastAsia="zh-CN"/>
              </w:rPr>
              <w:t>3</w:t>
            </w:r>
            <w:r>
              <w:rPr>
                <w:rFonts w:ascii="Times New Roman" w:hAnsi="Times New Roman" w:cs="Times New Roman"/>
                <w:color w:val="auto"/>
                <w:sz w:val="21"/>
                <w:szCs w:val="21"/>
                <w:highlight w:val="none"/>
              </w:rPr>
              <w:t>类（昼间噪声限值</w:t>
            </w:r>
            <w:r>
              <w:rPr>
                <w:rFonts w:hint="eastAsia" w:ascii="Times New Roman" w:hAnsi="Times New Roman" w:cs="Times New Roman"/>
                <w:color w:val="auto"/>
                <w:sz w:val="21"/>
                <w:szCs w:val="21"/>
                <w:highlight w:val="none"/>
                <w:lang w:val="en-US" w:eastAsia="zh-CN"/>
              </w:rPr>
              <w:t>65</w:t>
            </w:r>
            <w:r>
              <w:rPr>
                <w:rFonts w:ascii="Times New Roman" w:hAnsi="Times New Roman" w:cs="Times New Roman"/>
                <w:color w:val="auto"/>
                <w:sz w:val="21"/>
                <w:szCs w:val="21"/>
                <w:highlight w:val="none"/>
              </w:rPr>
              <w:t>dB（A））</w:t>
            </w:r>
            <w:r>
              <w:rPr>
                <w:rFonts w:hint="default" w:ascii="Times New Roman" w:hAnsi="Times New Roman" w:eastAsia="宋体" w:cs="Times New Roman"/>
                <w:color w:val="auto"/>
                <w:kern w:val="2"/>
                <w:sz w:val="21"/>
                <w:szCs w:val="21"/>
                <w:highlight w:val="none"/>
                <w:lang w:val="zh-CN" w:eastAsia="zh-CN" w:bidi="ar-SA"/>
              </w:rPr>
              <w:t>。根据现场勘察，项目50m评价范围内无环境敏感点。</w:t>
            </w:r>
          </w:p>
          <w:p w14:paraId="1FDEBB03">
            <w:pPr>
              <w:pStyle w:val="18"/>
              <w:keepNext w:val="0"/>
              <w:keepLines w:val="0"/>
              <w:pageBreakBefore w:val="0"/>
              <w:shd w:val="clear"/>
              <w:kinsoku/>
              <w:wordWrap/>
              <w:overflowPunct/>
              <w:topLinePunct w:val="0"/>
              <w:autoSpaceDE/>
              <w:autoSpaceDN/>
              <w:bidi w:val="0"/>
              <w:snapToGrid w:val="0"/>
              <w:spacing w:before="0" w:after="0" w:line="360" w:lineRule="auto"/>
              <w:ind w:right="0" w:firstLine="430"/>
              <w:textAlignment w:val="auto"/>
              <w:rPr>
                <w:rFonts w:hint="default" w:ascii="Times New Roman" w:hAnsi="Times New Roman" w:eastAsia="宋体" w:cs="Times New Roman"/>
                <w:b/>
                <w:bCs w:val="0"/>
                <w:color w:val="auto"/>
                <w:spacing w:val="4"/>
                <w:sz w:val="24"/>
                <w:szCs w:val="24"/>
                <w:highlight w:val="none"/>
              </w:rPr>
            </w:pPr>
            <w:r>
              <w:rPr>
                <w:rFonts w:hint="default" w:ascii="Times New Roman" w:hAnsi="Times New Roman" w:eastAsia="宋体" w:cs="Times New Roman"/>
                <w:b/>
                <w:bCs w:val="0"/>
                <w:color w:val="auto"/>
                <w:spacing w:val="4"/>
                <w:sz w:val="24"/>
                <w:szCs w:val="24"/>
                <w:highlight w:val="none"/>
              </w:rPr>
              <w:t>四、地下水环境保护目标</w:t>
            </w:r>
          </w:p>
          <w:p w14:paraId="6DCF3D8C">
            <w:pPr>
              <w:keepNext w:val="0"/>
              <w:keepLines w:val="0"/>
              <w:pageBreakBefore w:val="0"/>
              <w:shd w:val="clear"/>
              <w:kinsoku/>
              <w:wordWrap/>
              <w:overflowPunct/>
              <w:topLinePunct w:val="0"/>
              <w:autoSpaceDE/>
              <w:autoSpaceDN/>
              <w:bidi w:val="0"/>
              <w:adjustRightInd w:val="0"/>
              <w:snapToGrid w:val="0"/>
              <w:spacing w:line="360" w:lineRule="auto"/>
              <w:ind w:right="0" w:firstLine="420" w:firstLineChars="200"/>
              <w:jc w:val="lef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zh-CN" w:eastAsia="zh-CN"/>
              </w:rPr>
              <w:t>厂界外</w:t>
            </w:r>
            <w:r>
              <w:rPr>
                <w:rFonts w:hint="default" w:ascii="Times New Roman" w:hAnsi="Times New Roman" w:eastAsia="宋体" w:cs="Times New Roman"/>
                <w:color w:val="auto"/>
                <w:sz w:val="21"/>
                <w:szCs w:val="21"/>
                <w:highlight w:val="none"/>
                <w:lang w:val="en-US" w:eastAsia="zh-CN"/>
              </w:rPr>
              <w:t>500</w:t>
            </w:r>
            <w:r>
              <w:rPr>
                <w:rFonts w:hint="default" w:ascii="Times New Roman" w:hAnsi="Times New Roman" w:eastAsia="宋体" w:cs="Times New Roman"/>
                <w:color w:val="auto"/>
                <w:sz w:val="21"/>
                <w:szCs w:val="21"/>
                <w:highlight w:val="none"/>
                <w:lang w:val="zh-CN" w:eastAsia="zh-CN"/>
              </w:rPr>
              <w:t>米范围内无地下水集中式饮用水水源和热水、矿泉水、温泉等特殊地下水资源</w:t>
            </w:r>
            <w:r>
              <w:rPr>
                <w:rFonts w:hint="default" w:ascii="Times New Roman" w:hAnsi="Times New Roman" w:eastAsia="宋体" w:cs="Times New Roman"/>
                <w:color w:val="auto"/>
                <w:sz w:val="21"/>
                <w:szCs w:val="21"/>
                <w:highlight w:val="none"/>
                <w:lang w:val="en-US" w:eastAsia="zh-CN"/>
              </w:rPr>
              <w:t>保护目标</w:t>
            </w:r>
            <w:r>
              <w:rPr>
                <w:rFonts w:hint="default" w:ascii="Times New Roman" w:hAnsi="Times New Roman" w:eastAsia="宋体" w:cs="Times New Roman"/>
                <w:color w:val="auto"/>
                <w:sz w:val="21"/>
                <w:szCs w:val="21"/>
                <w:highlight w:val="none"/>
                <w:lang w:val="zh-CN" w:eastAsia="zh-CN"/>
              </w:rPr>
              <w:t>。</w:t>
            </w:r>
          </w:p>
          <w:p w14:paraId="74EEB5C6">
            <w:pPr>
              <w:pStyle w:val="18"/>
              <w:keepNext w:val="0"/>
              <w:keepLines w:val="0"/>
              <w:pageBreakBefore w:val="0"/>
              <w:numPr>
                <w:ilvl w:val="0"/>
                <w:numId w:val="0"/>
              </w:numPr>
              <w:shd w:val="clear"/>
              <w:kinsoku/>
              <w:wordWrap/>
              <w:overflowPunct/>
              <w:topLinePunct w:val="0"/>
              <w:autoSpaceDE/>
              <w:autoSpaceDN/>
              <w:bidi w:val="0"/>
              <w:snapToGrid w:val="0"/>
              <w:spacing w:before="0" w:after="0" w:line="360" w:lineRule="auto"/>
              <w:ind w:right="0" w:rightChars="0" w:firstLine="430" w:firstLineChars="0"/>
              <w:textAlignment w:val="auto"/>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b/>
                <w:bCs/>
                <w:color w:val="auto"/>
                <w:kern w:val="0"/>
                <w:sz w:val="24"/>
                <w:szCs w:val="24"/>
                <w:highlight w:val="none"/>
                <w:lang w:val="en-US" w:eastAsia="zh-CN" w:bidi="ar-SA"/>
              </w:rPr>
              <w:t>五、</w:t>
            </w:r>
            <w:r>
              <w:rPr>
                <w:rFonts w:hint="default" w:ascii="Times New Roman" w:hAnsi="Times New Roman" w:eastAsia="宋体" w:cs="Times New Roman"/>
                <w:b/>
                <w:bCs/>
                <w:color w:val="auto"/>
                <w:spacing w:val="4"/>
                <w:sz w:val="24"/>
                <w:szCs w:val="24"/>
                <w:highlight w:val="none"/>
              </w:rPr>
              <w:t>生</w:t>
            </w:r>
            <w:r>
              <w:rPr>
                <w:rFonts w:hint="default" w:ascii="Times New Roman" w:hAnsi="Times New Roman" w:eastAsia="宋体" w:cs="Times New Roman"/>
                <w:b/>
                <w:bCs w:val="0"/>
                <w:color w:val="auto"/>
                <w:spacing w:val="4"/>
                <w:sz w:val="24"/>
                <w:szCs w:val="24"/>
                <w:highlight w:val="none"/>
              </w:rPr>
              <w:t>态环境保护目标</w:t>
            </w:r>
          </w:p>
          <w:p w14:paraId="77A18E6E">
            <w:pPr>
              <w:keepNext w:val="0"/>
              <w:keepLines w:val="0"/>
              <w:pageBreakBefore w:val="0"/>
              <w:shd w:val="clear"/>
              <w:kinsoku/>
              <w:wordWrap/>
              <w:overflowPunct/>
              <w:topLinePunct w:val="0"/>
              <w:autoSpaceDE/>
              <w:autoSpaceDN/>
              <w:bidi w:val="0"/>
              <w:adjustRightInd w:val="0"/>
              <w:snapToGrid w:val="0"/>
              <w:spacing w:line="360" w:lineRule="auto"/>
              <w:ind w:right="0" w:firstLine="420" w:firstLineChars="200"/>
              <w:jc w:val="both"/>
              <w:textAlignment w:val="auto"/>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sz w:val="21"/>
                <w:szCs w:val="21"/>
                <w:highlight w:val="none"/>
                <w:lang w:val="en-US" w:eastAsia="zh-CN"/>
              </w:rPr>
              <w:t>项目用地范围内无生态环境保护目标。</w:t>
            </w:r>
          </w:p>
        </w:tc>
      </w:tr>
      <w:tr w14:paraId="63AEF55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44" w:hRule="atLeast"/>
          <w:jc w:val="center"/>
        </w:trPr>
        <w:tc>
          <w:tcPr>
            <w:tcW w:w="401" w:type="dxa"/>
            <w:noWrap w:val="0"/>
            <w:tcMar>
              <w:left w:w="28" w:type="dxa"/>
              <w:right w:w="28" w:type="dxa"/>
            </w:tcMar>
            <w:vAlign w:val="center"/>
          </w:tcPr>
          <w:p w14:paraId="65B7A2F9">
            <w:pPr>
              <w:shd w:val="clea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污染物排放控制标准</w:t>
            </w:r>
          </w:p>
        </w:tc>
        <w:tc>
          <w:tcPr>
            <w:tcW w:w="8660" w:type="dxa"/>
            <w:noWrap w:val="0"/>
            <w:vAlign w:val="center"/>
          </w:tcPr>
          <w:p w14:paraId="785CBD6F">
            <w:pPr>
              <w:pStyle w:val="18"/>
              <w:shd w:val="clear"/>
              <w:spacing w:before="120"/>
              <w:ind w:firstLine="422"/>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一、水污染物排放标准</w:t>
            </w:r>
          </w:p>
          <w:p w14:paraId="6A7709E6">
            <w:pPr>
              <w:pStyle w:val="79"/>
              <w:shd w:val="clea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项目生活污水经三级化粪池预处理后达到广东省地方标准《水污染物排放限值》（DB44/26-2001）第二时段三级标准</w:t>
            </w:r>
            <w:r>
              <w:rPr>
                <w:rFonts w:hint="default" w:ascii="Times New Roman" w:hAnsi="Times New Roman" w:eastAsia="宋体" w:cs="Times New Roman"/>
                <w:snapToGrid w:val="0"/>
                <w:color w:val="auto"/>
                <w:sz w:val="21"/>
                <w:szCs w:val="21"/>
                <w:highlight w:val="none"/>
              </w:rPr>
              <w:t>经市政管道排入</w:t>
            </w:r>
            <w:r>
              <w:rPr>
                <w:rFonts w:hint="eastAsia" w:cs="Times New Roman"/>
                <w:color w:val="auto"/>
                <w:sz w:val="21"/>
                <w:szCs w:val="21"/>
                <w:highlight w:val="none"/>
                <w:lang w:val="zh-CN" w:eastAsia="zh-CN"/>
              </w:rPr>
              <w:t>中山市珍家山污水处理有限公司</w:t>
            </w:r>
            <w:r>
              <w:rPr>
                <w:rFonts w:hint="default" w:ascii="Times New Roman" w:hAnsi="Times New Roman" w:eastAsia="宋体" w:cs="Times New Roman"/>
                <w:color w:val="auto"/>
                <w:sz w:val="21"/>
                <w:szCs w:val="21"/>
                <w:highlight w:val="none"/>
                <w:lang w:val="en-US" w:eastAsia="zh-CN"/>
              </w:rPr>
              <w:t>处理达标后排放</w:t>
            </w:r>
            <w:r>
              <w:rPr>
                <w:rFonts w:hint="default" w:ascii="Times New Roman" w:hAnsi="Times New Roman" w:eastAsia="宋体" w:cs="Times New Roman"/>
                <w:snapToGrid w:val="0"/>
                <w:color w:val="auto"/>
                <w:sz w:val="21"/>
                <w:szCs w:val="21"/>
                <w:highlight w:val="none"/>
              </w:rPr>
              <w:t>，对受纳水体</w:t>
            </w:r>
            <w:r>
              <w:rPr>
                <w:rFonts w:hint="eastAsia" w:cs="Times New Roman"/>
                <w:snapToGrid w:val="0"/>
                <w:color w:val="auto"/>
                <w:sz w:val="21"/>
                <w:szCs w:val="21"/>
                <w:highlight w:val="none"/>
                <w:lang w:val="en-US" w:eastAsia="zh-CN"/>
              </w:rPr>
              <w:t>石岐河</w:t>
            </w:r>
            <w:r>
              <w:rPr>
                <w:rFonts w:hint="default" w:ascii="Times New Roman" w:hAnsi="Times New Roman" w:eastAsia="宋体" w:cs="Times New Roman"/>
                <w:snapToGrid w:val="0"/>
                <w:color w:val="auto"/>
                <w:sz w:val="21"/>
                <w:szCs w:val="21"/>
                <w:highlight w:val="none"/>
              </w:rPr>
              <w:t>产生的影响较小</w:t>
            </w:r>
            <w:r>
              <w:rPr>
                <w:rFonts w:hint="default" w:ascii="Times New Roman" w:hAnsi="Times New Roman" w:eastAsia="宋体" w:cs="Times New Roman"/>
                <w:color w:val="auto"/>
                <w:sz w:val="21"/>
                <w:szCs w:val="21"/>
                <w:highlight w:val="none"/>
              </w:rPr>
              <w:t>。</w:t>
            </w:r>
          </w:p>
          <w:p w14:paraId="74DE58EA">
            <w:pPr>
              <w:widowControl/>
              <w:numPr>
                <w:ilvl w:val="0"/>
                <w:numId w:val="0"/>
              </w:numPr>
              <w:shd w:val="clear"/>
              <w:spacing w:line="360" w:lineRule="auto"/>
              <w:ind w:left="0" w:leftChars="0" w:firstLine="0" w:firstLineChars="0"/>
              <w:contextualSpacing/>
              <w:jc w:val="center"/>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kern w:val="2"/>
                <w:sz w:val="24"/>
                <w:szCs w:val="24"/>
                <w:highlight w:val="none"/>
                <w:lang w:val="en-US" w:eastAsia="zh-CN" w:bidi="ar-SA"/>
              </w:rPr>
              <w:t>表1</w:t>
            </w:r>
            <w:r>
              <w:rPr>
                <w:rFonts w:hint="eastAsia" w:cs="Times New Roman"/>
                <w:b/>
                <w:bCs/>
                <w:color w:val="auto"/>
                <w:kern w:val="2"/>
                <w:sz w:val="24"/>
                <w:szCs w:val="24"/>
                <w:highlight w:val="none"/>
                <w:lang w:val="en-US" w:eastAsia="zh-CN" w:bidi="ar-SA"/>
              </w:rPr>
              <w:t>6</w:t>
            </w:r>
            <w:r>
              <w:rPr>
                <w:rFonts w:hint="default" w:ascii="Times New Roman" w:hAnsi="Times New Roman" w:eastAsia="宋体" w:cs="Times New Roman"/>
                <w:b/>
                <w:bCs/>
                <w:color w:val="auto"/>
                <w:sz w:val="24"/>
                <w:szCs w:val="24"/>
                <w:highlight w:val="none"/>
              </w:rPr>
              <w:t>项目水污染物排放标准</w:t>
            </w:r>
          </w:p>
          <w:tbl>
            <w:tblPr>
              <w:tblStyle w:val="33"/>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114"/>
              <w:gridCol w:w="1350"/>
              <w:gridCol w:w="1725"/>
              <w:gridCol w:w="2478"/>
            </w:tblGrid>
            <w:tr w14:paraId="03EBA42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1114" w:type="dxa"/>
                  <w:tcBorders>
                    <w:top w:val="single" w:color="000000" w:sz="8" w:space="0"/>
                    <w:left w:val="single" w:color="000000" w:sz="8" w:space="0"/>
                    <w:bottom w:val="single" w:color="000000" w:sz="8" w:space="0"/>
                    <w:right w:val="single" w:color="000000" w:sz="8" w:space="0"/>
                  </w:tcBorders>
                  <w:shd w:val="clear" w:color="auto" w:fill="auto"/>
                  <w:vAlign w:val="center"/>
                </w:tcPr>
                <w:p w14:paraId="37BBF4C2">
                  <w:pPr>
                    <w:keepNext w:val="0"/>
                    <w:keepLines w:val="0"/>
                    <w:widowControl/>
                    <w:suppressLineNumbers w:val="0"/>
                    <w:shd w:val="clear"/>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废水类型</w:t>
                  </w:r>
                </w:p>
              </w:tc>
              <w:tc>
                <w:tcPr>
                  <w:tcW w:w="1350" w:type="dxa"/>
                  <w:tcBorders>
                    <w:top w:val="single" w:color="000000" w:sz="8" w:space="0"/>
                    <w:left w:val="single" w:color="000000" w:sz="8" w:space="0"/>
                    <w:bottom w:val="single" w:color="000000" w:sz="8" w:space="0"/>
                    <w:right w:val="single" w:color="000000" w:sz="8" w:space="0"/>
                  </w:tcBorders>
                  <w:shd w:val="clear" w:color="auto" w:fill="auto"/>
                  <w:vAlign w:val="center"/>
                </w:tcPr>
                <w:p w14:paraId="3710B48D">
                  <w:pPr>
                    <w:keepNext w:val="0"/>
                    <w:keepLines w:val="0"/>
                    <w:widowControl/>
                    <w:suppressLineNumbers w:val="0"/>
                    <w:shd w:val="clear"/>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污染因子</w:t>
                  </w:r>
                </w:p>
              </w:tc>
              <w:tc>
                <w:tcPr>
                  <w:tcW w:w="1725" w:type="dxa"/>
                  <w:tcBorders>
                    <w:top w:val="single" w:color="000000" w:sz="8" w:space="0"/>
                    <w:left w:val="single" w:color="000000" w:sz="8" w:space="0"/>
                    <w:bottom w:val="single" w:color="000000" w:sz="8" w:space="0"/>
                    <w:right w:val="single" w:color="000000" w:sz="8" w:space="0"/>
                  </w:tcBorders>
                  <w:shd w:val="clear" w:color="auto" w:fill="auto"/>
                  <w:vAlign w:val="center"/>
                </w:tcPr>
                <w:p w14:paraId="39018DE2">
                  <w:pPr>
                    <w:keepNext w:val="0"/>
                    <w:keepLines w:val="0"/>
                    <w:widowControl/>
                    <w:suppressLineNumbers w:val="0"/>
                    <w:shd w:val="clear"/>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排放限值</w:t>
                  </w:r>
                </w:p>
              </w:tc>
              <w:tc>
                <w:tcPr>
                  <w:tcW w:w="2478" w:type="dxa"/>
                  <w:tcBorders>
                    <w:top w:val="single" w:color="000000" w:sz="8" w:space="0"/>
                    <w:left w:val="single" w:color="000000" w:sz="8" w:space="0"/>
                    <w:bottom w:val="single" w:color="000000" w:sz="8" w:space="0"/>
                    <w:right w:val="single" w:color="000000" w:sz="8" w:space="0"/>
                  </w:tcBorders>
                  <w:shd w:val="clear" w:color="auto" w:fill="auto"/>
                  <w:vAlign w:val="center"/>
                </w:tcPr>
                <w:p w14:paraId="464C9F68">
                  <w:pPr>
                    <w:keepNext w:val="0"/>
                    <w:keepLines w:val="0"/>
                    <w:widowControl/>
                    <w:suppressLineNumbers w:val="0"/>
                    <w:shd w:val="clear"/>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排放标准</w:t>
                  </w:r>
                </w:p>
              </w:tc>
            </w:tr>
            <w:tr w14:paraId="19C52B2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jc w:val="center"/>
              </w:trPr>
              <w:tc>
                <w:tcPr>
                  <w:tcW w:w="1114" w:type="dxa"/>
                  <w:vMerge w:val="restart"/>
                  <w:tcBorders>
                    <w:top w:val="nil"/>
                    <w:left w:val="single" w:color="000000" w:sz="8" w:space="0"/>
                    <w:bottom w:val="single" w:color="000000" w:sz="8" w:space="0"/>
                    <w:right w:val="single" w:color="000000" w:sz="8" w:space="0"/>
                  </w:tcBorders>
                  <w:shd w:val="clear" w:color="auto" w:fill="auto"/>
                  <w:vAlign w:val="center"/>
                </w:tcPr>
                <w:p w14:paraId="56B0F652">
                  <w:pPr>
                    <w:keepNext w:val="0"/>
                    <w:keepLines w:val="0"/>
                    <w:widowControl/>
                    <w:suppressLineNumbers w:val="0"/>
                    <w:shd w:val="clear"/>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生活污水</w:t>
                  </w:r>
                </w:p>
              </w:tc>
              <w:tc>
                <w:tcPr>
                  <w:tcW w:w="1350" w:type="dxa"/>
                  <w:tcBorders>
                    <w:top w:val="nil"/>
                    <w:left w:val="single" w:color="000000" w:sz="8" w:space="0"/>
                    <w:bottom w:val="single" w:color="000000" w:sz="8" w:space="0"/>
                    <w:right w:val="single" w:color="000000" w:sz="8" w:space="0"/>
                  </w:tcBorders>
                  <w:shd w:val="clear" w:color="auto" w:fill="auto"/>
                  <w:vAlign w:val="center"/>
                </w:tcPr>
                <w:p w14:paraId="08F165CC">
                  <w:pPr>
                    <w:keepNext w:val="0"/>
                    <w:keepLines w:val="0"/>
                    <w:widowControl/>
                    <w:suppressLineNumbers w:val="0"/>
                    <w:shd w:val="clear"/>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pH</w:t>
                  </w:r>
                </w:p>
              </w:tc>
              <w:tc>
                <w:tcPr>
                  <w:tcW w:w="1725" w:type="dxa"/>
                  <w:tcBorders>
                    <w:top w:val="nil"/>
                    <w:left w:val="single" w:color="000000" w:sz="8" w:space="0"/>
                    <w:bottom w:val="single" w:color="000000" w:sz="8" w:space="0"/>
                    <w:right w:val="single" w:color="000000" w:sz="8" w:space="0"/>
                  </w:tcBorders>
                  <w:shd w:val="clear" w:color="auto" w:fill="auto"/>
                  <w:vAlign w:val="center"/>
                </w:tcPr>
                <w:p w14:paraId="473A78D6">
                  <w:pPr>
                    <w:keepNext w:val="0"/>
                    <w:keepLines w:val="0"/>
                    <w:widowControl/>
                    <w:suppressLineNumbers w:val="0"/>
                    <w:shd w:val="clear"/>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6~9（无量纲）</w:t>
                  </w:r>
                </w:p>
              </w:tc>
              <w:tc>
                <w:tcPr>
                  <w:tcW w:w="2478" w:type="dxa"/>
                  <w:vMerge w:val="restart"/>
                  <w:tcBorders>
                    <w:top w:val="nil"/>
                    <w:left w:val="single" w:color="000000" w:sz="8" w:space="0"/>
                    <w:bottom w:val="single" w:color="000000" w:sz="8" w:space="0"/>
                    <w:right w:val="single" w:color="000000" w:sz="8" w:space="0"/>
                  </w:tcBorders>
                  <w:shd w:val="clear" w:color="auto" w:fill="auto"/>
                  <w:vAlign w:val="center"/>
                </w:tcPr>
                <w:p w14:paraId="075C6781">
                  <w:pPr>
                    <w:keepNext w:val="0"/>
                    <w:keepLines w:val="0"/>
                    <w:widowControl/>
                    <w:suppressLineNumbers w:val="0"/>
                    <w:shd w:val="clear"/>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广东省地方标准《水污染物排放限值》（DB44/26-2001）第二时段三级标准</w:t>
                  </w:r>
                </w:p>
              </w:tc>
            </w:tr>
            <w:tr w14:paraId="5A6005D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jc w:val="center"/>
              </w:trPr>
              <w:tc>
                <w:tcPr>
                  <w:tcW w:w="1114" w:type="dxa"/>
                  <w:vMerge w:val="continue"/>
                  <w:tcBorders>
                    <w:top w:val="nil"/>
                    <w:left w:val="single" w:color="000000" w:sz="8" w:space="0"/>
                    <w:bottom w:val="single" w:color="000000" w:sz="8" w:space="0"/>
                    <w:right w:val="single" w:color="000000" w:sz="8" w:space="0"/>
                  </w:tcBorders>
                  <w:shd w:val="clear" w:color="auto" w:fill="auto"/>
                  <w:vAlign w:val="center"/>
                </w:tcPr>
                <w:p w14:paraId="1A48CB24">
                  <w:pPr>
                    <w:shd w:val="clear"/>
                    <w:jc w:val="center"/>
                    <w:rPr>
                      <w:rFonts w:hint="default" w:ascii="Times New Roman" w:hAnsi="Times New Roman" w:eastAsia="宋体" w:cs="Times New Roman"/>
                      <w:i w:val="0"/>
                      <w:iCs w:val="0"/>
                      <w:color w:val="auto"/>
                      <w:sz w:val="21"/>
                      <w:szCs w:val="21"/>
                      <w:highlight w:val="none"/>
                      <w:u w:val="none"/>
                    </w:rPr>
                  </w:pPr>
                </w:p>
              </w:tc>
              <w:tc>
                <w:tcPr>
                  <w:tcW w:w="1350" w:type="dxa"/>
                  <w:tcBorders>
                    <w:top w:val="nil"/>
                    <w:left w:val="single" w:color="000000" w:sz="8" w:space="0"/>
                    <w:bottom w:val="single" w:color="000000" w:sz="8" w:space="0"/>
                    <w:right w:val="single" w:color="000000" w:sz="8" w:space="0"/>
                  </w:tcBorders>
                  <w:shd w:val="clear" w:color="auto" w:fill="auto"/>
                  <w:vAlign w:val="center"/>
                </w:tcPr>
                <w:p w14:paraId="551198E3">
                  <w:pPr>
                    <w:keepNext w:val="0"/>
                    <w:keepLines w:val="0"/>
                    <w:widowControl/>
                    <w:suppressLineNumbers w:val="0"/>
                    <w:shd w:val="clear"/>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COD</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Cr</w:t>
                  </w:r>
                </w:p>
              </w:tc>
              <w:tc>
                <w:tcPr>
                  <w:tcW w:w="1725" w:type="dxa"/>
                  <w:tcBorders>
                    <w:top w:val="nil"/>
                    <w:left w:val="single" w:color="000000" w:sz="8" w:space="0"/>
                    <w:bottom w:val="single" w:color="000000" w:sz="8" w:space="0"/>
                    <w:right w:val="single" w:color="000000" w:sz="8" w:space="0"/>
                  </w:tcBorders>
                  <w:shd w:val="clear" w:color="auto" w:fill="auto"/>
                  <w:vAlign w:val="center"/>
                </w:tcPr>
                <w:p w14:paraId="1F1325FC">
                  <w:pPr>
                    <w:keepNext w:val="0"/>
                    <w:keepLines w:val="0"/>
                    <w:widowControl/>
                    <w:suppressLineNumbers w:val="0"/>
                    <w:shd w:val="clear"/>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≤500mg/L</w:t>
                  </w:r>
                </w:p>
              </w:tc>
              <w:tc>
                <w:tcPr>
                  <w:tcW w:w="2478" w:type="dxa"/>
                  <w:vMerge w:val="continue"/>
                  <w:tcBorders>
                    <w:top w:val="nil"/>
                    <w:left w:val="single" w:color="000000" w:sz="8" w:space="0"/>
                    <w:bottom w:val="single" w:color="000000" w:sz="8" w:space="0"/>
                    <w:right w:val="single" w:color="000000" w:sz="8" w:space="0"/>
                  </w:tcBorders>
                  <w:shd w:val="clear" w:color="auto" w:fill="auto"/>
                  <w:vAlign w:val="center"/>
                </w:tcPr>
                <w:p w14:paraId="0CE8E9F4">
                  <w:pPr>
                    <w:shd w:val="clear"/>
                    <w:jc w:val="center"/>
                    <w:rPr>
                      <w:rFonts w:hint="default" w:ascii="Times New Roman" w:hAnsi="Times New Roman" w:eastAsia="宋体" w:cs="Times New Roman"/>
                      <w:i w:val="0"/>
                      <w:iCs w:val="0"/>
                      <w:color w:val="auto"/>
                      <w:sz w:val="21"/>
                      <w:szCs w:val="21"/>
                      <w:highlight w:val="none"/>
                      <w:u w:val="none"/>
                    </w:rPr>
                  </w:pPr>
                </w:p>
              </w:tc>
            </w:tr>
            <w:tr w14:paraId="444100D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jc w:val="center"/>
              </w:trPr>
              <w:tc>
                <w:tcPr>
                  <w:tcW w:w="1114" w:type="dxa"/>
                  <w:vMerge w:val="continue"/>
                  <w:tcBorders>
                    <w:top w:val="nil"/>
                    <w:left w:val="single" w:color="000000" w:sz="8" w:space="0"/>
                    <w:bottom w:val="single" w:color="000000" w:sz="8" w:space="0"/>
                    <w:right w:val="single" w:color="000000" w:sz="8" w:space="0"/>
                  </w:tcBorders>
                  <w:shd w:val="clear" w:color="auto" w:fill="auto"/>
                  <w:vAlign w:val="center"/>
                </w:tcPr>
                <w:p w14:paraId="0A508C53">
                  <w:pPr>
                    <w:shd w:val="clear"/>
                    <w:jc w:val="center"/>
                    <w:rPr>
                      <w:rFonts w:hint="default" w:ascii="Times New Roman" w:hAnsi="Times New Roman" w:eastAsia="宋体" w:cs="Times New Roman"/>
                      <w:i w:val="0"/>
                      <w:iCs w:val="0"/>
                      <w:color w:val="auto"/>
                      <w:sz w:val="21"/>
                      <w:szCs w:val="21"/>
                      <w:highlight w:val="none"/>
                      <w:u w:val="none"/>
                    </w:rPr>
                  </w:pPr>
                </w:p>
              </w:tc>
              <w:tc>
                <w:tcPr>
                  <w:tcW w:w="1350" w:type="dxa"/>
                  <w:tcBorders>
                    <w:top w:val="nil"/>
                    <w:left w:val="single" w:color="000000" w:sz="8" w:space="0"/>
                    <w:bottom w:val="single" w:color="000000" w:sz="8" w:space="0"/>
                    <w:right w:val="single" w:color="000000" w:sz="8" w:space="0"/>
                  </w:tcBorders>
                  <w:shd w:val="clear" w:color="auto" w:fill="auto"/>
                  <w:vAlign w:val="center"/>
                </w:tcPr>
                <w:p w14:paraId="3F7FE3C4">
                  <w:pPr>
                    <w:keepNext w:val="0"/>
                    <w:keepLines w:val="0"/>
                    <w:widowControl/>
                    <w:suppressLineNumbers w:val="0"/>
                    <w:shd w:val="clear"/>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BOD</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5</w:t>
                  </w:r>
                </w:p>
              </w:tc>
              <w:tc>
                <w:tcPr>
                  <w:tcW w:w="1725" w:type="dxa"/>
                  <w:tcBorders>
                    <w:top w:val="nil"/>
                    <w:left w:val="single" w:color="000000" w:sz="8" w:space="0"/>
                    <w:bottom w:val="single" w:color="000000" w:sz="8" w:space="0"/>
                    <w:right w:val="single" w:color="000000" w:sz="8" w:space="0"/>
                  </w:tcBorders>
                  <w:shd w:val="clear" w:color="auto" w:fill="auto"/>
                  <w:vAlign w:val="center"/>
                </w:tcPr>
                <w:p w14:paraId="68F6FB95">
                  <w:pPr>
                    <w:keepNext w:val="0"/>
                    <w:keepLines w:val="0"/>
                    <w:widowControl/>
                    <w:suppressLineNumbers w:val="0"/>
                    <w:shd w:val="clear"/>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≤300mg/L</w:t>
                  </w:r>
                </w:p>
              </w:tc>
              <w:tc>
                <w:tcPr>
                  <w:tcW w:w="2478" w:type="dxa"/>
                  <w:vMerge w:val="continue"/>
                  <w:tcBorders>
                    <w:top w:val="nil"/>
                    <w:left w:val="single" w:color="000000" w:sz="8" w:space="0"/>
                    <w:bottom w:val="single" w:color="000000" w:sz="8" w:space="0"/>
                    <w:right w:val="single" w:color="000000" w:sz="8" w:space="0"/>
                  </w:tcBorders>
                  <w:shd w:val="clear" w:color="auto" w:fill="auto"/>
                  <w:vAlign w:val="center"/>
                </w:tcPr>
                <w:p w14:paraId="1F2B1E90">
                  <w:pPr>
                    <w:shd w:val="clear"/>
                    <w:jc w:val="center"/>
                    <w:rPr>
                      <w:rFonts w:hint="default" w:ascii="Times New Roman" w:hAnsi="Times New Roman" w:eastAsia="宋体" w:cs="Times New Roman"/>
                      <w:i w:val="0"/>
                      <w:iCs w:val="0"/>
                      <w:color w:val="auto"/>
                      <w:sz w:val="21"/>
                      <w:szCs w:val="21"/>
                      <w:highlight w:val="none"/>
                      <w:u w:val="none"/>
                    </w:rPr>
                  </w:pPr>
                </w:p>
              </w:tc>
            </w:tr>
            <w:tr w14:paraId="085B984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1114" w:type="dxa"/>
                  <w:vMerge w:val="continue"/>
                  <w:tcBorders>
                    <w:top w:val="nil"/>
                    <w:left w:val="single" w:color="000000" w:sz="8" w:space="0"/>
                    <w:bottom w:val="single" w:color="000000" w:sz="8" w:space="0"/>
                    <w:right w:val="single" w:color="000000" w:sz="8" w:space="0"/>
                  </w:tcBorders>
                  <w:shd w:val="clear" w:color="auto" w:fill="auto"/>
                  <w:vAlign w:val="center"/>
                </w:tcPr>
                <w:p w14:paraId="2B84494E">
                  <w:pPr>
                    <w:shd w:val="clear"/>
                    <w:jc w:val="center"/>
                    <w:rPr>
                      <w:rFonts w:hint="default" w:ascii="Times New Roman" w:hAnsi="Times New Roman" w:eastAsia="宋体" w:cs="Times New Roman"/>
                      <w:i w:val="0"/>
                      <w:iCs w:val="0"/>
                      <w:color w:val="auto"/>
                      <w:sz w:val="21"/>
                      <w:szCs w:val="21"/>
                      <w:highlight w:val="none"/>
                      <w:u w:val="none"/>
                    </w:rPr>
                  </w:pPr>
                </w:p>
              </w:tc>
              <w:tc>
                <w:tcPr>
                  <w:tcW w:w="1350" w:type="dxa"/>
                  <w:tcBorders>
                    <w:top w:val="nil"/>
                    <w:left w:val="single" w:color="000000" w:sz="8" w:space="0"/>
                    <w:bottom w:val="single" w:color="000000" w:sz="8" w:space="0"/>
                    <w:right w:val="single" w:color="000000" w:sz="8" w:space="0"/>
                  </w:tcBorders>
                  <w:shd w:val="clear" w:color="auto" w:fill="auto"/>
                  <w:vAlign w:val="center"/>
                </w:tcPr>
                <w:p w14:paraId="45E81DC5">
                  <w:pPr>
                    <w:keepNext w:val="0"/>
                    <w:keepLines w:val="0"/>
                    <w:widowControl/>
                    <w:suppressLineNumbers w:val="0"/>
                    <w:shd w:val="clear"/>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SS</w:t>
                  </w:r>
                </w:p>
              </w:tc>
              <w:tc>
                <w:tcPr>
                  <w:tcW w:w="1725" w:type="dxa"/>
                  <w:tcBorders>
                    <w:top w:val="nil"/>
                    <w:left w:val="single" w:color="000000" w:sz="8" w:space="0"/>
                    <w:bottom w:val="single" w:color="000000" w:sz="8" w:space="0"/>
                    <w:right w:val="single" w:color="000000" w:sz="8" w:space="0"/>
                  </w:tcBorders>
                  <w:shd w:val="clear" w:color="auto" w:fill="auto"/>
                  <w:vAlign w:val="center"/>
                </w:tcPr>
                <w:p w14:paraId="20D2F3EA">
                  <w:pPr>
                    <w:keepNext w:val="0"/>
                    <w:keepLines w:val="0"/>
                    <w:widowControl/>
                    <w:suppressLineNumbers w:val="0"/>
                    <w:shd w:val="clear"/>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≤400mg/L</w:t>
                  </w:r>
                </w:p>
              </w:tc>
              <w:tc>
                <w:tcPr>
                  <w:tcW w:w="2478" w:type="dxa"/>
                  <w:vMerge w:val="continue"/>
                  <w:tcBorders>
                    <w:top w:val="nil"/>
                    <w:left w:val="single" w:color="000000" w:sz="8" w:space="0"/>
                    <w:bottom w:val="single" w:color="000000" w:sz="8" w:space="0"/>
                    <w:right w:val="single" w:color="000000" w:sz="8" w:space="0"/>
                  </w:tcBorders>
                  <w:shd w:val="clear" w:color="auto" w:fill="auto"/>
                  <w:vAlign w:val="center"/>
                </w:tcPr>
                <w:p w14:paraId="62DAB745">
                  <w:pPr>
                    <w:shd w:val="clear"/>
                    <w:jc w:val="center"/>
                    <w:rPr>
                      <w:rFonts w:hint="default" w:ascii="Times New Roman" w:hAnsi="Times New Roman" w:eastAsia="宋体" w:cs="Times New Roman"/>
                      <w:i w:val="0"/>
                      <w:iCs w:val="0"/>
                      <w:color w:val="auto"/>
                      <w:sz w:val="21"/>
                      <w:szCs w:val="21"/>
                      <w:highlight w:val="none"/>
                      <w:u w:val="none"/>
                    </w:rPr>
                  </w:pPr>
                </w:p>
              </w:tc>
            </w:tr>
            <w:tr w14:paraId="48AD687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0" w:hRule="atLeast"/>
                <w:jc w:val="center"/>
              </w:trPr>
              <w:tc>
                <w:tcPr>
                  <w:tcW w:w="1114" w:type="dxa"/>
                  <w:vMerge w:val="continue"/>
                  <w:tcBorders>
                    <w:top w:val="nil"/>
                    <w:left w:val="single" w:color="000000" w:sz="8" w:space="0"/>
                    <w:bottom w:val="single" w:color="000000" w:sz="8" w:space="0"/>
                    <w:right w:val="single" w:color="000000" w:sz="8" w:space="0"/>
                  </w:tcBorders>
                  <w:shd w:val="clear" w:color="auto" w:fill="auto"/>
                  <w:vAlign w:val="center"/>
                </w:tcPr>
                <w:p w14:paraId="32EA686A">
                  <w:pPr>
                    <w:shd w:val="clear"/>
                    <w:jc w:val="center"/>
                    <w:rPr>
                      <w:rFonts w:hint="default" w:ascii="Times New Roman" w:hAnsi="Times New Roman" w:eastAsia="宋体" w:cs="Times New Roman"/>
                      <w:i w:val="0"/>
                      <w:iCs w:val="0"/>
                      <w:color w:val="auto"/>
                      <w:sz w:val="21"/>
                      <w:szCs w:val="21"/>
                      <w:highlight w:val="none"/>
                      <w:u w:val="none"/>
                    </w:rPr>
                  </w:pPr>
                </w:p>
              </w:tc>
              <w:tc>
                <w:tcPr>
                  <w:tcW w:w="1350" w:type="dxa"/>
                  <w:tcBorders>
                    <w:top w:val="nil"/>
                    <w:left w:val="single" w:color="000000" w:sz="8" w:space="0"/>
                    <w:bottom w:val="single" w:color="000000" w:sz="8" w:space="0"/>
                    <w:right w:val="single" w:color="000000" w:sz="8" w:space="0"/>
                  </w:tcBorders>
                  <w:shd w:val="clear" w:color="auto" w:fill="auto"/>
                  <w:vAlign w:val="center"/>
                </w:tcPr>
                <w:p w14:paraId="096F7A98">
                  <w:pPr>
                    <w:keepNext w:val="0"/>
                    <w:keepLines w:val="0"/>
                    <w:widowControl/>
                    <w:suppressLineNumbers w:val="0"/>
                    <w:shd w:val="clear"/>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NH</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3</w:t>
                  </w:r>
                  <w:r>
                    <w:rPr>
                      <w:rFonts w:hint="default" w:ascii="Times New Roman" w:hAnsi="Times New Roman" w:eastAsia="宋体" w:cs="Times New Roman"/>
                      <w:i w:val="0"/>
                      <w:iCs w:val="0"/>
                      <w:color w:val="auto"/>
                      <w:kern w:val="0"/>
                      <w:sz w:val="21"/>
                      <w:szCs w:val="21"/>
                      <w:highlight w:val="none"/>
                      <w:u w:val="none"/>
                      <w:lang w:val="en-US" w:eastAsia="zh-CN" w:bidi="ar"/>
                    </w:rPr>
                    <w:t>-N</w:t>
                  </w:r>
                </w:p>
              </w:tc>
              <w:tc>
                <w:tcPr>
                  <w:tcW w:w="1725" w:type="dxa"/>
                  <w:tcBorders>
                    <w:top w:val="nil"/>
                    <w:left w:val="single" w:color="000000" w:sz="8" w:space="0"/>
                    <w:bottom w:val="single" w:color="000000" w:sz="8" w:space="0"/>
                    <w:right w:val="single" w:color="000000" w:sz="8" w:space="0"/>
                  </w:tcBorders>
                  <w:shd w:val="clear" w:color="auto" w:fill="auto"/>
                  <w:vAlign w:val="center"/>
                </w:tcPr>
                <w:p w14:paraId="34978FFF">
                  <w:pPr>
                    <w:keepNext w:val="0"/>
                    <w:keepLines w:val="0"/>
                    <w:widowControl/>
                    <w:suppressLineNumbers w:val="0"/>
                    <w:shd w:val="clear"/>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2478" w:type="dxa"/>
                  <w:vMerge w:val="continue"/>
                  <w:tcBorders>
                    <w:top w:val="nil"/>
                    <w:left w:val="single" w:color="000000" w:sz="8" w:space="0"/>
                    <w:bottom w:val="single" w:color="000000" w:sz="8" w:space="0"/>
                    <w:right w:val="single" w:color="000000" w:sz="8" w:space="0"/>
                  </w:tcBorders>
                  <w:shd w:val="clear" w:color="auto" w:fill="auto"/>
                  <w:vAlign w:val="center"/>
                </w:tcPr>
                <w:p w14:paraId="147885CC">
                  <w:pPr>
                    <w:shd w:val="clear"/>
                    <w:jc w:val="center"/>
                    <w:rPr>
                      <w:rFonts w:hint="default" w:ascii="Times New Roman" w:hAnsi="Times New Roman" w:eastAsia="宋体" w:cs="Times New Roman"/>
                      <w:i w:val="0"/>
                      <w:iCs w:val="0"/>
                      <w:color w:val="auto"/>
                      <w:sz w:val="21"/>
                      <w:szCs w:val="21"/>
                      <w:highlight w:val="none"/>
                      <w:u w:val="none"/>
                    </w:rPr>
                  </w:pPr>
                </w:p>
              </w:tc>
            </w:tr>
          </w:tbl>
          <w:p w14:paraId="3317C207">
            <w:pPr>
              <w:shd w:val="clear"/>
              <w:adjustRightInd w:val="0"/>
              <w:snapToGrid w:val="0"/>
              <w:ind w:firstLine="0" w:firstLineChars="0"/>
              <w:jc w:val="left"/>
              <w:rPr>
                <w:rFonts w:hint="default" w:ascii="Times New Roman" w:hAnsi="Times New Roman" w:eastAsia="宋体" w:cs="Times New Roman"/>
                <w:b/>
                <w:bCs/>
                <w:color w:val="auto"/>
                <w:kern w:val="0"/>
                <w:sz w:val="24"/>
                <w:szCs w:val="24"/>
                <w:highlight w:val="none"/>
                <w:lang w:val="en-US" w:eastAsia="zh-CN"/>
              </w:rPr>
            </w:pPr>
          </w:p>
          <w:p w14:paraId="661EB379">
            <w:pPr>
              <w:shd w:val="clear"/>
              <w:adjustRightInd w:val="0"/>
              <w:snapToGrid w:val="0"/>
              <w:ind w:firstLine="482" w:firstLineChars="200"/>
              <w:jc w:val="left"/>
              <w:rPr>
                <w:rFonts w:hint="default" w:ascii="Times New Roman" w:hAnsi="Times New Roman" w:eastAsia="宋体" w:cs="Times New Roman"/>
                <w:b/>
                <w:bCs/>
                <w:color w:val="auto"/>
                <w:kern w:val="0"/>
                <w:sz w:val="24"/>
                <w:szCs w:val="24"/>
                <w:highlight w:val="none"/>
                <w:lang w:val="en-US" w:eastAsia="zh-CN"/>
              </w:rPr>
            </w:pPr>
            <w:r>
              <w:rPr>
                <w:rFonts w:hint="default" w:ascii="Times New Roman" w:hAnsi="Times New Roman" w:eastAsia="宋体" w:cs="Times New Roman"/>
                <w:b/>
                <w:bCs/>
                <w:color w:val="auto"/>
                <w:kern w:val="0"/>
                <w:sz w:val="24"/>
                <w:szCs w:val="24"/>
                <w:highlight w:val="none"/>
                <w:lang w:val="en-US" w:eastAsia="zh-CN"/>
              </w:rPr>
              <w:t>二、大气污染物排放标准</w:t>
            </w:r>
          </w:p>
          <w:p w14:paraId="073FAF60">
            <w:pPr>
              <w:pStyle w:val="40"/>
              <w:shd w:val="clear"/>
              <w:spacing w:line="360" w:lineRule="auto"/>
              <w:jc w:val="center"/>
              <w:rPr>
                <w:rFonts w:hint="default" w:ascii="Times New Roman" w:hAnsi="Times New Roman" w:eastAsia="宋体" w:cs="Times New Roman"/>
                <w:b/>
                <w:bCs/>
                <w:color w:val="auto"/>
                <w:kern w:val="0"/>
                <w:sz w:val="24"/>
                <w:szCs w:val="24"/>
                <w:highlight w:val="none"/>
                <w:lang w:val="en-US" w:eastAsia="zh-CN"/>
              </w:rPr>
            </w:pPr>
            <w:r>
              <w:rPr>
                <w:rFonts w:hint="default" w:ascii="Times New Roman" w:hAnsi="Times New Roman" w:eastAsia="宋体" w:cs="Times New Roman"/>
                <w:b/>
                <w:bCs/>
                <w:color w:val="auto"/>
                <w:kern w:val="0"/>
                <w:sz w:val="24"/>
                <w:szCs w:val="24"/>
                <w:highlight w:val="none"/>
                <w:lang w:val="en-US" w:eastAsia="zh-CN"/>
              </w:rPr>
              <w:t>表1</w:t>
            </w:r>
            <w:r>
              <w:rPr>
                <w:rFonts w:hint="eastAsia" w:ascii="Times New Roman" w:cs="Times New Roman"/>
                <w:b/>
                <w:bCs/>
                <w:color w:val="auto"/>
                <w:kern w:val="0"/>
                <w:sz w:val="24"/>
                <w:szCs w:val="24"/>
                <w:highlight w:val="none"/>
                <w:lang w:val="en-US" w:eastAsia="zh-CN"/>
              </w:rPr>
              <w:t>7</w:t>
            </w:r>
            <w:r>
              <w:rPr>
                <w:rFonts w:hint="default" w:ascii="Times New Roman" w:hAnsi="Times New Roman" w:eastAsia="宋体" w:cs="Times New Roman"/>
                <w:b/>
                <w:bCs/>
                <w:color w:val="auto"/>
                <w:kern w:val="0"/>
                <w:sz w:val="24"/>
                <w:szCs w:val="24"/>
                <w:highlight w:val="none"/>
                <w:lang w:val="en-US" w:eastAsia="zh-CN"/>
              </w:rPr>
              <w:t>项目大气污染物排放标准</w:t>
            </w:r>
          </w:p>
          <w:tbl>
            <w:tblPr>
              <w:tblStyle w:val="33"/>
              <w:tblW w:w="476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35"/>
              <w:gridCol w:w="878"/>
              <w:gridCol w:w="1266"/>
              <w:gridCol w:w="497"/>
              <w:gridCol w:w="1026"/>
              <w:gridCol w:w="850"/>
              <w:gridCol w:w="2884"/>
            </w:tblGrid>
            <w:tr w14:paraId="16D70B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765" w:hRule="atLeast"/>
                <w:jc w:val="center"/>
              </w:trPr>
              <w:tc>
                <w:tcPr>
                  <w:tcW w:w="395" w:type="pct"/>
                  <w:vMerge w:val="restart"/>
                  <w:noWrap w:val="0"/>
                  <w:vAlign w:val="center"/>
                </w:tcPr>
                <w:p w14:paraId="6A6428CC">
                  <w:pPr>
                    <w:pStyle w:val="62"/>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废气种类</w:t>
                  </w:r>
                </w:p>
              </w:tc>
              <w:tc>
                <w:tcPr>
                  <w:tcW w:w="546" w:type="pct"/>
                  <w:vMerge w:val="restart"/>
                  <w:noWrap/>
                  <w:vAlign w:val="center"/>
                </w:tcPr>
                <w:p w14:paraId="2ECA29EC">
                  <w:pPr>
                    <w:pStyle w:val="62"/>
                    <w:rPr>
                      <w:rFonts w:hint="default" w:ascii="Times New Roman" w:hAnsi="Times New Roman" w:cs="Times New Roman"/>
                      <w:b/>
                      <w:bCs/>
                      <w:color w:val="auto"/>
                      <w:sz w:val="22"/>
                      <w:szCs w:val="22"/>
                      <w:highlight w:val="none"/>
                    </w:rPr>
                  </w:pPr>
                  <w:r>
                    <w:rPr>
                      <w:rFonts w:hint="default" w:ascii="Times New Roman" w:hAnsi="Times New Roman" w:cs="Times New Roman"/>
                      <w:b/>
                      <w:bCs/>
                      <w:color w:val="auto"/>
                      <w:sz w:val="22"/>
                      <w:szCs w:val="22"/>
                      <w:highlight w:val="none"/>
                    </w:rPr>
                    <w:t>排气筒</w:t>
                  </w:r>
                </w:p>
                <w:p w14:paraId="063D32A6">
                  <w:pPr>
                    <w:pStyle w:val="62"/>
                    <w:rPr>
                      <w:rFonts w:hint="default" w:ascii="Times New Roman" w:hAnsi="Times New Roman" w:cs="Times New Roman"/>
                      <w:b/>
                      <w:bCs/>
                      <w:color w:val="auto"/>
                      <w:sz w:val="22"/>
                      <w:szCs w:val="22"/>
                      <w:highlight w:val="none"/>
                    </w:rPr>
                  </w:pPr>
                  <w:r>
                    <w:rPr>
                      <w:rFonts w:hint="default" w:ascii="Times New Roman" w:hAnsi="Times New Roman" w:cs="Times New Roman"/>
                      <w:b/>
                      <w:bCs/>
                      <w:color w:val="auto"/>
                      <w:sz w:val="22"/>
                      <w:szCs w:val="22"/>
                      <w:highlight w:val="none"/>
                    </w:rPr>
                    <w:t>编号</w:t>
                  </w:r>
                </w:p>
              </w:tc>
              <w:tc>
                <w:tcPr>
                  <w:tcW w:w="787" w:type="pct"/>
                  <w:vMerge w:val="restart"/>
                  <w:noWrap w:val="0"/>
                  <w:vAlign w:val="center"/>
                </w:tcPr>
                <w:p w14:paraId="3F358291">
                  <w:pPr>
                    <w:pStyle w:val="62"/>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污染物</w:t>
                  </w:r>
                </w:p>
              </w:tc>
              <w:tc>
                <w:tcPr>
                  <w:tcW w:w="309" w:type="pct"/>
                  <w:vMerge w:val="restart"/>
                  <w:noWrap w:val="0"/>
                  <w:vAlign w:val="center"/>
                </w:tcPr>
                <w:p w14:paraId="5633913A">
                  <w:pPr>
                    <w:pStyle w:val="62"/>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排气筒高度m</w:t>
                  </w:r>
                </w:p>
              </w:tc>
              <w:tc>
                <w:tcPr>
                  <w:tcW w:w="638" w:type="pct"/>
                  <w:vMerge w:val="restart"/>
                  <w:noWrap w:val="0"/>
                  <w:vAlign w:val="center"/>
                </w:tcPr>
                <w:p w14:paraId="24D5B244">
                  <w:pPr>
                    <w:pStyle w:val="62"/>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最高允许排放浓度mg/m</w:t>
                  </w:r>
                  <w:r>
                    <w:rPr>
                      <w:rFonts w:hint="default" w:ascii="Times New Roman" w:hAnsi="Times New Roman" w:cs="Times New Roman"/>
                      <w:b/>
                      <w:bCs/>
                      <w:color w:val="auto"/>
                      <w:highlight w:val="none"/>
                      <w:vertAlign w:val="superscript"/>
                    </w:rPr>
                    <w:t>3</w:t>
                  </w:r>
                </w:p>
              </w:tc>
              <w:tc>
                <w:tcPr>
                  <w:tcW w:w="528" w:type="pct"/>
                  <w:vMerge w:val="restart"/>
                  <w:noWrap w:val="0"/>
                  <w:vAlign w:val="center"/>
                </w:tcPr>
                <w:p w14:paraId="2B7745FA">
                  <w:pPr>
                    <w:pStyle w:val="62"/>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最高允许排放速率kg/h</w:t>
                  </w:r>
                </w:p>
              </w:tc>
              <w:tc>
                <w:tcPr>
                  <w:tcW w:w="1794" w:type="pct"/>
                  <w:vMerge w:val="restart"/>
                  <w:noWrap w:val="0"/>
                  <w:vAlign w:val="center"/>
                </w:tcPr>
                <w:p w14:paraId="33B87370">
                  <w:pPr>
                    <w:pStyle w:val="62"/>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标准来源</w:t>
                  </w:r>
                </w:p>
              </w:tc>
            </w:tr>
            <w:tr w14:paraId="553282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395" w:type="pct"/>
                  <w:vMerge w:val="continue"/>
                  <w:noWrap w:val="0"/>
                  <w:vAlign w:val="center"/>
                </w:tcPr>
                <w:p w14:paraId="38769BD1">
                  <w:pPr>
                    <w:pStyle w:val="62"/>
                    <w:rPr>
                      <w:rFonts w:hint="default" w:ascii="Times New Roman" w:hAnsi="Times New Roman" w:cs="Times New Roman"/>
                      <w:color w:val="auto"/>
                      <w:highlight w:val="none"/>
                    </w:rPr>
                  </w:pPr>
                </w:p>
              </w:tc>
              <w:tc>
                <w:tcPr>
                  <w:tcW w:w="546" w:type="pct"/>
                  <w:vMerge w:val="continue"/>
                  <w:noWrap w:val="0"/>
                  <w:vAlign w:val="center"/>
                </w:tcPr>
                <w:p w14:paraId="38983984">
                  <w:pPr>
                    <w:pStyle w:val="62"/>
                    <w:rPr>
                      <w:rFonts w:hint="default" w:ascii="Times New Roman" w:hAnsi="Times New Roman" w:cs="Times New Roman"/>
                      <w:color w:val="auto"/>
                      <w:sz w:val="22"/>
                      <w:szCs w:val="22"/>
                      <w:highlight w:val="none"/>
                    </w:rPr>
                  </w:pPr>
                </w:p>
              </w:tc>
              <w:tc>
                <w:tcPr>
                  <w:tcW w:w="787" w:type="pct"/>
                  <w:vMerge w:val="continue"/>
                  <w:noWrap w:val="0"/>
                  <w:vAlign w:val="center"/>
                </w:tcPr>
                <w:p w14:paraId="3A05F46E">
                  <w:pPr>
                    <w:pStyle w:val="62"/>
                    <w:rPr>
                      <w:rFonts w:hint="default" w:ascii="Times New Roman" w:hAnsi="Times New Roman" w:cs="Times New Roman"/>
                      <w:color w:val="auto"/>
                      <w:highlight w:val="none"/>
                    </w:rPr>
                  </w:pPr>
                </w:p>
              </w:tc>
              <w:tc>
                <w:tcPr>
                  <w:tcW w:w="309" w:type="pct"/>
                  <w:vMerge w:val="continue"/>
                  <w:noWrap w:val="0"/>
                  <w:vAlign w:val="center"/>
                </w:tcPr>
                <w:p w14:paraId="32FB2947">
                  <w:pPr>
                    <w:pStyle w:val="62"/>
                    <w:rPr>
                      <w:rFonts w:hint="default" w:ascii="Times New Roman" w:hAnsi="Times New Roman" w:cs="Times New Roman"/>
                      <w:color w:val="auto"/>
                      <w:highlight w:val="none"/>
                    </w:rPr>
                  </w:pPr>
                </w:p>
              </w:tc>
              <w:tc>
                <w:tcPr>
                  <w:tcW w:w="638" w:type="pct"/>
                  <w:vMerge w:val="continue"/>
                  <w:noWrap w:val="0"/>
                  <w:vAlign w:val="center"/>
                </w:tcPr>
                <w:p w14:paraId="778593A7">
                  <w:pPr>
                    <w:pStyle w:val="62"/>
                    <w:rPr>
                      <w:rFonts w:hint="default" w:ascii="Times New Roman" w:hAnsi="Times New Roman" w:cs="Times New Roman"/>
                      <w:color w:val="auto"/>
                      <w:highlight w:val="none"/>
                    </w:rPr>
                  </w:pPr>
                </w:p>
              </w:tc>
              <w:tc>
                <w:tcPr>
                  <w:tcW w:w="528" w:type="pct"/>
                  <w:vMerge w:val="continue"/>
                  <w:noWrap w:val="0"/>
                  <w:vAlign w:val="center"/>
                </w:tcPr>
                <w:p w14:paraId="4ACABDB6">
                  <w:pPr>
                    <w:pStyle w:val="62"/>
                    <w:rPr>
                      <w:rFonts w:hint="default" w:ascii="Times New Roman" w:hAnsi="Times New Roman" w:cs="Times New Roman"/>
                      <w:color w:val="auto"/>
                      <w:highlight w:val="none"/>
                    </w:rPr>
                  </w:pPr>
                </w:p>
              </w:tc>
              <w:tc>
                <w:tcPr>
                  <w:tcW w:w="1794" w:type="pct"/>
                  <w:vMerge w:val="continue"/>
                  <w:noWrap w:val="0"/>
                  <w:vAlign w:val="center"/>
                </w:tcPr>
                <w:p w14:paraId="394DC4AB">
                  <w:pPr>
                    <w:pStyle w:val="62"/>
                    <w:rPr>
                      <w:rFonts w:hint="default" w:ascii="Times New Roman" w:hAnsi="Times New Roman" w:cs="Times New Roman"/>
                      <w:color w:val="auto"/>
                      <w:highlight w:val="none"/>
                    </w:rPr>
                  </w:pPr>
                </w:p>
              </w:tc>
            </w:tr>
            <w:tr w14:paraId="7F9853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5" w:hRule="atLeast"/>
                <w:jc w:val="center"/>
              </w:trPr>
              <w:tc>
                <w:tcPr>
                  <w:tcW w:w="395" w:type="pct"/>
                  <w:vMerge w:val="restart"/>
                  <w:noWrap w:val="0"/>
                  <w:vAlign w:val="center"/>
                </w:tcPr>
                <w:p w14:paraId="46A4CE9C">
                  <w:pPr>
                    <w:pStyle w:val="62"/>
                    <w:rPr>
                      <w:rFonts w:hint="default" w:ascii="Times New Roman" w:hAnsi="Times New Roman" w:cs="Times New Roman"/>
                      <w:color w:val="auto"/>
                      <w:highlight w:val="none"/>
                    </w:rPr>
                  </w:pPr>
                  <w:r>
                    <w:rPr>
                      <w:rFonts w:hint="default" w:ascii="Times New Roman" w:hAnsi="Times New Roman" w:cs="Times New Roman"/>
                      <w:color w:val="auto"/>
                      <w:highlight w:val="none"/>
                    </w:rPr>
                    <w:t>酸雾废气</w:t>
                  </w:r>
                </w:p>
              </w:tc>
              <w:tc>
                <w:tcPr>
                  <w:tcW w:w="546" w:type="pct"/>
                  <w:vMerge w:val="restart"/>
                  <w:noWrap w:val="0"/>
                  <w:vAlign w:val="center"/>
                </w:tcPr>
                <w:p w14:paraId="198D135F">
                  <w:pPr>
                    <w:pStyle w:val="62"/>
                    <w:rPr>
                      <w:rFonts w:hint="default" w:ascii="Times New Roman" w:hAnsi="Times New Roman" w:cs="Times New Roman"/>
                      <w:color w:val="auto"/>
                      <w:highlight w:val="none"/>
                    </w:rPr>
                  </w:pPr>
                  <w:r>
                    <w:rPr>
                      <w:rFonts w:hint="default" w:ascii="Times New Roman" w:hAnsi="Times New Roman" w:cs="Times New Roman"/>
                      <w:color w:val="auto"/>
                      <w:highlight w:val="none"/>
                    </w:rPr>
                    <w:t>G1</w:t>
                  </w:r>
                </w:p>
              </w:tc>
              <w:tc>
                <w:tcPr>
                  <w:tcW w:w="787" w:type="pct"/>
                  <w:noWrap w:val="0"/>
                  <w:vAlign w:val="center"/>
                </w:tcPr>
                <w:p w14:paraId="5B85E114">
                  <w:pPr>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en-US" w:eastAsia="zh-CN" w:bidi="ar-SA"/>
                    </w:rPr>
                    <w:t>硫酸雾</w:t>
                  </w:r>
                </w:p>
              </w:tc>
              <w:tc>
                <w:tcPr>
                  <w:tcW w:w="309" w:type="pct"/>
                  <w:vMerge w:val="restart"/>
                  <w:noWrap w:val="0"/>
                  <w:vAlign w:val="center"/>
                </w:tcPr>
                <w:p w14:paraId="176E7A1F">
                  <w:pPr>
                    <w:pStyle w:val="62"/>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43</w:t>
                  </w:r>
                </w:p>
              </w:tc>
              <w:tc>
                <w:tcPr>
                  <w:tcW w:w="638" w:type="pct"/>
                  <w:noWrap w:val="0"/>
                  <w:vAlign w:val="center"/>
                </w:tcPr>
                <w:p w14:paraId="1A396DF2">
                  <w:pPr>
                    <w:pStyle w:val="62"/>
                    <w:rPr>
                      <w:rFonts w:hint="default" w:ascii="Times New Roman" w:hAnsi="Times New Roman" w:cs="Times New Roman"/>
                      <w:color w:val="auto"/>
                      <w:highlight w:val="none"/>
                    </w:rPr>
                  </w:pPr>
                  <w:r>
                    <w:rPr>
                      <w:rFonts w:hint="default" w:ascii="Times New Roman" w:hAnsi="Times New Roman" w:cs="Times New Roman"/>
                      <w:color w:val="auto"/>
                      <w:highlight w:val="none"/>
                    </w:rPr>
                    <w:t>35</w:t>
                  </w:r>
                </w:p>
              </w:tc>
              <w:tc>
                <w:tcPr>
                  <w:tcW w:w="528" w:type="pct"/>
                  <w:noWrap w:val="0"/>
                  <w:vAlign w:val="center"/>
                </w:tcPr>
                <w:p w14:paraId="54D4F221">
                  <w:pPr>
                    <w:pStyle w:val="62"/>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7.4</w:t>
                  </w:r>
                </w:p>
              </w:tc>
              <w:tc>
                <w:tcPr>
                  <w:tcW w:w="1794" w:type="pct"/>
                  <w:vMerge w:val="restart"/>
                  <w:noWrap w:val="0"/>
                  <w:vAlign w:val="center"/>
                </w:tcPr>
                <w:p w14:paraId="4E7AD554">
                  <w:pPr>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广东省地方标准《大气污染物排放限值》（DB44/27-2001）第二时段二级标准</w:t>
                  </w:r>
                </w:p>
              </w:tc>
            </w:tr>
            <w:tr w14:paraId="72FB62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jc w:val="center"/>
              </w:trPr>
              <w:tc>
                <w:tcPr>
                  <w:tcW w:w="395" w:type="pct"/>
                  <w:vMerge w:val="continue"/>
                  <w:noWrap w:val="0"/>
                  <w:vAlign w:val="center"/>
                </w:tcPr>
                <w:p w14:paraId="16337105">
                  <w:pPr>
                    <w:pStyle w:val="62"/>
                    <w:rPr>
                      <w:rFonts w:hint="default" w:ascii="Times New Roman" w:hAnsi="Times New Roman" w:cs="Times New Roman"/>
                      <w:color w:val="auto"/>
                      <w:highlight w:val="none"/>
                    </w:rPr>
                  </w:pPr>
                </w:p>
              </w:tc>
              <w:tc>
                <w:tcPr>
                  <w:tcW w:w="546" w:type="pct"/>
                  <w:vMerge w:val="continue"/>
                  <w:noWrap w:val="0"/>
                  <w:vAlign w:val="center"/>
                </w:tcPr>
                <w:p w14:paraId="65D64FE9">
                  <w:pPr>
                    <w:pStyle w:val="62"/>
                    <w:rPr>
                      <w:rFonts w:hint="default" w:ascii="Times New Roman" w:hAnsi="Times New Roman" w:cs="Times New Roman"/>
                      <w:color w:val="auto"/>
                      <w:highlight w:val="none"/>
                    </w:rPr>
                  </w:pPr>
                </w:p>
              </w:tc>
              <w:tc>
                <w:tcPr>
                  <w:tcW w:w="787" w:type="pct"/>
                  <w:noWrap w:val="0"/>
                  <w:vAlign w:val="center"/>
                </w:tcPr>
                <w:p w14:paraId="346A0FDA">
                  <w:pPr>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氯化氢</w:t>
                  </w:r>
                </w:p>
              </w:tc>
              <w:tc>
                <w:tcPr>
                  <w:tcW w:w="309" w:type="pct"/>
                  <w:vMerge w:val="continue"/>
                  <w:noWrap w:val="0"/>
                  <w:vAlign w:val="center"/>
                </w:tcPr>
                <w:p w14:paraId="49E072C0">
                  <w:pPr>
                    <w:pStyle w:val="62"/>
                    <w:rPr>
                      <w:rFonts w:hint="default" w:ascii="Times New Roman" w:hAnsi="Times New Roman" w:cs="Times New Roman"/>
                      <w:color w:val="auto"/>
                      <w:highlight w:val="none"/>
                    </w:rPr>
                  </w:pPr>
                </w:p>
              </w:tc>
              <w:tc>
                <w:tcPr>
                  <w:tcW w:w="638" w:type="pct"/>
                  <w:noWrap w:val="0"/>
                  <w:vAlign w:val="center"/>
                </w:tcPr>
                <w:p w14:paraId="72584C5D">
                  <w:pPr>
                    <w:pStyle w:val="62"/>
                    <w:rPr>
                      <w:rFonts w:hint="default" w:ascii="Times New Roman" w:hAnsi="Times New Roman" w:cs="Times New Roman"/>
                      <w:color w:val="auto"/>
                      <w:highlight w:val="none"/>
                    </w:rPr>
                  </w:pPr>
                  <w:r>
                    <w:rPr>
                      <w:rFonts w:hint="default" w:ascii="Times New Roman" w:hAnsi="Times New Roman" w:cs="Times New Roman"/>
                      <w:color w:val="auto"/>
                      <w:highlight w:val="none"/>
                    </w:rPr>
                    <w:t>100</w:t>
                  </w:r>
                </w:p>
              </w:tc>
              <w:tc>
                <w:tcPr>
                  <w:tcW w:w="528" w:type="pct"/>
                  <w:noWrap w:val="0"/>
                  <w:vAlign w:val="center"/>
                </w:tcPr>
                <w:p w14:paraId="195AE4E8">
                  <w:pPr>
                    <w:pStyle w:val="62"/>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1.215</w:t>
                  </w:r>
                </w:p>
              </w:tc>
              <w:tc>
                <w:tcPr>
                  <w:tcW w:w="1794" w:type="pct"/>
                  <w:vMerge w:val="continue"/>
                  <w:noWrap w:val="0"/>
                  <w:vAlign w:val="center"/>
                </w:tcPr>
                <w:p w14:paraId="4CC91BB9">
                  <w:pPr>
                    <w:jc w:val="center"/>
                    <w:rPr>
                      <w:rFonts w:hint="default" w:ascii="Times New Roman" w:hAnsi="Times New Roman" w:cs="Times New Roman"/>
                      <w:bCs/>
                      <w:color w:val="auto"/>
                      <w:szCs w:val="21"/>
                      <w:highlight w:val="none"/>
                    </w:rPr>
                  </w:pPr>
                </w:p>
              </w:tc>
            </w:tr>
            <w:tr w14:paraId="53560D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7" w:hRule="atLeast"/>
                <w:jc w:val="center"/>
              </w:trPr>
              <w:tc>
                <w:tcPr>
                  <w:tcW w:w="395" w:type="pct"/>
                  <w:vMerge w:val="continue"/>
                  <w:noWrap w:val="0"/>
                  <w:vAlign w:val="center"/>
                </w:tcPr>
                <w:p w14:paraId="77F450CD">
                  <w:pPr>
                    <w:pStyle w:val="62"/>
                    <w:rPr>
                      <w:rFonts w:hint="default" w:ascii="Times New Roman" w:hAnsi="Times New Roman" w:cs="Times New Roman"/>
                      <w:color w:val="auto"/>
                      <w:highlight w:val="none"/>
                    </w:rPr>
                  </w:pPr>
                </w:p>
              </w:tc>
              <w:tc>
                <w:tcPr>
                  <w:tcW w:w="546" w:type="pct"/>
                  <w:vMerge w:val="continue"/>
                  <w:noWrap w:val="0"/>
                  <w:vAlign w:val="center"/>
                </w:tcPr>
                <w:p w14:paraId="69BF1DC8">
                  <w:pPr>
                    <w:pStyle w:val="62"/>
                    <w:rPr>
                      <w:rFonts w:hint="default" w:ascii="Times New Roman" w:hAnsi="Times New Roman" w:cs="Times New Roman"/>
                      <w:color w:val="auto"/>
                      <w:highlight w:val="none"/>
                    </w:rPr>
                  </w:pPr>
                </w:p>
              </w:tc>
              <w:tc>
                <w:tcPr>
                  <w:tcW w:w="787" w:type="pct"/>
                  <w:noWrap w:val="0"/>
                  <w:vAlign w:val="center"/>
                </w:tcPr>
                <w:p w14:paraId="6FC69742">
                  <w:pPr>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氮氧化物</w:t>
                  </w:r>
                </w:p>
              </w:tc>
              <w:tc>
                <w:tcPr>
                  <w:tcW w:w="309" w:type="pct"/>
                  <w:vMerge w:val="continue"/>
                  <w:noWrap w:val="0"/>
                  <w:vAlign w:val="center"/>
                </w:tcPr>
                <w:p w14:paraId="04AA4549">
                  <w:pPr>
                    <w:pStyle w:val="62"/>
                    <w:rPr>
                      <w:rFonts w:hint="default" w:ascii="Times New Roman" w:hAnsi="Times New Roman" w:cs="Times New Roman"/>
                      <w:color w:val="auto"/>
                      <w:highlight w:val="none"/>
                    </w:rPr>
                  </w:pPr>
                </w:p>
              </w:tc>
              <w:tc>
                <w:tcPr>
                  <w:tcW w:w="638" w:type="pct"/>
                  <w:noWrap w:val="0"/>
                  <w:vAlign w:val="center"/>
                </w:tcPr>
                <w:p w14:paraId="1057FB59">
                  <w:pPr>
                    <w:pStyle w:val="62"/>
                    <w:rPr>
                      <w:rFonts w:hint="default" w:ascii="Times New Roman" w:hAnsi="Times New Roman" w:cs="Times New Roman"/>
                      <w:color w:val="auto"/>
                      <w:highlight w:val="none"/>
                    </w:rPr>
                  </w:pPr>
                  <w:r>
                    <w:rPr>
                      <w:rFonts w:hint="default" w:ascii="Times New Roman" w:hAnsi="Times New Roman" w:cs="Times New Roman"/>
                      <w:color w:val="auto"/>
                      <w:highlight w:val="none"/>
                    </w:rPr>
                    <w:t>120</w:t>
                  </w:r>
                </w:p>
              </w:tc>
              <w:tc>
                <w:tcPr>
                  <w:tcW w:w="528" w:type="pct"/>
                  <w:noWrap w:val="0"/>
                  <w:vAlign w:val="center"/>
                </w:tcPr>
                <w:p w14:paraId="614E1EC3">
                  <w:pPr>
                    <w:pStyle w:val="62"/>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3.64</w:t>
                  </w:r>
                </w:p>
              </w:tc>
              <w:tc>
                <w:tcPr>
                  <w:tcW w:w="1794" w:type="pct"/>
                  <w:vMerge w:val="continue"/>
                  <w:noWrap w:val="0"/>
                  <w:vAlign w:val="center"/>
                </w:tcPr>
                <w:p w14:paraId="7C8B6E4C">
                  <w:pPr>
                    <w:jc w:val="center"/>
                    <w:rPr>
                      <w:rFonts w:hint="default" w:ascii="Times New Roman" w:hAnsi="Times New Roman" w:cs="Times New Roman"/>
                      <w:color w:val="auto"/>
                      <w:kern w:val="0"/>
                      <w:szCs w:val="21"/>
                      <w:highlight w:val="none"/>
                      <w:lang w:bidi="ar"/>
                    </w:rPr>
                  </w:pPr>
                </w:p>
              </w:tc>
            </w:tr>
            <w:tr w14:paraId="190B0E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6" w:hRule="atLeast"/>
                <w:jc w:val="center"/>
              </w:trPr>
              <w:tc>
                <w:tcPr>
                  <w:tcW w:w="395" w:type="pct"/>
                  <w:vMerge w:val="restart"/>
                  <w:noWrap w:val="0"/>
                  <w:vAlign w:val="center"/>
                </w:tcPr>
                <w:p w14:paraId="74CA66B0">
                  <w:pPr>
                    <w:pStyle w:val="62"/>
                    <w:rPr>
                      <w:rFonts w:hint="default" w:ascii="Times New Roman" w:hAnsi="Times New Roman" w:cs="Times New Roman"/>
                      <w:color w:val="auto"/>
                      <w:highlight w:val="none"/>
                    </w:rPr>
                  </w:pPr>
                  <w:r>
                    <w:rPr>
                      <w:rFonts w:hint="default" w:ascii="Times New Roman" w:hAnsi="Times New Roman" w:cs="Times New Roman"/>
                      <w:color w:val="auto"/>
                      <w:highlight w:val="none"/>
                    </w:rPr>
                    <w:t>有机废气</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粉尘废气</w:t>
                  </w:r>
                </w:p>
              </w:tc>
              <w:tc>
                <w:tcPr>
                  <w:tcW w:w="546" w:type="pct"/>
                  <w:vMerge w:val="restart"/>
                  <w:noWrap w:val="0"/>
                  <w:vAlign w:val="center"/>
                </w:tcPr>
                <w:p w14:paraId="7B558B82">
                  <w:pPr>
                    <w:pStyle w:val="62"/>
                    <w:rPr>
                      <w:rFonts w:hint="default" w:ascii="Times New Roman" w:hAnsi="Times New Roman" w:cs="Times New Roman"/>
                      <w:color w:val="auto"/>
                      <w:highlight w:val="none"/>
                    </w:rPr>
                  </w:pPr>
                  <w:r>
                    <w:rPr>
                      <w:rFonts w:hint="default" w:ascii="Times New Roman" w:hAnsi="Times New Roman" w:cs="Times New Roman"/>
                      <w:color w:val="auto"/>
                      <w:highlight w:val="none"/>
                    </w:rPr>
                    <w:t>G2</w:t>
                  </w:r>
                </w:p>
              </w:tc>
              <w:tc>
                <w:tcPr>
                  <w:tcW w:w="787" w:type="pct"/>
                  <w:noWrap/>
                  <w:vAlign w:val="center"/>
                </w:tcPr>
                <w:p w14:paraId="356713E3">
                  <w:pPr>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颗粒物</w:t>
                  </w:r>
                </w:p>
              </w:tc>
              <w:tc>
                <w:tcPr>
                  <w:tcW w:w="309" w:type="pct"/>
                  <w:vMerge w:val="restart"/>
                  <w:noWrap w:val="0"/>
                  <w:vAlign w:val="center"/>
                </w:tcPr>
                <w:p w14:paraId="007C80D5">
                  <w:pPr>
                    <w:pStyle w:val="62"/>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43</w:t>
                  </w:r>
                </w:p>
              </w:tc>
              <w:tc>
                <w:tcPr>
                  <w:tcW w:w="638" w:type="pct"/>
                  <w:noWrap w:val="0"/>
                  <w:vAlign w:val="center"/>
                </w:tcPr>
                <w:p w14:paraId="49090EF0">
                  <w:pPr>
                    <w:pStyle w:val="62"/>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highlight w:val="none"/>
                      <w:lang w:val="en-US" w:eastAsia="zh-CN"/>
                    </w:rPr>
                    <w:t>120</w:t>
                  </w:r>
                </w:p>
              </w:tc>
              <w:tc>
                <w:tcPr>
                  <w:tcW w:w="528" w:type="pct"/>
                  <w:noWrap w:val="0"/>
                  <w:vAlign w:val="center"/>
                </w:tcPr>
                <w:p w14:paraId="5B144305">
                  <w:pPr>
                    <w:pStyle w:val="62"/>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18.55</w:t>
                  </w:r>
                </w:p>
              </w:tc>
              <w:tc>
                <w:tcPr>
                  <w:tcW w:w="1794" w:type="pct"/>
                  <w:vMerge w:val="restart"/>
                  <w:noWrap w:val="0"/>
                  <w:vAlign w:val="center"/>
                </w:tcPr>
                <w:p w14:paraId="5DB40EC2">
                  <w:pPr>
                    <w:jc w:val="center"/>
                    <w:rPr>
                      <w:rFonts w:hint="default" w:ascii="Times New Roman" w:hAnsi="Times New Roman" w:cs="Times New Roman"/>
                      <w:color w:val="auto"/>
                      <w:kern w:val="0"/>
                      <w:szCs w:val="21"/>
                      <w:highlight w:val="none"/>
                      <w:lang w:bidi="ar"/>
                    </w:rPr>
                  </w:pPr>
                  <w:r>
                    <w:rPr>
                      <w:rFonts w:hint="default" w:ascii="Times New Roman" w:hAnsi="Times New Roman" w:cs="Times New Roman"/>
                      <w:bCs/>
                      <w:color w:val="auto"/>
                      <w:szCs w:val="21"/>
                      <w:highlight w:val="none"/>
                    </w:rPr>
                    <w:t>广东省地方标准《大气污染物排放限值》（DB44/27-2001）第二时段二级标准</w:t>
                  </w:r>
                </w:p>
              </w:tc>
            </w:tr>
            <w:tr w14:paraId="0C046A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395" w:type="pct"/>
                  <w:vMerge w:val="continue"/>
                  <w:noWrap w:val="0"/>
                  <w:vAlign w:val="center"/>
                </w:tcPr>
                <w:p w14:paraId="2AAFE32F">
                  <w:pPr>
                    <w:pStyle w:val="62"/>
                    <w:rPr>
                      <w:rFonts w:hint="default" w:ascii="Times New Roman" w:hAnsi="Times New Roman" w:cs="Times New Roman"/>
                      <w:color w:val="auto"/>
                      <w:highlight w:val="none"/>
                    </w:rPr>
                  </w:pPr>
                </w:p>
              </w:tc>
              <w:tc>
                <w:tcPr>
                  <w:tcW w:w="546" w:type="pct"/>
                  <w:vMerge w:val="continue"/>
                  <w:noWrap w:val="0"/>
                  <w:vAlign w:val="center"/>
                </w:tcPr>
                <w:p w14:paraId="0F21244E">
                  <w:pPr>
                    <w:pStyle w:val="62"/>
                    <w:rPr>
                      <w:rFonts w:hint="default" w:ascii="Times New Roman" w:hAnsi="Times New Roman" w:cs="Times New Roman"/>
                      <w:color w:val="auto"/>
                      <w:highlight w:val="none"/>
                    </w:rPr>
                  </w:pPr>
                </w:p>
              </w:tc>
              <w:tc>
                <w:tcPr>
                  <w:tcW w:w="787" w:type="pct"/>
                  <w:noWrap/>
                  <w:vAlign w:val="center"/>
                </w:tcPr>
                <w:p w14:paraId="6BB39D44">
                  <w:pPr>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甲醇</w:t>
                  </w:r>
                </w:p>
              </w:tc>
              <w:tc>
                <w:tcPr>
                  <w:tcW w:w="309" w:type="pct"/>
                  <w:vMerge w:val="continue"/>
                  <w:noWrap w:val="0"/>
                  <w:vAlign w:val="center"/>
                </w:tcPr>
                <w:p w14:paraId="6EDC300A">
                  <w:pPr>
                    <w:pStyle w:val="62"/>
                    <w:rPr>
                      <w:rFonts w:hint="default" w:ascii="Times New Roman" w:hAnsi="Times New Roman" w:cs="Times New Roman"/>
                      <w:color w:val="auto"/>
                      <w:highlight w:val="none"/>
                      <w:lang w:val="en-US" w:eastAsia="zh-CN"/>
                    </w:rPr>
                  </w:pPr>
                </w:p>
              </w:tc>
              <w:tc>
                <w:tcPr>
                  <w:tcW w:w="638" w:type="pct"/>
                  <w:noWrap w:val="0"/>
                  <w:vAlign w:val="center"/>
                </w:tcPr>
                <w:p w14:paraId="3A0F86C6">
                  <w:pPr>
                    <w:pStyle w:val="62"/>
                    <w:rPr>
                      <w:rFonts w:hint="default" w:ascii="Times New Roman" w:hAnsi="Times New Roman" w:cs="Times New Roman"/>
                      <w:color w:val="auto"/>
                      <w:kern w:val="0"/>
                      <w:sz w:val="21"/>
                      <w:szCs w:val="21"/>
                      <w:highlight w:val="none"/>
                      <w:lang w:val="en-US" w:eastAsia="zh-CN" w:bidi="ar-SA"/>
                    </w:rPr>
                  </w:pPr>
                  <w:r>
                    <w:rPr>
                      <w:rFonts w:hint="default" w:ascii="Times New Roman" w:hAnsi="Times New Roman" w:cs="Times New Roman"/>
                      <w:color w:val="auto"/>
                      <w:highlight w:val="none"/>
                    </w:rPr>
                    <w:t>190</w:t>
                  </w:r>
                </w:p>
              </w:tc>
              <w:tc>
                <w:tcPr>
                  <w:tcW w:w="528" w:type="pct"/>
                  <w:noWrap w:val="0"/>
                  <w:vAlign w:val="center"/>
                </w:tcPr>
                <w:p w14:paraId="0860676C">
                  <w:pPr>
                    <w:pStyle w:val="62"/>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23.95</w:t>
                  </w:r>
                </w:p>
              </w:tc>
              <w:tc>
                <w:tcPr>
                  <w:tcW w:w="1794" w:type="pct"/>
                  <w:vMerge w:val="continue"/>
                  <w:noWrap w:val="0"/>
                  <w:vAlign w:val="center"/>
                </w:tcPr>
                <w:p w14:paraId="36A9ACD2">
                  <w:pPr>
                    <w:jc w:val="center"/>
                    <w:rPr>
                      <w:rFonts w:hint="default" w:ascii="Times New Roman" w:hAnsi="Times New Roman" w:cs="Times New Roman"/>
                      <w:color w:val="auto"/>
                      <w:kern w:val="0"/>
                      <w:szCs w:val="21"/>
                      <w:highlight w:val="none"/>
                      <w:lang w:bidi="ar"/>
                    </w:rPr>
                  </w:pPr>
                </w:p>
              </w:tc>
            </w:tr>
            <w:tr w14:paraId="15B174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395" w:type="pct"/>
                  <w:vMerge w:val="continue"/>
                  <w:noWrap w:val="0"/>
                  <w:vAlign w:val="center"/>
                </w:tcPr>
                <w:p w14:paraId="3320D729">
                  <w:pPr>
                    <w:pStyle w:val="62"/>
                    <w:rPr>
                      <w:rFonts w:hint="default" w:ascii="Times New Roman" w:hAnsi="Times New Roman" w:cs="Times New Roman"/>
                      <w:color w:val="auto"/>
                      <w:highlight w:val="none"/>
                    </w:rPr>
                  </w:pPr>
                </w:p>
              </w:tc>
              <w:tc>
                <w:tcPr>
                  <w:tcW w:w="546" w:type="pct"/>
                  <w:vMerge w:val="continue"/>
                  <w:noWrap w:val="0"/>
                  <w:vAlign w:val="center"/>
                </w:tcPr>
                <w:p w14:paraId="78864DB2">
                  <w:pPr>
                    <w:pStyle w:val="62"/>
                    <w:rPr>
                      <w:rFonts w:hint="default" w:ascii="Times New Roman" w:hAnsi="Times New Roman" w:cs="Times New Roman"/>
                      <w:color w:val="auto"/>
                      <w:highlight w:val="none"/>
                    </w:rPr>
                  </w:pPr>
                </w:p>
              </w:tc>
              <w:tc>
                <w:tcPr>
                  <w:tcW w:w="787" w:type="pct"/>
                  <w:noWrap/>
                  <w:vAlign w:val="center"/>
                </w:tcPr>
                <w:p w14:paraId="29BEEE8E">
                  <w:pPr>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TVOC</w:t>
                  </w:r>
                </w:p>
              </w:tc>
              <w:tc>
                <w:tcPr>
                  <w:tcW w:w="309" w:type="pct"/>
                  <w:vMerge w:val="continue"/>
                  <w:noWrap w:val="0"/>
                  <w:vAlign w:val="center"/>
                </w:tcPr>
                <w:p w14:paraId="4F60A4C0">
                  <w:pPr>
                    <w:pStyle w:val="62"/>
                    <w:rPr>
                      <w:rFonts w:hint="default" w:ascii="Times New Roman" w:hAnsi="Times New Roman" w:cs="Times New Roman"/>
                      <w:color w:val="auto"/>
                      <w:highlight w:val="none"/>
                    </w:rPr>
                  </w:pPr>
                </w:p>
              </w:tc>
              <w:tc>
                <w:tcPr>
                  <w:tcW w:w="638" w:type="pct"/>
                  <w:noWrap w:val="0"/>
                  <w:vAlign w:val="center"/>
                </w:tcPr>
                <w:p w14:paraId="6A9603F3">
                  <w:pPr>
                    <w:pStyle w:val="62"/>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100</w:t>
                  </w:r>
                </w:p>
              </w:tc>
              <w:tc>
                <w:tcPr>
                  <w:tcW w:w="528" w:type="pct"/>
                  <w:noWrap w:val="0"/>
                  <w:vAlign w:val="center"/>
                </w:tcPr>
                <w:p w14:paraId="74895C50">
                  <w:pPr>
                    <w:pStyle w:val="62"/>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1794" w:type="pct"/>
                  <w:vMerge w:val="restart"/>
                  <w:noWrap w:val="0"/>
                  <w:vAlign w:val="center"/>
                </w:tcPr>
                <w:p w14:paraId="1852D3A7">
                  <w:pPr>
                    <w:jc w:val="center"/>
                    <w:rPr>
                      <w:rFonts w:hint="default" w:ascii="Times New Roman" w:hAnsi="Times New Roman" w:cs="Times New Roman"/>
                      <w:color w:val="auto"/>
                      <w:kern w:val="0"/>
                      <w:szCs w:val="21"/>
                      <w:highlight w:val="none"/>
                      <w:lang w:bidi="ar"/>
                    </w:rPr>
                  </w:pPr>
                  <w:r>
                    <w:rPr>
                      <w:rFonts w:hint="default" w:ascii="Times New Roman" w:hAnsi="Times New Roman" w:eastAsia="宋体" w:cs="Times New Roman"/>
                      <w:bCs/>
                      <w:color w:val="auto"/>
                      <w:szCs w:val="21"/>
                      <w:highlight w:val="none"/>
                      <w:lang w:val="en-US" w:eastAsia="zh-CN"/>
                    </w:rPr>
                    <w:t>广东省地方标准《固定污染源挥发性有机物综合排放标准》（DB44/2367-2022）表1挥发性有机物排放限值</w:t>
                  </w:r>
                </w:p>
              </w:tc>
            </w:tr>
            <w:tr w14:paraId="26D808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395" w:type="pct"/>
                  <w:vMerge w:val="continue"/>
                  <w:noWrap w:val="0"/>
                  <w:vAlign w:val="center"/>
                </w:tcPr>
                <w:p w14:paraId="600841BD">
                  <w:pPr>
                    <w:pStyle w:val="62"/>
                    <w:rPr>
                      <w:rFonts w:hint="default" w:ascii="Times New Roman" w:hAnsi="Times New Roman" w:cs="Times New Roman"/>
                      <w:color w:val="auto"/>
                      <w:highlight w:val="none"/>
                    </w:rPr>
                  </w:pPr>
                </w:p>
              </w:tc>
              <w:tc>
                <w:tcPr>
                  <w:tcW w:w="546" w:type="pct"/>
                  <w:vMerge w:val="continue"/>
                  <w:noWrap w:val="0"/>
                  <w:vAlign w:val="center"/>
                </w:tcPr>
                <w:p w14:paraId="7A2CD015">
                  <w:pPr>
                    <w:pStyle w:val="62"/>
                    <w:rPr>
                      <w:rFonts w:hint="default" w:ascii="Times New Roman" w:hAnsi="Times New Roman" w:cs="Times New Roman"/>
                      <w:color w:val="auto"/>
                      <w:highlight w:val="none"/>
                    </w:rPr>
                  </w:pPr>
                </w:p>
              </w:tc>
              <w:tc>
                <w:tcPr>
                  <w:tcW w:w="787" w:type="pct"/>
                  <w:noWrap/>
                  <w:vAlign w:val="center"/>
                </w:tcPr>
                <w:p w14:paraId="5EA28DD9">
                  <w:pPr>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非甲烷总烃</w:t>
                  </w:r>
                </w:p>
              </w:tc>
              <w:tc>
                <w:tcPr>
                  <w:tcW w:w="309" w:type="pct"/>
                  <w:vMerge w:val="continue"/>
                  <w:noWrap w:val="0"/>
                  <w:vAlign w:val="center"/>
                </w:tcPr>
                <w:p w14:paraId="136ED788">
                  <w:pPr>
                    <w:pStyle w:val="62"/>
                    <w:rPr>
                      <w:rFonts w:hint="default" w:ascii="Times New Roman" w:hAnsi="Times New Roman" w:cs="Times New Roman"/>
                      <w:color w:val="auto"/>
                      <w:highlight w:val="none"/>
                    </w:rPr>
                  </w:pPr>
                </w:p>
              </w:tc>
              <w:tc>
                <w:tcPr>
                  <w:tcW w:w="638" w:type="pct"/>
                  <w:noWrap w:val="0"/>
                  <w:vAlign w:val="center"/>
                </w:tcPr>
                <w:p w14:paraId="25F28EDF">
                  <w:pPr>
                    <w:pStyle w:val="62"/>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80</w:t>
                  </w:r>
                </w:p>
              </w:tc>
              <w:tc>
                <w:tcPr>
                  <w:tcW w:w="528" w:type="pct"/>
                  <w:noWrap w:val="0"/>
                  <w:vAlign w:val="center"/>
                </w:tcPr>
                <w:p w14:paraId="47EDFDC7">
                  <w:pPr>
                    <w:pStyle w:val="62"/>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1794" w:type="pct"/>
                  <w:vMerge w:val="continue"/>
                  <w:noWrap w:val="0"/>
                  <w:vAlign w:val="center"/>
                </w:tcPr>
                <w:p w14:paraId="1852863E">
                  <w:pPr>
                    <w:jc w:val="center"/>
                    <w:rPr>
                      <w:rFonts w:hint="default" w:ascii="Times New Roman" w:hAnsi="Times New Roman" w:eastAsia="宋体" w:cs="Times New Roman"/>
                      <w:bCs/>
                      <w:color w:val="auto"/>
                      <w:szCs w:val="21"/>
                      <w:highlight w:val="none"/>
                      <w:lang w:val="en-US" w:eastAsia="zh-CN"/>
                    </w:rPr>
                  </w:pPr>
                </w:p>
              </w:tc>
            </w:tr>
            <w:tr w14:paraId="69FF93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395" w:type="pct"/>
                  <w:vMerge w:val="continue"/>
                  <w:noWrap w:val="0"/>
                  <w:vAlign w:val="center"/>
                </w:tcPr>
                <w:p w14:paraId="24B5CFE0">
                  <w:pPr>
                    <w:pStyle w:val="62"/>
                    <w:rPr>
                      <w:rFonts w:hint="default" w:ascii="Times New Roman" w:hAnsi="Times New Roman" w:cs="Times New Roman"/>
                      <w:color w:val="auto"/>
                      <w:highlight w:val="none"/>
                    </w:rPr>
                  </w:pPr>
                </w:p>
              </w:tc>
              <w:tc>
                <w:tcPr>
                  <w:tcW w:w="546" w:type="pct"/>
                  <w:vMerge w:val="continue"/>
                  <w:noWrap w:val="0"/>
                  <w:vAlign w:val="center"/>
                </w:tcPr>
                <w:p w14:paraId="43A1BCFB">
                  <w:pPr>
                    <w:pStyle w:val="62"/>
                    <w:rPr>
                      <w:rFonts w:hint="default" w:ascii="Times New Roman" w:hAnsi="Times New Roman" w:cs="Times New Roman"/>
                      <w:color w:val="auto"/>
                      <w:highlight w:val="none"/>
                    </w:rPr>
                  </w:pPr>
                </w:p>
              </w:tc>
              <w:tc>
                <w:tcPr>
                  <w:tcW w:w="787" w:type="pct"/>
                  <w:noWrap/>
                  <w:vAlign w:val="center"/>
                </w:tcPr>
                <w:p w14:paraId="5577D279">
                  <w:pPr>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苯系物（甲苯）</w:t>
                  </w:r>
                </w:p>
              </w:tc>
              <w:tc>
                <w:tcPr>
                  <w:tcW w:w="309" w:type="pct"/>
                  <w:vMerge w:val="continue"/>
                  <w:noWrap w:val="0"/>
                  <w:vAlign w:val="center"/>
                </w:tcPr>
                <w:p w14:paraId="40B07FDE">
                  <w:pPr>
                    <w:pStyle w:val="62"/>
                    <w:rPr>
                      <w:rFonts w:hint="default" w:ascii="Times New Roman" w:hAnsi="Times New Roman" w:cs="Times New Roman"/>
                      <w:color w:val="auto"/>
                      <w:highlight w:val="none"/>
                    </w:rPr>
                  </w:pPr>
                </w:p>
              </w:tc>
              <w:tc>
                <w:tcPr>
                  <w:tcW w:w="638" w:type="pct"/>
                  <w:noWrap w:val="0"/>
                  <w:vAlign w:val="center"/>
                </w:tcPr>
                <w:p w14:paraId="14E0BA5A">
                  <w:pPr>
                    <w:pStyle w:val="62"/>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40</w:t>
                  </w:r>
                </w:p>
              </w:tc>
              <w:tc>
                <w:tcPr>
                  <w:tcW w:w="528" w:type="pct"/>
                  <w:noWrap w:val="0"/>
                  <w:vAlign w:val="center"/>
                </w:tcPr>
                <w:p w14:paraId="45E8AC03">
                  <w:pPr>
                    <w:pStyle w:val="62"/>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w:t>
                  </w:r>
                </w:p>
              </w:tc>
              <w:tc>
                <w:tcPr>
                  <w:tcW w:w="1794" w:type="pct"/>
                  <w:vMerge w:val="continue"/>
                  <w:noWrap w:val="0"/>
                  <w:vAlign w:val="center"/>
                </w:tcPr>
                <w:p w14:paraId="1E29F680">
                  <w:pPr>
                    <w:jc w:val="center"/>
                    <w:rPr>
                      <w:rFonts w:hint="default" w:ascii="Times New Roman" w:hAnsi="Times New Roman" w:eastAsia="宋体" w:cs="Times New Roman"/>
                      <w:bCs/>
                      <w:color w:val="auto"/>
                      <w:szCs w:val="21"/>
                      <w:highlight w:val="none"/>
                      <w:lang w:val="en-US" w:eastAsia="zh-CN"/>
                    </w:rPr>
                  </w:pPr>
                </w:p>
              </w:tc>
            </w:tr>
            <w:tr w14:paraId="264602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395" w:type="pct"/>
                  <w:vMerge w:val="continue"/>
                  <w:noWrap w:val="0"/>
                  <w:vAlign w:val="center"/>
                </w:tcPr>
                <w:p w14:paraId="0361BB10">
                  <w:pPr>
                    <w:pStyle w:val="62"/>
                    <w:rPr>
                      <w:rFonts w:hint="default" w:ascii="Times New Roman" w:hAnsi="Times New Roman" w:cs="Times New Roman"/>
                      <w:color w:val="auto"/>
                      <w:highlight w:val="none"/>
                    </w:rPr>
                  </w:pPr>
                </w:p>
              </w:tc>
              <w:tc>
                <w:tcPr>
                  <w:tcW w:w="546" w:type="pct"/>
                  <w:vMerge w:val="continue"/>
                  <w:noWrap w:val="0"/>
                  <w:vAlign w:val="center"/>
                </w:tcPr>
                <w:p w14:paraId="5AA4A15E">
                  <w:pPr>
                    <w:pStyle w:val="62"/>
                    <w:rPr>
                      <w:rFonts w:hint="default" w:ascii="Times New Roman" w:hAnsi="Times New Roman" w:cs="Times New Roman"/>
                      <w:color w:val="auto"/>
                      <w:highlight w:val="none"/>
                    </w:rPr>
                  </w:pPr>
                </w:p>
              </w:tc>
              <w:tc>
                <w:tcPr>
                  <w:tcW w:w="787" w:type="pct"/>
                  <w:noWrap/>
                  <w:vAlign w:val="center"/>
                </w:tcPr>
                <w:p w14:paraId="6E2F0AE9">
                  <w:pPr>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氨</w:t>
                  </w:r>
                </w:p>
              </w:tc>
              <w:tc>
                <w:tcPr>
                  <w:tcW w:w="309" w:type="pct"/>
                  <w:vMerge w:val="continue"/>
                  <w:noWrap w:val="0"/>
                  <w:vAlign w:val="center"/>
                </w:tcPr>
                <w:p w14:paraId="4037BA49">
                  <w:pPr>
                    <w:pStyle w:val="62"/>
                    <w:rPr>
                      <w:rFonts w:hint="default" w:ascii="Times New Roman" w:hAnsi="Times New Roman" w:cs="Times New Roman"/>
                      <w:color w:val="auto"/>
                      <w:highlight w:val="none"/>
                    </w:rPr>
                  </w:pPr>
                </w:p>
              </w:tc>
              <w:tc>
                <w:tcPr>
                  <w:tcW w:w="638" w:type="pct"/>
                  <w:noWrap w:val="0"/>
                  <w:vAlign w:val="center"/>
                </w:tcPr>
                <w:p w14:paraId="4D591327">
                  <w:pPr>
                    <w:pStyle w:val="62"/>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528" w:type="pct"/>
                  <w:noWrap w:val="0"/>
                  <w:vAlign w:val="center"/>
                </w:tcPr>
                <w:p w14:paraId="385A64AD">
                  <w:pPr>
                    <w:pStyle w:val="62"/>
                    <w:rPr>
                      <w:rFonts w:hint="default" w:ascii="Times New Roman" w:hAnsi="Times New Roman" w:cs="Times New Roman"/>
                      <w:color w:val="auto"/>
                      <w:highlight w:val="none"/>
                      <w:lang w:val="en-US"/>
                    </w:rPr>
                  </w:pPr>
                  <w:r>
                    <w:rPr>
                      <w:rFonts w:hint="eastAsia" w:cs="Times New Roman"/>
                      <w:color w:val="auto"/>
                      <w:highlight w:val="none"/>
                      <w:lang w:val="en-US" w:eastAsia="zh-CN"/>
                    </w:rPr>
                    <w:t>3</w:t>
                  </w:r>
                  <w:r>
                    <w:rPr>
                      <w:rFonts w:hint="eastAsia" w:ascii="Times New Roman" w:hAnsi="Times New Roman" w:cs="Times New Roman"/>
                      <w:color w:val="auto"/>
                      <w:highlight w:val="none"/>
                      <w:lang w:val="en-US" w:eastAsia="zh-CN"/>
                    </w:rPr>
                    <w:t>5</w:t>
                  </w:r>
                </w:p>
              </w:tc>
              <w:tc>
                <w:tcPr>
                  <w:tcW w:w="1794" w:type="pct"/>
                  <w:vMerge w:val="restart"/>
                  <w:noWrap w:val="0"/>
                  <w:vAlign w:val="center"/>
                </w:tcPr>
                <w:p w14:paraId="3BDD3261">
                  <w:pPr>
                    <w:jc w:val="center"/>
                    <w:rPr>
                      <w:rFonts w:hint="default" w:ascii="Times New Roman" w:hAnsi="Times New Roman" w:cs="Times New Roman"/>
                      <w:color w:val="auto"/>
                      <w:kern w:val="0"/>
                      <w:szCs w:val="21"/>
                      <w:highlight w:val="none"/>
                      <w:lang w:bidi="ar"/>
                    </w:rPr>
                  </w:pPr>
                  <w:r>
                    <w:rPr>
                      <w:rFonts w:hint="default" w:ascii="Times New Roman" w:hAnsi="Times New Roman" w:cs="Times New Roman"/>
                      <w:color w:val="auto"/>
                      <w:kern w:val="0"/>
                      <w:szCs w:val="21"/>
                      <w:highlight w:val="none"/>
                      <w:lang w:bidi="ar"/>
                    </w:rPr>
                    <w:t>《恶臭污染物排放标准》（GB14554-93）中表2恶臭污染物排放标准值</w:t>
                  </w:r>
                </w:p>
              </w:tc>
            </w:tr>
            <w:tr w14:paraId="011CC6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395" w:type="pct"/>
                  <w:vMerge w:val="continue"/>
                  <w:noWrap w:val="0"/>
                  <w:vAlign w:val="center"/>
                </w:tcPr>
                <w:p w14:paraId="7039E2C6">
                  <w:pPr>
                    <w:pStyle w:val="62"/>
                    <w:rPr>
                      <w:rFonts w:hint="default" w:ascii="Times New Roman" w:hAnsi="Times New Roman" w:cs="Times New Roman"/>
                      <w:color w:val="auto"/>
                      <w:highlight w:val="none"/>
                    </w:rPr>
                  </w:pPr>
                </w:p>
              </w:tc>
              <w:tc>
                <w:tcPr>
                  <w:tcW w:w="546" w:type="pct"/>
                  <w:vMerge w:val="continue"/>
                  <w:noWrap w:val="0"/>
                  <w:vAlign w:val="center"/>
                </w:tcPr>
                <w:p w14:paraId="25FA91AC">
                  <w:pPr>
                    <w:pStyle w:val="62"/>
                    <w:rPr>
                      <w:rFonts w:hint="default" w:ascii="Times New Roman" w:hAnsi="Times New Roman" w:cs="Times New Roman"/>
                      <w:color w:val="auto"/>
                      <w:highlight w:val="none"/>
                    </w:rPr>
                  </w:pPr>
                </w:p>
              </w:tc>
              <w:tc>
                <w:tcPr>
                  <w:tcW w:w="787" w:type="pct"/>
                  <w:noWrap/>
                  <w:vAlign w:val="center"/>
                </w:tcPr>
                <w:p w14:paraId="76FB386F">
                  <w:pPr>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臭气浓度</w:t>
                  </w:r>
                </w:p>
              </w:tc>
              <w:tc>
                <w:tcPr>
                  <w:tcW w:w="309" w:type="pct"/>
                  <w:vMerge w:val="continue"/>
                  <w:noWrap w:val="0"/>
                  <w:vAlign w:val="center"/>
                </w:tcPr>
                <w:p w14:paraId="504AFBC8">
                  <w:pPr>
                    <w:pStyle w:val="62"/>
                    <w:rPr>
                      <w:rFonts w:hint="default" w:ascii="Times New Roman" w:hAnsi="Times New Roman" w:cs="Times New Roman"/>
                      <w:color w:val="auto"/>
                      <w:highlight w:val="none"/>
                    </w:rPr>
                  </w:pPr>
                </w:p>
              </w:tc>
              <w:tc>
                <w:tcPr>
                  <w:tcW w:w="638" w:type="pct"/>
                  <w:noWrap w:val="0"/>
                  <w:vAlign w:val="center"/>
                </w:tcPr>
                <w:p w14:paraId="6100AA11">
                  <w:pPr>
                    <w:pStyle w:val="62"/>
                    <w:rPr>
                      <w:rFonts w:hint="default" w:ascii="Times New Roman" w:hAnsi="Times New Roman" w:cs="Times New Roman"/>
                      <w:color w:val="auto"/>
                      <w:highlight w:val="none"/>
                    </w:rPr>
                  </w:pPr>
                  <w:r>
                    <w:rPr>
                      <w:rFonts w:hint="eastAsia" w:ascii="Times New Roman" w:hAnsi="Times New Roman" w:cs="Times New Roman"/>
                      <w:color w:val="auto"/>
                      <w:highlight w:val="none"/>
                      <w:lang w:val="en-US" w:eastAsia="zh-CN"/>
                    </w:rPr>
                    <w:t>600</w:t>
                  </w:r>
                  <w:r>
                    <w:rPr>
                      <w:rFonts w:hint="default" w:ascii="Times New Roman" w:hAnsi="Times New Roman" w:cs="Times New Roman"/>
                      <w:color w:val="auto"/>
                      <w:highlight w:val="none"/>
                    </w:rPr>
                    <w:t>00（无量纲）</w:t>
                  </w:r>
                </w:p>
              </w:tc>
              <w:tc>
                <w:tcPr>
                  <w:tcW w:w="528" w:type="pct"/>
                  <w:noWrap w:val="0"/>
                  <w:vAlign w:val="center"/>
                </w:tcPr>
                <w:p w14:paraId="00644AAD">
                  <w:pPr>
                    <w:pStyle w:val="62"/>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1794" w:type="pct"/>
                  <w:vMerge w:val="continue"/>
                  <w:noWrap w:val="0"/>
                  <w:vAlign w:val="center"/>
                </w:tcPr>
                <w:p w14:paraId="6D52F894">
                  <w:pPr>
                    <w:jc w:val="center"/>
                    <w:rPr>
                      <w:rFonts w:hint="default" w:ascii="Times New Roman" w:hAnsi="Times New Roman" w:cs="Times New Roman"/>
                      <w:color w:val="auto"/>
                      <w:kern w:val="0"/>
                      <w:szCs w:val="21"/>
                      <w:highlight w:val="none"/>
                      <w:lang w:bidi="ar"/>
                    </w:rPr>
                  </w:pPr>
                </w:p>
              </w:tc>
            </w:tr>
            <w:tr w14:paraId="521049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 w:hRule="atLeast"/>
                <w:jc w:val="center"/>
              </w:trPr>
              <w:tc>
                <w:tcPr>
                  <w:tcW w:w="395" w:type="pct"/>
                  <w:vMerge w:val="restart"/>
                  <w:noWrap w:val="0"/>
                  <w:vAlign w:val="center"/>
                </w:tcPr>
                <w:p w14:paraId="61566A58">
                  <w:pPr>
                    <w:pStyle w:val="62"/>
                    <w:rPr>
                      <w:rFonts w:hint="eastAsia" w:ascii="Times New Roman" w:hAnsi="Times New Roman" w:eastAsia="宋体" w:cs="Times New Roman"/>
                      <w:color w:val="auto"/>
                      <w:highlight w:val="none"/>
                      <w:lang w:eastAsia="zh-CN"/>
                    </w:rPr>
                  </w:pPr>
                  <w:r>
                    <w:rPr>
                      <w:rFonts w:hint="eastAsia" w:cs="Times New Roman"/>
                      <w:color w:val="auto"/>
                      <w:highlight w:val="none"/>
                      <w:lang w:val="en-US" w:eastAsia="zh-CN"/>
                    </w:rPr>
                    <w:t>厂界内</w:t>
                  </w:r>
                  <w:r>
                    <w:rPr>
                      <w:rFonts w:hint="default" w:ascii="Times New Roman" w:hAnsi="Times New Roman" w:cs="Times New Roman"/>
                      <w:color w:val="auto"/>
                      <w:highlight w:val="none"/>
                    </w:rPr>
                    <w:t>无组织废气</w:t>
                  </w:r>
                </w:p>
              </w:tc>
              <w:tc>
                <w:tcPr>
                  <w:tcW w:w="546" w:type="pct"/>
                  <w:vMerge w:val="restart"/>
                  <w:noWrap w:val="0"/>
                  <w:vAlign w:val="center"/>
                </w:tcPr>
                <w:p w14:paraId="77912683">
                  <w:pPr>
                    <w:pStyle w:val="62"/>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787" w:type="pct"/>
                  <w:noWrap w:val="0"/>
                  <w:vAlign w:val="center"/>
                </w:tcPr>
                <w:p w14:paraId="3C6E01E7">
                  <w:pPr>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非甲烷总烃</w:t>
                  </w:r>
                </w:p>
              </w:tc>
              <w:tc>
                <w:tcPr>
                  <w:tcW w:w="309" w:type="pct"/>
                  <w:vMerge w:val="restart"/>
                  <w:noWrap w:val="0"/>
                  <w:vAlign w:val="center"/>
                </w:tcPr>
                <w:p w14:paraId="1D5C4CC9">
                  <w:pPr>
                    <w:pStyle w:val="62"/>
                    <w:rPr>
                      <w:rFonts w:hint="default" w:ascii="Times New Roman" w:hAnsi="Times New Roman"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w:t>
                  </w:r>
                </w:p>
              </w:tc>
              <w:tc>
                <w:tcPr>
                  <w:tcW w:w="638" w:type="pct"/>
                  <w:noWrap w:val="0"/>
                  <w:vAlign w:val="center"/>
                </w:tcPr>
                <w:p w14:paraId="6A8B0B3E">
                  <w:pPr>
                    <w:pStyle w:val="62"/>
                    <w:rPr>
                      <w:rFonts w:hint="eastAsia" w:ascii="Times New Roman" w:hAnsi="Times New Roman" w:eastAsia="宋体" w:cs="Times New Roman"/>
                      <w:color w:val="auto"/>
                      <w:highlight w:val="none"/>
                      <w:lang w:val="en-US" w:eastAsia="zh-CN"/>
                    </w:rPr>
                  </w:pPr>
                  <w:r>
                    <w:rPr>
                      <w:rFonts w:hint="eastAsia" w:cs="Times New Roman"/>
                      <w:color w:val="auto"/>
                      <w:highlight w:val="none"/>
                      <w:lang w:val="en-US" w:eastAsia="zh-CN"/>
                    </w:rPr>
                    <w:t>4</w:t>
                  </w:r>
                </w:p>
              </w:tc>
              <w:tc>
                <w:tcPr>
                  <w:tcW w:w="528" w:type="pct"/>
                  <w:vMerge w:val="restart"/>
                  <w:noWrap w:val="0"/>
                  <w:vAlign w:val="center"/>
                </w:tcPr>
                <w:p w14:paraId="2F3B0C33">
                  <w:pPr>
                    <w:pStyle w:val="62"/>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1794" w:type="pct"/>
                  <w:vMerge w:val="restart"/>
                  <w:noWrap w:val="0"/>
                  <w:vAlign w:val="center"/>
                </w:tcPr>
                <w:p w14:paraId="675E063D">
                  <w:pPr>
                    <w:pStyle w:val="62"/>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广东省地方标准《大气污染物排放限值》（DB44/27-2001）</w:t>
                  </w:r>
                  <w:r>
                    <w:rPr>
                      <w:rFonts w:hint="default" w:ascii="Times New Roman" w:hAnsi="Times New Roman" w:cs="Times New Roman"/>
                      <w:color w:val="auto"/>
                      <w:highlight w:val="none"/>
                      <w:lang w:eastAsia="zh-CN"/>
                    </w:rPr>
                    <w:t>第二时段无组织排放监控浓度限值</w:t>
                  </w:r>
                </w:p>
              </w:tc>
            </w:tr>
            <w:tr w14:paraId="0EBA28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 w:hRule="atLeast"/>
                <w:jc w:val="center"/>
              </w:trPr>
              <w:tc>
                <w:tcPr>
                  <w:tcW w:w="395" w:type="pct"/>
                  <w:vMerge w:val="continue"/>
                  <w:noWrap w:val="0"/>
                  <w:vAlign w:val="center"/>
                </w:tcPr>
                <w:p w14:paraId="01A123D1">
                  <w:pPr>
                    <w:pStyle w:val="62"/>
                    <w:rPr>
                      <w:rFonts w:hint="eastAsia" w:ascii="Times New Roman" w:hAnsi="Times New Roman" w:eastAsia="宋体" w:cs="Times New Roman"/>
                      <w:color w:val="auto"/>
                      <w:highlight w:val="none"/>
                      <w:lang w:eastAsia="zh-CN"/>
                    </w:rPr>
                  </w:pPr>
                </w:p>
              </w:tc>
              <w:tc>
                <w:tcPr>
                  <w:tcW w:w="546" w:type="pct"/>
                  <w:vMerge w:val="continue"/>
                  <w:noWrap w:val="0"/>
                  <w:vAlign w:val="center"/>
                </w:tcPr>
                <w:p w14:paraId="2D006A1B">
                  <w:pPr>
                    <w:pStyle w:val="62"/>
                    <w:rPr>
                      <w:rFonts w:hint="default" w:ascii="Times New Roman" w:hAnsi="Times New Roman" w:cs="Times New Roman"/>
                      <w:color w:val="auto"/>
                      <w:highlight w:val="none"/>
                    </w:rPr>
                  </w:pPr>
                </w:p>
              </w:tc>
              <w:tc>
                <w:tcPr>
                  <w:tcW w:w="787" w:type="pct"/>
                  <w:noWrap w:val="0"/>
                  <w:vAlign w:val="center"/>
                </w:tcPr>
                <w:p w14:paraId="4BC90751">
                  <w:pPr>
                    <w:jc w:val="center"/>
                    <w:rPr>
                      <w:rFonts w:hint="default" w:ascii="Times New Roman" w:hAnsi="Times New Roman" w:eastAsia="宋体" w:cs="Times New Roman"/>
                      <w:color w:val="auto"/>
                      <w:kern w:val="0"/>
                      <w:sz w:val="21"/>
                      <w:szCs w:val="21"/>
                      <w:highlight w:val="none"/>
                      <w:lang w:val="zh-CN" w:eastAsia="zh-CN" w:bidi="ar-SA"/>
                    </w:rPr>
                  </w:pPr>
                  <w:r>
                    <w:rPr>
                      <w:rFonts w:hint="eastAsia" w:cs="Times New Roman"/>
                      <w:color w:val="auto"/>
                      <w:kern w:val="0"/>
                      <w:sz w:val="21"/>
                      <w:szCs w:val="21"/>
                      <w:highlight w:val="none"/>
                      <w:lang w:val="en-US" w:eastAsia="zh-CN" w:bidi="ar-SA"/>
                    </w:rPr>
                    <w:t>其中：</w:t>
                  </w:r>
                  <w:r>
                    <w:rPr>
                      <w:rFonts w:hint="default" w:ascii="Times New Roman" w:hAnsi="Times New Roman" w:eastAsia="宋体" w:cs="Times New Roman"/>
                      <w:color w:val="auto"/>
                      <w:kern w:val="0"/>
                      <w:sz w:val="21"/>
                      <w:szCs w:val="21"/>
                      <w:highlight w:val="none"/>
                      <w:lang w:val="en-US" w:eastAsia="zh-CN" w:bidi="ar-SA"/>
                    </w:rPr>
                    <w:t>甲醇</w:t>
                  </w:r>
                </w:p>
              </w:tc>
              <w:tc>
                <w:tcPr>
                  <w:tcW w:w="309" w:type="pct"/>
                  <w:vMerge w:val="continue"/>
                  <w:noWrap w:val="0"/>
                  <w:vAlign w:val="center"/>
                </w:tcPr>
                <w:p w14:paraId="79BA43F7">
                  <w:pPr>
                    <w:pStyle w:val="62"/>
                    <w:rPr>
                      <w:rFonts w:hint="default" w:ascii="Times New Roman" w:hAnsi="Times New Roman" w:cs="Times New Roman"/>
                      <w:color w:val="auto"/>
                      <w:kern w:val="0"/>
                      <w:sz w:val="21"/>
                      <w:szCs w:val="21"/>
                      <w:highlight w:val="none"/>
                      <w:lang w:val="en-US" w:eastAsia="zh-CN" w:bidi="ar-SA"/>
                    </w:rPr>
                  </w:pPr>
                </w:p>
              </w:tc>
              <w:tc>
                <w:tcPr>
                  <w:tcW w:w="638" w:type="pct"/>
                  <w:noWrap w:val="0"/>
                  <w:vAlign w:val="center"/>
                </w:tcPr>
                <w:p w14:paraId="22C96615">
                  <w:pPr>
                    <w:pStyle w:val="62"/>
                    <w:rPr>
                      <w:rFonts w:hint="default" w:ascii="Times New Roman" w:hAnsi="Times New Roman" w:cs="Times New Roman"/>
                      <w:color w:val="auto"/>
                      <w:kern w:val="0"/>
                      <w:sz w:val="21"/>
                      <w:szCs w:val="21"/>
                      <w:highlight w:val="none"/>
                      <w:lang w:val="en-US" w:eastAsia="zh-CN" w:bidi="ar-SA"/>
                    </w:rPr>
                  </w:pPr>
                  <w:r>
                    <w:rPr>
                      <w:rFonts w:hint="default" w:ascii="Times New Roman" w:hAnsi="Times New Roman" w:cs="Times New Roman"/>
                      <w:color w:val="auto"/>
                      <w:highlight w:val="none"/>
                    </w:rPr>
                    <w:t>12</w:t>
                  </w:r>
                </w:p>
              </w:tc>
              <w:tc>
                <w:tcPr>
                  <w:tcW w:w="528" w:type="pct"/>
                  <w:vMerge w:val="continue"/>
                  <w:noWrap w:val="0"/>
                  <w:vAlign w:val="center"/>
                </w:tcPr>
                <w:p w14:paraId="295599B1">
                  <w:pPr>
                    <w:pStyle w:val="62"/>
                    <w:rPr>
                      <w:rFonts w:hint="default" w:ascii="Times New Roman" w:hAnsi="Times New Roman" w:cs="Times New Roman"/>
                      <w:color w:val="auto"/>
                      <w:highlight w:val="none"/>
                    </w:rPr>
                  </w:pPr>
                </w:p>
              </w:tc>
              <w:tc>
                <w:tcPr>
                  <w:tcW w:w="1794" w:type="pct"/>
                  <w:vMerge w:val="continue"/>
                  <w:noWrap w:val="0"/>
                  <w:vAlign w:val="center"/>
                </w:tcPr>
                <w:p w14:paraId="51911607">
                  <w:pPr>
                    <w:pStyle w:val="62"/>
                    <w:rPr>
                      <w:rFonts w:hint="default" w:ascii="Times New Roman" w:hAnsi="Times New Roman" w:eastAsia="宋体" w:cs="Times New Roman"/>
                      <w:color w:val="auto"/>
                      <w:highlight w:val="none"/>
                      <w:lang w:eastAsia="zh-CN"/>
                    </w:rPr>
                  </w:pPr>
                </w:p>
              </w:tc>
            </w:tr>
            <w:tr w14:paraId="6C9754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 w:hRule="atLeast"/>
                <w:jc w:val="center"/>
              </w:trPr>
              <w:tc>
                <w:tcPr>
                  <w:tcW w:w="395" w:type="pct"/>
                  <w:vMerge w:val="continue"/>
                  <w:noWrap w:val="0"/>
                  <w:vAlign w:val="center"/>
                </w:tcPr>
                <w:p w14:paraId="358544B8">
                  <w:pPr>
                    <w:pStyle w:val="62"/>
                    <w:rPr>
                      <w:rFonts w:hint="default" w:ascii="Times New Roman" w:hAnsi="Times New Roman" w:cs="Times New Roman"/>
                      <w:color w:val="auto"/>
                      <w:highlight w:val="none"/>
                    </w:rPr>
                  </w:pPr>
                </w:p>
              </w:tc>
              <w:tc>
                <w:tcPr>
                  <w:tcW w:w="546" w:type="pct"/>
                  <w:vMerge w:val="continue"/>
                  <w:noWrap w:val="0"/>
                  <w:vAlign w:val="center"/>
                </w:tcPr>
                <w:p w14:paraId="76445796">
                  <w:pPr>
                    <w:pStyle w:val="62"/>
                    <w:rPr>
                      <w:rFonts w:hint="default" w:ascii="Times New Roman" w:hAnsi="Times New Roman" w:cs="Times New Roman"/>
                      <w:color w:val="auto"/>
                      <w:highlight w:val="none"/>
                    </w:rPr>
                  </w:pPr>
                </w:p>
              </w:tc>
              <w:tc>
                <w:tcPr>
                  <w:tcW w:w="787" w:type="pct"/>
                  <w:noWrap w:val="0"/>
                  <w:vAlign w:val="center"/>
                </w:tcPr>
                <w:p w14:paraId="7DFD8A96">
                  <w:pPr>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其中：甲苯</w:t>
                  </w:r>
                </w:p>
              </w:tc>
              <w:tc>
                <w:tcPr>
                  <w:tcW w:w="309" w:type="pct"/>
                  <w:vMerge w:val="continue"/>
                  <w:noWrap w:val="0"/>
                  <w:vAlign w:val="center"/>
                </w:tcPr>
                <w:p w14:paraId="0993D860">
                  <w:pPr>
                    <w:pStyle w:val="62"/>
                    <w:rPr>
                      <w:rFonts w:hint="default" w:ascii="Times New Roman" w:hAnsi="Times New Roman" w:cs="Times New Roman"/>
                      <w:color w:val="auto"/>
                      <w:kern w:val="0"/>
                      <w:sz w:val="21"/>
                      <w:szCs w:val="21"/>
                      <w:highlight w:val="none"/>
                      <w:lang w:val="en-US" w:eastAsia="zh-CN" w:bidi="ar-SA"/>
                    </w:rPr>
                  </w:pPr>
                </w:p>
              </w:tc>
              <w:tc>
                <w:tcPr>
                  <w:tcW w:w="638" w:type="pct"/>
                  <w:noWrap w:val="0"/>
                  <w:vAlign w:val="center"/>
                </w:tcPr>
                <w:p w14:paraId="1803A75A">
                  <w:pPr>
                    <w:pStyle w:val="62"/>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2.4</w:t>
                  </w:r>
                </w:p>
              </w:tc>
              <w:tc>
                <w:tcPr>
                  <w:tcW w:w="528" w:type="pct"/>
                  <w:vMerge w:val="continue"/>
                  <w:noWrap w:val="0"/>
                  <w:vAlign w:val="center"/>
                </w:tcPr>
                <w:p w14:paraId="2E5063C9">
                  <w:pPr>
                    <w:pStyle w:val="62"/>
                    <w:rPr>
                      <w:rFonts w:hint="default" w:ascii="Times New Roman" w:hAnsi="Times New Roman" w:cs="Times New Roman"/>
                      <w:color w:val="auto"/>
                      <w:highlight w:val="none"/>
                    </w:rPr>
                  </w:pPr>
                </w:p>
              </w:tc>
              <w:tc>
                <w:tcPr>
                  <w:tcW w:w="1794" w:type="pct"/>
                  <w:vMerge w:val="continue"/>
                  <w:noWrap w:val="0"/>
                  <w:vAlign w:val="center"/>
                </w:tcPr>
                <w:p w14:paraId="6498A355">
                  <w:pPr>
                    <w:pStyle w:val="62"/>
                    <w:rPr>
                      <w:rFonts w:hint="default" w:ascii="Times New Roman" w:hAnsi="Times New Roman" w:cs="Times New Roman"/>
                      <w:color w:val="auto"/>
                      <w:highlight w:val="none"/>
                    </w:rPr>
                  </w:pPr>
                </w:p>
              </w:tc>
            </w:tr>
            <w:tr w14:paraId="328756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395" w:type="pct"/>
                  <w:vMerge w:val="continue"/>
                  <w:noWrap w:val="0"/>
                  <w:vAlign w:val="center"/>
                </w:tcPr>
                <w:p w14:paraId="29865F8B">
                  <w:pPr>
                    <w:pStyle w:val="62"/>
                    <w:rPr>
                      <w:rFonts w:hint="default" w:ascii="Times New Roman" w:hAnsi="Times New Roman" w:cs="Times New Roman"/>
                      <w:color w:val="auto"/>
                      <w:highlight w:val="none"/>
                    </w:rPr>
                  </w:pPr>
                </w:p>
              </w:tc>
              <w:tc>
                <w:tcPr>
                  <w:tcW w:w="546" w:type="pct"/>
                  <w:vMerge w:val="continue"/>
                  <w:noWrap w:val="0"/>
                  <w:vAlign w:val="center"/>
                </w:tcPr>
                <w:p w14:paraId="26599618">
                  <w:pPr>
                    <w:pStyle w:val="62"/>
                    <w:rPr>
                      <w:rFonts w:hint="default" w:ascii="Times New Roman" w:hAnsi="Times New Roman" w:cs="Times New Roman"/>
                      <w:color w:val="auto"/>
                      <w:highlight w:val="none"/>
                    </w:rPr>
                  </w:pPr>
                </w:p>
              </w:tc>
              <w:tc>
                <w:tcPr>
                  <w:tcW w:w="787" w:type="pct"/>
                  <w:noWrap w:val="0"/>
                  <w:vAlign w:val="center"/>
                </w:tcPr>
                <w:p w14:paraId="3055E8FB">
                  <w:pPr>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硫酸雾</w:t>
                  </w:r>
                </w:p>
              </w:tc>
              <w:tc>
                <w:tcPr>
                  <w:tcW w:w="309" w:type="pct"/>
                  <w:vMerge w:val="continue"/>
                  <w:noWrap w:val="0"/>
                  <w:vAlign w:val="center"/>
                </w:tcPr>
                <w:p w14:paraId="23D867AA">
                  <w:pPr>
                    <w:pStyle w:val="62"/>
                    <w:rPr>
                      <w:rFonts w:hint="default" w:ascii="Times New Roman" w:hAnsi="Times New Roman" w:cs="Times New Roman"/>
                      <w:color w:val="auto"/>
                      <w:highlight w:val="none"/>
                    </w:rPr>
                  </w:pPr>
                </w:p>
              </w:tc>
              <w:tc>
                <w:tcPr>
                  <w:tcW w:w="638" w:type="pct"/>
                  <w:noWrap w:val="0"/>
                  <w:vAlign w:val="center"/>
                </w:tcPr>
                <w:p w14:paraId="17560840">
                  <w:pPr>
                    <w:pStyle w:val="62"/>
                    <w:rPr>
                      <w:rFonts w:hint="default" w:ascii="Times New Roman" w:hAnsi="Times New Roman" w:cs="Times New Roman"/>
                      <w:color w:val="auto"/>
                      <w:highlight w:val="none"/>
                    </w:rPr>
                  </w:pPr>
                  <w:r>
                    <w:rPr>
                      <w:rFonts w:hint="default" w:ascii="Times New Roman" w:hAnsi="Times New Roman" w:cs="Times New Roman"/>
                      <w:color w:val="auto"/>
                      <w:highlight w:val="none"/>
                    </w:rPr>
                    <w:t>1.2</w:t>
                  </w:r>
                </w:p>
              </w:tc>
              <w:tc>
                <w:tcPr>
                  <w:tcW w:w="528" w:type="pct"/>
                  <w:vMerge w:val="continue"/>
                  <w:noWrap w:val="0"/>
                  <w:vAlign w:val="center"/>
                </w:tcPr>
                <w:p w14:paraId="47D25D7B">
                  <w:pPr>
                    <w:pStyle w:val="62"/>
                    <w:rPr>
                      <w:rFonts w:hint="default" w:ascii="Times New Roman" w:hAnsi="Times New Roman" w:cs="Times New Roman"/>
                      <w:color w:val="auto"/>
                      <w:highlight w:val="none"/>
                    </w:rPr>
                  </w:pPr>
                </w:p>
              </w:tc>
              <w:tc>
                <w:tcPr>
                  <w:tcW w:w="1794" w:type="pct"/>
                  <w:vMerge w:val="continue"/>
                  <w:noWrap w:val="0"/>
                  <w:vAlign w:val="center"/>
                </w:tcPr>
                <w:p w14:paraId="02F01D59">
                  <w:pPr>
                    <w:pStyle w:val="62"/>
                    <w:rPr>
                      <w:rFonts w:hint="default" w:ascii="Times New Roman" w:hAnsi="Times New Roman" w:cs="Times New Roman"/>
                      <w:color w:val="auto"/>
                      <w:highlight w:val="none"/>
                    </w:rPr>
                  </w:pPr>
                </w:p>
              </w:tc>
            </w:tr>
            <w:tr w14:paraId="4F17EA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jc w:val="center"/>
              </w:trPr>
              <w:tc>
                <w:tcPr>
                  <w:tcW w:w="395" w:type="pct"/>
                  <w:vMerge w:val="continue"/>
                  <w:noWrap w:val="0"/>
                  <w:vAlign w:val="center"/>
                </w:tcPr>
                <w:p w14:paraId="7EC8E44D">
                  <w:pPr>
                    <w:pStyle w:val="62"/>
                    <w:rPr>
                      <w:rFonts w:hint="default" w:ascii="Times New Roman" w:hAnsi="Times New Roman" w:cs="Times New Roman"/>
                      <w:color w:val="auto"/>
                      <w:highlight w:val="none"/>
                    </w:rPr>
                  </w:pPr>
                </w:p>
              </w:tc>
              <w:tc>
                <w:tcPr>
                  <w:tcW w:w="546" w:type="pct"/>
                  <w:vMerge w:val="continue"/>
                  <w:noWrap w:val="0"/>
                  <w:vAlign w:val="center"/>
                </w:tcPr>
                <w:p w14:paraId="1ED92081">
                  <w:pPr>
                    <w:pStyle w:val="62"/>
                    <w:rPr>
                      <w:rFonts w:hint="default" w:ascii="Times New Roman" w:hAnsi="Times New Roman" w:cs="Times New Roman"/>
                      <w:color w:val="auto"/>
                      <w:highlight w:val="none"/>
                    </w:rPr>
                  </w:pPr>
                </w:p>
              </w:tc>
              <w:tc>
                <w:tcPr>
                  <w:tcW w:w="787" w:type="pct"/>
                  <w:noWrap w:val="0"/>
                  <w:vAlign w:val="center"/>
                </w:tcPr>
                <w:p w14:paraId="44391D0C">
                  <w:pPr>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氯化氢</w:t>
                  </w:r>
                </w:p>
              </w:tc>
              <w:tc>
                <w:tcPr>
                  <w:tcW w:w="309" w:type="pct"/>
                  <w:vMerge w:val="continue"/>
                  <w:noWrap w:val="0"/>
                  <w:vAlign w:val="center"/>
                </w:tcPr>
                <w:p w14:paraId="16843337">
                  <w:pPr>
                    <w:pStyle w:val="62"/>
                    <w:rPr>
                      <w:rFonts w:hint="default" w:ascii="Times New Roman" w:hAnsi="Times New Roman" w:cs="Times New Roman"/>
                      <w:color w:val="auto"/>
                      <w:highlight w:val="none"/>
                    </w:rPr>
                  </w:pPr>
                </w:p>
              </w:tc>
              <w:tc>
                <w:tcPr>
                  <w:tcW w:w="638" w:type="pct"/>
                  <w:noWrap w:val="0"/>
                  <w:vAlign w:val="center"/>
                </w:tcPr>
                <w:p w14:paraId="5B2A035B">
                  <w:pPr>
                    <w:pStyle w:val="62"/>
                    <w:rPr>
                      <w:rFonts w:hint="default" w:ascii="Times New Roman" w:hAnsi="Times New Roman" w:cs="Times New Roman"/>
                      <w:color w:val="auto"/>
                      <w:highlight w:val="none"/>
                    </w:rPr>
                  </w:pPr>
                  <w:r>
                    <w:rPr>
                      <w:rFonts w:hint="default" w:ascii="Times New Roman" w:hAnsi="Times New Roman" w:cs="Times New Roman"/>
                      <w:color w:val="auto"/>
                      <w:highlight w:val="none"/>
                    </w:rPr>
                    <w:t>0.2</w:t>
                  </w:r>
                </w:p>
              </w:tc>
              <w:tc>
                <w:tcPr>
                  <w:tcW w:w="528" w:type="pct"/>
                  <w:vMerge w:val="continue"/>
                  <w:noWrap w:val="0"/>
                  <w:vAlign w:val="center"/>
                </w:tcPr>
                <w:p w14:paraId="260B63BB">
                  <w:pPr>
                    <w:pStyle w:val="62"/>
                    <w:rPr>
                      <w:rFonts w:hint="default" w:ascii="Times New Roman" w:hAnsi="Times New Roman" w:cs="Times New Roman"/>
                      <w:color w:val="auto"/>
                      <w:highlight w:val="none"/>
                    </w:rPr>
                  </w:pPr>
                </w:p>
              </w:tc>
              <w:tc>
                <w:tcPr>
                  <w:tcW w:w="1794" w:type="pct"/>
                  <w:vMerge w:val="continue"/>
                  <w:noWrap w:val="0"/>
                  <w:vAlign w:val="center"/>
                </w:tcPr>
                <w:p w14:paraId="118A5E4D">
                  <w:pPr>
                    <w:pStyle w:val="62"/>
                    <w:rPr>
                      <w:rFonts w:hint="default" w:ascii="Times New Roman" w:hAnsi="Times New Roman" w:cs="Times New Roman"/>
                      <w:color w:val="auto"/>
                      <w:highlight w:val="none"/>
                    </w:rPr>
                  </w:pPr>
                </w:p>
              </w:tc>
            </w:tr>
            <w:tr w14:paraId="1FCC06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395" w:type="pct"/>
                  <w:vMerge w:val="continue"/>
                  <w:noWrap w:val="0"/>
                  <w:vAlign w:val="center"/>
                </w:tcPr>
                <w:p w14:paraId="22C2BE9B">
                  <w:pPr>
                    <w:pStyle w:val="62"/>
                    <w:rPr>
                      <w:rFonts w:hint="default" w:ascii="Times New Roman" w:hAnsi="Times New Roman" w:cs="Times New Roman"/>
                      <w:color w:val="auto"/>
                      <w:highlight w:val="none"/>
                    </w:rPr>
                  </w:pPr>
                </w:p>
              </w:tc>
              <w:tc>
                <w:tcPr>
                  <w:tcW w:w="546" w:type="pct"/>
                  <w:vMerge w:val="continue"/>
                  <w:noWrap w:val="0"/>
                  <w:vAlign w:val="center"/>
                </w:tcPr>
                <w:p w14:paraId="793469EE">
                  <w:pPr>
                    <w:pStyle w:val="62"/>
                    <w:rPr>
                      <w:rFonts w:hint="default" w:ascii="Times New Roman" w:hAnsi="Times New Roman" w:cs="Times New Roman"/>
                      <w:color w:val="auto"/>
                      <w:highlight w:val="none"/>
                    </w:rPr>
                  </w:pPr>
                </w:p>
              </w:tc>
              <w:tc>
                <w:tcPr>
                  <w:tcW w:w="787" w:type="pct"/>
                  <w:noWrap w:val="0"/>
                  <w:vAlign w:val="center"/>
                </w:tcPr>
                <w:p w14:paraId="004A7B9A">
                  <w:pPr>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颗粒物</w:t>
                  </w:r>
                </w:p>
              </w:tc>
              <w:tc>
                <w:tcPr>
                  <w:tcW w:w="309" w:type="pct"/>
                  <w:vMerge w:val="continue"/>
                  <w:noWrap w:val="0"/>
                  <w:vAlign w:val="center"/>
                </w:tcPr>
                <w:p w14:paraId="485EA0C4">
                  <w:pPr>
                    <w:pStyle w:val="62"/>
                    <w:rPr>
                      <w:rFonts w:hint="default" w:ascii="Times New Roman" w:hAnsi="Times New Roman" w:cs="Times New Roman"/>
                      <w:color w:val="auto"/>
                      <w:highlight w:val="none"/>
                    </w:rPr>
                  </w:pPr>
                </w:p>
              </w:tc>
              <w:tc>
                <w:tcPr>
                  <w:tcW w:w="638" w:type="pct"/>
                  <w:noWrap w:val="0"/>
                  <w:vAlign w:val="center"/>
                </w:tcPr>
                <w:p w14:paraId="545B37A1">
                  <w:pPr>
                    <w:pStyle w:val="62"/>
                    <w:rPr>
                      <w:rFonts w:hint="default" w:ascii="Times New Roman" w:hAnsi="Times New Roman" w:cs="Times New Roman"/>
                      <w:color w:val="auto"/>
                      <w:highlight w:val="none"/>
                    </w:rPr>
                  </w:pPr>
                  <w:r>
                    <w:rPr>
                      <w:rFonts w:hint="default" w:ascii="Times New Roman" w:hAnsi="Times New Roman" w:cs="Times New Roman"/>
                      <w:color w:val="auto"/>
                      <w:highlight w:val="none"/>
                    </w:rPr>
                    <w:t>1</w:t>
                  </w:r>
                </w:p>
              </w:tc>
              <w:tc>
                <w:tcPr>
                  <w:tcW w:w="528" w:type="pct"/>
                  <w:vMerge w:val="continue"/>
                  <w:noWrap w:val="0"/>
                  <w:vAlign w:val="center"/>
                </w:tcPr>
                <w:p w14:paraId="56EC7FC1">
                  <w:pPr>
                    <w:pStyle w:val="62"/>
                    <w:rPr>
                      <w:rFonts w:hint="default" w:ascii="Times New Roman" w:hAnsi="Times New Roman" w:cs="Times New Roman"/>
                      <w:color w:val="auto"/>
                      <w:highlight w:val="none"/>
                    </w:rPr>
                  </w:pPr>
                </w:p>
              </w:tc>
              <w:tc>
                <w:tcPr>
                  <w:tcW w:w="1794" w:type="pct"/>
                  <w:vMerge w:val="continue"/>
                  <w:noWrap w:val="0"/>
                  <w:vAlign w:val="center"/>
                </w:tcPr>
                <w:p w14:paraId="48191559">
                  <w:pPr>
                    <w:pStyle w:val="62"/>
                    <w:rPr>
                      <w:rFonts w:hint="default" w:ascii="Times New Roman" w:hAnsi="Times New Roman" w:cs="Times New Roman"/>
                      <w:color w:val="auto"/>
                      <w:highlight w:val="none"/>
                    </w:rPr>
                  </w:pPr>
                </w:p>
              </w:tc>
            </w:tr>
            <w:tr w14:paraId="5BB265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395" w:type="pct"/>
                  <w:vMerge w:val="continue"/>
                  <w:noWrap w:val="0"/>
                  <w:vAlign w:val="center"/>
                </w:tcPr>
                <w:p w14:paraId="6E31D220">
                  <w:pPr>
                    <w:pStyle w:val="62"/>
                    <w:rPr>
                      <w:rFonts w:hint="default" w:ascii="Times New Roman" w:hAnsi="Times New Roman" w:cs="Times New Roman"/>
                      <w:color w:val="auto"/>
                      <w:highlight w:val="none"/>
                    </w:rPr>
                  </w:pPr>
                </w:p>
              </w:tc>
              <w:tc>
                <w:tcPr>
                  <w:tcW w:w="546" w:type="pct"/>
                  <w:vMerge w:val="continue"/>
                  <w:noWrap w:val="0"/>
                  <w:vAlign w:val="center"/>
                </w:tcPr>
                <w:p w14:paraId="4BE65433">
                  <w:pPr>
                    <w:pStyle w:val="62"/>
                    <w:rPr>
                      <w:rFonts w:hint="default" w:ascii="Times New Roman" w:hAnsi="Times New Roman" w:cs="Times New Roman"/>
                      <w:color w:val="auto"/>
                      <w:highlight w:val="none"/>
                    </w:rPr>
                  </w:pPr>
                </w:p>
              </w:tc>
              <w:tc>
                <w:tcPr>
                  <w:tcW w:w="787" w:type="pct"/>
                  <w:noWrap w:val="0"/>
                  <w:vAlign w:val="center"/>
                </w:tcPr>
                <w:p w14:paraId="0CCC7B4A">
                  <w:pPr>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氮氧化物</w:t>
                  </w:r>
                </w:p>
              </w:tc>
              <w:tc>
                <w:tcPr>
                  <w:tcW w:w="309" w:type="pct"/>
                  <w:vMerge w:val="continue"/>
                  <w:noWrap w:val="0"/>
                  <w:vAlign w:val="center"/>
                </w:tcPr>
                <w:p w14:paraId="687E3A68">
                  <w:pPr>
                    <w:pStyle w:val="62"/>
                    <w:rPr>
                      <w:rFonts w:hint="default" w:ascii="Times New Roman" w:hAnsi="Times New Roman" w:cs="Times New Roman"/>
                      <w:color w:val="auto"/>
                      <w:highlight w:val="none"/>
                    </w:rPr>
                  </w:pPr>
                </w:p>
              </w:tc>
              <w:tc>
                <w:tcPr>
                  <w:tcW w:w="638" w:type="pct"/>
                  <w:noWrap w:val="0"/>
                  <w:vAlign w:val="center"/>
                </w:tcPr>
                <w:p w14:paraId="0677B5BE">
                  <w:pPr>
                    <w:pStyle w:val="62"/>
                    <w:rPr>
                      <w:rFonts w:hint="default" w:ascii="Times New Roman" w:hAnsi="Times New Roman" w:cs="Times New Roman"/>
                      <w:color w:val="auto"/>
                      <w:highlight w:val="none"/>
                    </w:rPr>
                  </w:pPr>
                  <w:r>
                    <w:rPr>
                      <w:rFonts w:hint="default" w:ascii="Times New Roman" w:hAnsi="Times New Roman" w:cs="Times New Roman"/>
                      <w:color w:val="auto"/>
                      <w:highlight w:val="none"/>
                    </w:rPr>
                    <w:t>0.12</w:t>
                  </w:r>
                </w:p>
              </w:tc>
              <w:tc>
                <w:tcPr>
                  <w:tcW w:w="528" w:type="pct"/>
                  <w:vMerge w:val="continue"/>
                  <w:noWrap w:val="0"/>
                  <w:vAlign w:val="center"/>
                </w:tcPr>
                <w:p w14:paraId="40FC107B">
                  <w:pPr>
                    <w:pStyle w:val="62"/>
                    <w:rPr>
                      <w:rFonts w:hint="default" w:ascii="Times New Roman" w:hAnsi="Times New Roman" w:cs="Times New Roman"/>
                      <w:color w:val="auto"/>
                      <w:highlight w:val="none"/>
                    </w:rPr>
                  </w:pPr>
                </w:p>
              </w:tc>
              <w:tc>
                <w:tcPr>
                  <w:tcW w:w="1794" w:type="pct"/>
                  <w:vMerge w:val="continue"/>
                  <w:noWrap w:val="0"/>
                  <w:vAlign w:val="center"/>
                </w:tcPr>
                <w:p w14:paraId="71445DA3">
                  <w:pPr>
                    <w:pStyle w:val="62"/>
                    <w:rPr>
                      <w:rFonts w:hint="default" w:ascii="Times New Roman" w:hAnsi="Times New Roman" w:cs="Times New Roman"/>
                      <w:color w:val="auto"/>
                      <w:highlight w:val="none"/>
                    </w:rPr>
                  </w:pPr>
                </w:p>
              </w:tc>
            </w:tr>
            <w:tr w14:paraId="6F24E3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395" w:type="pct"/>
                  <w:vMerge w:val="continue"/>
                  <w:noWrap w:val="0"/>
                  <w:vAlign w:val="center"/>
                </w:tcPr>
                <w:p w14:paraId="5E4832A1">
                  <w:pPr>
                    <w:pStyle w:val="62"/>
                    <w:rPr>
                      <w:rFonts w:hint="default" w:ascii="Times New Roman" w:hAnsi="Times New Roman" w:cs="Times New Roman"/>
                      <w:color w:val="auto"/>
                      <w:highlight w:val="none"/>
                    </w:rPr>
                  </w:pPr>
                </w:p>
              </w:tc>
              <w:tc>
                <w:tcPr>
                  <w:tcW w:w="546" w:type="pct"/>
                  <w:vMerge w:val="continue"/>
                  <w:noWrap w:val="0"/>
                  <w:vAlign w:val="center"/>
                </w:tcPr>
                <w:p w14:paraId="5C3C9263">
                  <w:pPr>
                    <w:pStyle w:val="62"/>
                    <w:rPr>
                      <w:rFonts w:hint="default" w:ascii="Times New Roman" w:hAnsi="Times New Roman" w:cs="Times New Roman"/>
                      <w:color w:val="auto"/>
                      <w:highlight w:val="none"/>
                    </w:rPr>
                  </w:pPr>
                </w:p>
              </w:tc>
              <w:tc>
                <w:tcPr>
                  <w:tcW w:w="787" w:type="pct"/>
                  <w:noWrap w:val="0"/>
                  <w:vAlign w:val="center"/>
                </w:tcPr>
                <w:p w14:paraId="48DA9757">
                  <w:pPr>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氨</w:t>
                  </w:r>
                </w:p>
              </w:tc>
              <w:tc>
                <w:tcPr>
                  <w:tcW w:w="309" w:type="pct"/>
                  <w:vMerge w:val="continue"/>
                  <w:noWrap w:val="0"/>
                  <w:vAlign w:val="center"/>
                </w:tcPr>
                <w:p w14:paraId="0C8279BF">
                  <w:pPr>
                    <w:pStyle w:val="62"/>
                    <w:rPr>
                      <w:rFonts w:hint="default" w:ascii="Times New Roman" w:hAnsi="Times New Roman" w:cs="Times New Roman"/>
                      <w:color w:val="auto"/>
                      <w:highlight w:val="none"/>
                    </w:rPr>
                  </w:pPr>
                </w:p>
              </w:tc>
              <w:tc>
                <w:tcPr>
                  <w:tcW w:w="638" w:type="pct"/>
                  <w:noWrap w:val="0"/>
                  <w:vAlign w:val="center"/>
                </w:tcPr>
                <w:p w14:paraId="795A25DA">
                  <w:pPr>
                    <w:pStyle w:val="62"/>
                    <w:rPr>
                      <w:rFonts w:hint="default" w:ascii="Times New Roman" w:hAnsi="Times New Roman" w:cs="Times New Roman"/>
                      <w:color w:val="auto"/>
                      <w:kern w:val="0"/>
                      <w:sz w:val="21"/>
                      <w:szCs w:val="21"/>
                      <w:highlight w:val="none"/>
                      <w:lang w:val="en-US" w:eastAsia="zh-CN" w:bidi="ar-SA"/>
                    </w:rPr>
                  </w:pPr>
                  <w:r>
                    <w:rPr>
                      <w:rFonts w:hint="default" w:ascii="Times New Roman" w:hAnsi="Times New Roman" w:cs="Times New Roman"/>
                      <w:color w:val="auto"/>
                      <w:highlight w:val="none"/>
                    </w:rPr>
                    <w:t>1.5</w:t>
                  </w:r>
                </w:p>
              </w:tc>
              <w:tc>
                <w:tcPr>
                  <w:tcW w:w="528" w:type="pct"/>
                  <w:vMerge w:val="continue"/>
                  <w:noWrap w:val="0"/>
                  <w:vAlign w:val="center"/>
                </w:tcPr>
                <w:p w14:paraId="240E7D6C">
                  <w:pPr>
                    <w:pStyle w:val="62"/>
                    <w:rPr>
                      <w:rFonts w:hint="default" w:ascii="Times New Roman" w:hAnsi="Times New Roman" w:cs="Times New Roman"/>
                      <w:color w:val="auto"/>
                      <w:highlight w:val="none"/>
                    </w:rPr>
                  </w:pPr>
                </w:p>
              </w:tc>
              <w:tc>
                <w:tcPr>
                  <w:tcW w:w="1794" w:type="pct"/>
                  <w:vMerge w:val="restart"/>
                  <w:noWrap w:val="0"/>
                  <w:vAlign w:val="center"/>
                </w:tcPr>
                <w:p w14:paraId="52FFA1D6">
                  <w:pPr>
                    <w:pStyle w:val="62"/>
                    <w:rPr>
                      <w:rFonts w:hint="default" w:ascii="Times New Roman" w:hAnsi="Times New Roman" w:cs="Times New Roman"/>
                      <w:color w:val="auto"/>
                      <w:highlight w:val="none"/>
                    </w:rPr>
                  </w:pPr>
                  <w:r>
                    <w:rPr>
                      <w:rFonts w:hint="default" w:ascii="Times New Roman" w:hAnsi="Times New Roman" w:cs="Times New Roman"/>
                      <w:color w:val="auto"/>
                      <w:highlight w:val="none"/>
                      <w:lang w:bidi="ar"/>
                    </w:rPr>
                    <w:t>《恶臭污染物排放标准》（GB14554-93）中表1恶臭污染物厂界标准值</w:t>
                  </w:r>
                </w:p>
              </w:tc>
            </w:tr>
            <w:tr w14:paraId="40014A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395" w:type="pct"/>
                  <w:vMerge w:val="continue"/>
                  <w:noWrap w:val="0"/>
                  <w:vAlign w:val="center"/>
                </w:tcPr>
                <w:p w14:paraId="56D8359B">
                  <w:pPr>
                    <w:pStyle w:val="62"/>
                    <w:rPr>
                      <w:rFonts w:hint="default" w:ascii="Times New Roman" w:hAnsi="Times New Roman" w:cs="Times New Roman"/>
                      <w:color w:val="auto"/>
                      <w:highlight w:val="none"/>
                    </w:rPr>
                  </w:pPr>
                </w:p>
              </w:tc>
              <w:tc>
                <w:tcPr>
                  <w:tcW w:w="546" w:type="pct"/>
                  <w:vMerge w:val="continue"/>
                  <w:noWrap w:val="0"/>
                  <w:vAlign w:val="center"/>
                </w:tcPr>
                <w:p w14:paraId="0A4B87A5">
                  <w:pPr>
                    <w:pStyle w:val="62"/>
                    <w:rPr>
                      <w:rFonts w:hint="default" w:ascii="Times New Roman" w:hAnsi="Times New Roman" w:cs="Times New Roman"/>
                      <w:color w:val="auto"/>
                      <w:highlight w:val="none"/>
                    </w:rPr>
                  </w:pPr>
                </w:p>
              </w:tc>
              <w:tc>
                <w:tcPr>
                  <w:tcW w:w="787" w:type="pct"/>
                  <w:noWrap w:val="0"/>
                  <w:vAlign w:val="center"/>
                </w:tcPr>
                <w:p w14:paraId="60E8DE8A">
                  <w:pPr>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臭气浓度</w:t>
                  </w:r>
                </w:p>
              </w:tc>
              <w:tc>
                <w:tcPr>
                  <w:tcW w:w="309" w:type="pct"/>
                  <w:vMerge w:val="continue"/>
                  <w:noWrap w:val="0"/>
                  <w:vAlign w:val="center"/>
                </w:tcPr>
                <w:p w14:paraId="521C1663">
                  <w:pPr>
                    <w:pStyle w:val="62"/>
                    <w:rPr>
                      <w:rFonts w:hint="default" w:ascii="Times New Roman" w:hAnsi="Times New Roman" w:cs="Times New Roman"/>
                      <w:color w:val="auto"/>
                      <w:highlight w:val="none"/>
                    </w:rPr>
                  </w:pPr>
                </w:p>
              </w:tc>
              <w:tc>
                <w:tcPr>
                  <w:tcW w:w="638" w:type="pct"/>
                  <w:noWrap w:val="0"/>
                  <w:vAlign w:val="center"/>
                </w:tcPr>
                <w:p w14:paraId="4F545C80">
                  <w:pPr>
                    <w:pStyle w:val="62"/>
                    <w:rPr>
                      <w:rFonts w:hint="default" w:ascii="Times New Roman" w:hAnsi="Times New Roman" w:cs="Times New Roman"/>
                      <w:color w:val="auto"/>
                      <w:kern w:val="0"/>
                      <w:sz w:val="21"/>
                      <w:szCs w:val="21"/>
                      <w:highlight w:val="none"/>
                      <w:lang w:val="en-US" w:eastAsia="zh-CN" w:bidi="ar-SA"/>
                    </w:rPr>
                  </w:pPr>
                  <w:r>
                    <w:rPr>
                      <w:rFonts w:hint="default" w:ascii="Times New Roman" w:hAnsi="Times New Roman" w:cs="Times New Roman"/>
                      <w:color w:val="auto"/>
                      <w:highlight w:val="none"/>
                    </w:rPr>
                    <w:t>20（无量纲）</w:t>
                  </w:r>
                </w:p>
              </w:tc>
              <w:tc>
                <w:tcPr>
                  <w:tcW w:w="528" w:type="pct"/>
                  <w:vMerge w:val="continue"/>
                  <w:noWrap w:val="0"/>
                  <w:vAlign w:val="center"/>
                </w:tcPr>
                <w:p w14:paraId="201E32A1">
                  <w:pPr>
                    <w:pStyle w:val="62"/>
                    <w:rPr>
                      <w:rFonts w:hint="default" w:ascii="Times New Roman" w:hAnsi="Times New Roman" w:cs="Times New Roman"/>
                      <w:color w:val="auto"/>
                      <w:highlight w:val="none"/>
                    </w:rPr>
                  </w:pPr>
                </w:p>
              </w:tc>
              <w:tc>
                <w:tcPr>
                  <w:tcW w:w="1794" w:type="pct"/>
                  <w:vMerge w:val="continue"/>
                  <w:noWrap w:val="0"/>
                  <w:vAlign w:val="center"/>
                </w:tcPr>
                <w:p w14:paraId="22500AEA">
                  <w:pPr>
                    <w:pStyle w:val="62"/>
                    <w:rPr>
                      <w:rFonts w:hint="default" w:ascii="Times New Roman" w:hAnsi="Times New Roman" w:cs="Times New Roman"/>
                      <w:color w:val="auto"/>
                      <w:highlight w:val="none"/>
                    </w:rPr>
                  </w:pPr>
                </w:p>
              </w:tc>
            </w:tr>
            <w:tr w14:paraId="04AA53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3" w:hRule="atLeast"/>
                <w:jc w:val="center"/>
              </w:trPr>
              <w:tc>
                <w:tcPr>
                  <w:tcW w:w="395" w:type="pct"/>
                  <w:vMerge w:val="restart"/>
                  <w:noWrap w:val="0"/>
                  <w:vAlign w:val="center"/>
                </w:tcPr>
                <w:p w14:paraId="582915DF">
                  <w:pPr>
                    <w:pStyle w:val="62"/>
                    <w:rPr>
                      <w:rFonts w:hint="default" w:ascii="Times New Roman" w:hAnsi="Times New Roman" w:cs="Times New Roman"/>
                      <w:color w:val="auto"/>
                      <w:highlight w:val="none"/>
                    </w:rPr>
                  </w:pPr>
                  <w:r>
                    <w:rPr>
                      <w:rFonts w:hint="default" w:ascii="Times New Roman" w:hAnsi="Times New Roman" w:cs="Times New Roman"/>
                      <w:color w:val="auto"/>
                      <w:highlight w:val="none"/>
                    </w:rPr>
                    <w:t>厂区内无组织废气</w:t>
                  </w:r>
                </w:p>
              </w:tc>
              <w:tc>
                <w:tcPr>
                  <w:tcW w:w="546" w:type="pct"/>
                  <w:vMerge w:val="restart"/>
                  <w:noWrap w:val="0"/>
                  <w:vAlign w:val="center"/>
                </w:tcPr>
                <w:p w14:paraId="625B7483">
                  <w:pPr>
                    <w:pStyle w:val="62"/>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787" w:type="pct"/>
                  <w:vMerge w:val="restart"/>
                  <w:noWrap w:val="0"/>
                  <w:vAlign w:val="center"/>
                </w:tcPr>
                <w:p w14:paraId="6419D617">
                  <w:pPr>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非甲烷总烃</w:t>
                  </w:r>
                </w:p>
              </w:tc>
              <w:tc>
                <w:tcPr>
                  <w:tcW w:w="309" w:type="pct"/>
                  <w:vMerge w:val="restart"/>
                  <w:noWrap w:val="0"/>
                  <w:vAlign w:val="center"/>
                </w:tcPr>
                <w:p w14:paraId="4A6C0B75">
                  <w:pPr>
                    <w:pStyle w:val="62"/>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638" w:type="pct"/>
                  <w:noWrap w:val="0"/>
                  <w:vAlign w:val="center"/>
                </w:tcPr>
                <w:p w14:paraId="11989326">
                  <w:pPr>
                    <w:pStyle w:val="62"/>
                    <w:rPr>
                      <w:rFonts w:hint="default" w:ascii="Times New Roman" w:hAnsi="Times New Roman" w:cs="Times New Roman"/>
                      <w:color w:val="auto"/>
                      <w:highlight w:val="none"/>
                    </w:rPr>
                  </w:pPr>
                  <w:r>
                    <w:rPr>
                      <w:rFonts w:hint="default" w:ascii="Times New Roman" w:hAnsi="Times New Roman" w:cs="Times New Roman"/>
                      <w:color w:val="auto"/>
                      <w:highlight w:val="none"/>
                    </w:rPr>
                    <w:t>6（监控点处1h平均浓度值）</w:t>
                  </w:r>
                </w:p>
              </w:tc>
              <w:tc>
                <w:tcPr>
                  <w:tcW w:w="528" w:type="pct"/>
                  <w:vMerge w:val="restart"/>
                  <w:noWrap w:val="0"/>
                  <w:vAlign w:val="center"/>
                </w:tcPr>
                <w:p w14:paraId="21C5A400">
                  <w:pPr>
                    <w:pStyle w:val="62"/>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1794" w:type="pct"/>
                  <w:vMerge w:val="restart"/>
                  <w:noWrap w:val="0"/>
                  <w:vAlign w:val="center"/>
                </w:tcPr>
                <w:p w14:paraId="61116956">
                  <w:pPr>
                    <w:jc w:val="center"/>
                    <w:rPr>
                      <w:rFonts w:hint="default" w:ascii="Times New Roman" w:hAnsi="Times New Roman" w:cs="Times New Roman"/>
                      <w:color w:val="auto"/>
                      <w:kern w:val="0"/>
                      <w:szCs w:val="21"/>
                      <w:highlight w:val="none"/>
                      <w:lang w:bidi="ar"/>
                    </w:rPr>
                  </w:pPr>
                  <w:r>
                    <w:rPr>
                      <w:rFonts w:hint="default" w:ascii="Times New Roman" w:hAnsi="Times New Roman" w:eastAsia="宋体" w:cs="Times New Roman"/>
                      <w:color w:val="auto"/>
                      <w:kern w:val="0"/>
                      <w:sz w:val="21"/>
                      <w:szCs w:val="21"/>
                      <w:highlight w:val="none"/>
                      <w:lang w:val="en-US" w:eastAsia="zh-CN" w:bidi="ar-SA"/>
                    </w:rPr>
                    <w:t>广东省地方标准《固定污染源挥发性有机物综合排放标准》（DB44/2367-2022）表3厂区内VOCs无组织排放限值</w:t>
                  </w:r>
                </w:p>
              </w:tc>
            </w:tr>
            <w:tr w14:paraId="7A6C83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3" w:hRule="atLeast"/>
                <w:jc w:val="center"/>
              </w:trPr>
              <w:tc>
                <w:tcPr>
                  <w:tcW w:w="395" w:type="pct"/>
                  <w:vMerge w:val="continue"/>
                  <w:noWrap w:val="0"/>
                  <w:vAlign w:val="center"/>
                </w:tcPr>
                <w:p w14:paraId="5DD053A3">
                  <w:pPr>
                    <w:pStyle w:val="62"/>
                    <w:rPr>
                      <w:rFonts w:hint="default" w:ascii="Times New Roman" w:hAnsi="Times New Roman" w:cs="Times New Roman"/>
                      <w:color w:val="auto"/>
                      <w:highlight w:val="none"/>
                    </w:rPr>
                  </w:pPr>
                </w:p>
              </w:tc>
              <w:tc>
                <w:tcPr>
                  <w:tcW w:w="546" w:type="pct"/>
                  <w:vMerge w:val="continue"/>
                  <w:noWrap w:val="0"/>
                  <w:vAlign w:val="center"/>
                </w:tcPr>
                <w:p w14:paraId="0A1E575F">
                  <w:pPr>
                    <w:pStyle w:val="62"/>
                    <w:rPr>
                      <w:rFonts w:hint="default" w:ascii="Times New Roman" w:hAnsi="Times New Roman" w:cs="Times New Roman"/>
                      <w:color w:val="auto"/>
                      <w:highlight w:val="none"/>
                    </w:rPr>
                  </w:pPr>
                </w:p>
              </w:tc>
              <w:tc>
                <w:tcPr>
                  <w:tcW w:w="787" w:type="pct"/>
                  <w:vMerge w:val="continue"/>
                  <w:noWrap w:val="0"/>
                  <w:vAlign w:val="center"/>
                </w:tcPr>
                <w:p w14:paraId="0AB5A197">
                  <w:pPr>
                    <w:pStyle w:val="62"/>
                    <w:rPr>
                      <w:rFonts w:hint="default" w:ascii="Times New Roman" w:hAnsi="Times New Roman" w:cs="Times New Roman"/>
                      <w:color w:val="auto"/>
                      <w:highlight w:val="none"/>
                    </w:rPr>
                  </w:pPr>
                </w:p>
              </w:tc>
              <w:tc>
                <w:tcPr>
                  <w:tcW w:w="309" w:type="pct"/>
                  <w:vMerge w:val="continue"/>
                  <w:noWrap w:val="0"/>
                  <w:vAlign w:val="center"/>
                </w:tcPr>
                <w:p w14:paraId="31123543">
                  <w:pPr>
                    <w:pStyle w:val="62"/>
                    <w:rPr>
                      <w:rFonts w:hint="default" w:ascii="Times New Roman" w:hAnsi="Times New Roman" w:cs="Times New Roman"/>
                      <w:color w:val="auto"/>
                      <w:highlight w:val="none"/>
                    </w:rPr>
                  </w:pPr>
                </w:p>
              </w:tc>
              <w:tc>
                <w:tcPr>
                  <w:tcW w:w="638" w:type="pct"/>
                  <w:noWrap w:val="0"/>
                  <w:vAlign w:val="center"/>
                </w:tcPr>
                <w:p w14:paraId="5A7BF89D">
                  <w:pPr>
                    <w:pStyle w:val="62"/>
                    <w:rPr>
                      <w:rFonts w:hint="default" w:ascii="Times New Roman" w:hAnsi="Times New Roman" w:cs="Times New Roman"/>
                      <w:color w:val="auto"/>
                      <w:highlight w:val="none"/>
                    </w:rPr>
                  </w:pPr>
                  <w:r>
                    <w:rPr>
                      <w:rFonts w:hint="default" w:ascii="Times New Roman" w:hAnsi="Times New Roman" w:cs="Times New Roman"/>
                      <w:color w:val="auto"/>
                      <w:highlight w:val="none"/>
                    </w:rPr>
                    <w:t>20（监控点处任意一次浓度值）</w:t>
                  </w:r>
                </w:p>
              </w:tc>
              <w:tc>
                <w:tcPr>
                  <w:tcW w:w="528" w:type="pct"/>
                  <w:vMerge w:val="continue"/>
                  <w:noWrap w:val="0"/>
                  <w:vAlign w:val="center"/>
                </w:tcPr>
                <w:p w14:paraId="1E01411D">
                  <w:pPr>
                    <w:pStyle w:val="62"/>
                    <w:rPr>
                      <w:rFonts w:hint="default" w:ascii="Times New Roman" w:hAnsi="Times New Roman" w:cs="Times New Roman"/>
                      <w:color w:val="auto"/>
                      <w:highlight w:val="none"/>
                    </w:rPr>
                  </w:pPr>
                </w:p>
              </w:tc>
              <w:tc>
                <w:tcPr>
                  <w:tcW w:w="1794" w:type="pct"/>
                  <w:vMerge w:val="continue"/>
                  <w:noWrap w:val="0"/>
                  <w:vAlign w:val="center"/>
                </w:tcPr>
                <w:p w14:paraId="745929AA">
                  <w:pPr>
                    <w:pStyle w:val="62"/>
                    <w:rPr>
                      <w:rFonts w:hint="default" w:ascii="Times New Roman" w:hAnsi="Times New Roman" w:cs="Times New Roman"/>
                      <w:color w:val="auto"/>
                      <w:highlight w:val="none"/>
                    </w:rPr>
                  </w:pPr>
                </w:p>
              </w:tc>
            </w:tr>
          </w:tbl>
          <w:p w14:paraId="389B0A59">
            <w:pPr>
              <w:pStyle w:val="83"/>
              <w:widowControl w:val="0"/>
              <w:numPr>
                <w:ilvl w:val="0"/>
                <w:numId w:val="0"/>
              </w:numPr>
              <w:spacing w:line="360" w:lineRule="auto"/>
              <w:jc w:val="both"/>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注：根据广东省地方标准《大气污染物排放限值》（DB44/27-2001），烟囱高度未达到“高出周围200m半径范围的建筑5m以上”的要求，因此废气中污染物</w:t>
            </w:r>
            <w:r>
              <w:rPr>
                <w:rFonts w:hint="eastAsia" w:eastAsia="宋体" w:cs="Times New Roman"/>
                <w:b w:val="0"/>
                <w:bCs/>
                <w:color w:val="auto"/>
                <w:sz w:val="21"/>
                <w:szCs w:val="21"/>
                <w:highlight w:val="none"/>
                <w:lang w:val="en-US" w:eastAsia="zh-CN"/>
              </w:rPr>
              <w:t>硫酸雾、氯化氢、氮氧化物</w:t>
            </w:r>
            <w:r>
              <w:rPr>
                <w:rFonts w:hint="default" w:ascii="Times New Roman" w:hAnsi="Times New Roman" w:eastAsia="宋体" w:cs="Times New Roman"/>
                <w:b w:val="0"/>
                <w:bCs/>
                <w:color w:val="auto"/>
                <w:sz w:val="21"/>
                <w:szCs w:val="21"/>
                <w:highlight w:val="none"/>
              </w:rPr>
              <w:t>颗粒物、</w:t>
            </w:r>
            <w:r>
              <w:rPr>
                <w:rFonts w:hint="eastAsia" w:eastAsia="宋体" w:cs="Times New Roman"/>
                <w:b w:val="0"/>
                <w:bCs/>
                <w:color w:val="auto"/>
                <w:sz w:val="21"/>
                <w:szCs w:val="21"/>
                <w:highlight w:val="none"/>
                <w:lang w:val="en-US" w:eastAsia="zh-CN"/>
              </w:rPr>
              <w:t>甲醇</w:t>
            </w:r>
            <w:r>
              <w:rPr>
                <w:rFonts w:hint="default" w:ascii="Times New Roman" w:hAnsi="Times New Roman" w:eastAsia="宋体" w:cs="Times New Roman"/>
                <w:b w:val="0"/>
                <w:bCs/>
                <w:color w:val="auto"/>
                <w:sz w:val="21"/>
                <w:szCs w:val="21"/>
                <w:highlight w:val="none"/>
              </w:rPr>
              <w:t>需按其高度对应的排放速率限值的50％执行。</w:t>
            </w:r>
          </w:p>
          <w:p w14:paraId="353C4104">
            <w:pPr>
              <w:pStyle w:val="83"/>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根据广东省地方标准《大气污染物排放限值》(DB44/27-2001)，某排气筒高度处于表列两高度之间，用内插法计算其最高允许排放速率，公式如下:</w:t>
            </w:r>
          </w:p>
          <w:p w14:paraId="4E2E4A59">
            <w:pPr>
              <w:pStyle w:val="83"/>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ascii="Times New Roman" w:hAnsi="Times New Roman" w:eastAsia="宋体" w:cs="Times New Roman"/>
                <w:b w:val="0"/>
                <w:bCs/>
                <w:color w:val="auto"/>
                <w:sz w:val="21"/>
                <w:szCs w:val="21"/>
                <w:highlight w:val="none"/>
                <w:lang w:eastAsia="zh-CN"/>
              </w:rPr>
            </w:pPr>
            <w:r>
              <w:rPr>
                <w:rFonts w:hint="eastAsia" w:ascii="Times New Roman" w:hAnsi="Times New Roman" w:eastAsia="宋体" w:cs="Times New Roman"/>
                <w:b w:val="0"/>
                <w:bCs/>
                <w:color w:val="auto"/>
                <w:sz w:val="21"/>
                <w:szCs w:val="21"/>
                <w:highlight w:val="none"/>
                <w:lang w:eastAsia="zh-CN"/>
              </w:rPr>
              <w:drawing>
                <wp:inline distT="0" distB="0" distL="114300" distR="114300">
                  <wp:extent cx="4495800" cy="1611630"/>
                  <wp:effectExtent l="0" t="0" r="0" b="7620"/>
                  <wp:docPr id="4" name="图片 1" descr="85f4443d-9f4c-4a92-bf71-da901ca95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descr="85f4443d-9f4c-4a92-bf71-da901ca95239"/>
                          <pic:cNvPicPr>
                            <a:picLocks noChangeAspect="1"/>
                          </pic:cNvPicPr>
                        </pic:nvPicPr>
                        <pic:blipFill>
                          <a:blip r:embed="rId20"/>
                          <a:stretch>
                            <a:fillRect/>
                          </a:stretch>
                        </pic:blipFill>
                        <pic:spPr>
                          <a:xfrm>
                            <a:off x="0" y="0"/>
                            <a:ext cx="4495800" cy="1611630"/>
                          </a:xfrm>
                          <a:prstGeom prst="rect">
                            <a:avLst/>
                          </a:prstGeom>
                          <a:noFill/>
                          <a:ln>
                            <a:noFill/>
                          </a:ln>
                        </pic:spPr>
                      </pic:pic>
                    </a:graphicData>
                  </a:graphic>
                </wp:inline>
              </w:drawing>
            </w:r>
          </w:p>
          <w:p w14:paraId="42C5F7CB">
            <w:pPr>
              <w:pStyle w:val="83"/>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eastAsia="宋体" w:cs="Times New Roman"/>
                <w:b w:val="0"/>
                <w:bCs/>
                <w:color w:val="auto"/>
                <w:sz w:val="21"/>
                <w:szCs w:val="21"/>
                <w:highlight w:val="none"/>
                <w:lang w:val="en-US" w:eastAsia="zh-CN"/>
              </w:rPr>
            </w:pPr>
            <w:r>
              <w:rPr>
                <w:rFonts w:hint="eastAsia" w:eastAsia="宋体" w:cs="Times New Roman"/>
                <w:b w:val="0"/>
                <w:bCs/>
                <w:color w:val="auto"/>
                <w:sz w:val="21"/>
                <w:szCs w:val="21"/>
                <w:highlight w:val="none"/>
                <w:lang w:val="en-US" w:eastAsia="zh-CN"/>
              </w:rPr>
              <w:t>硫酸雾</w:t>
            </w:r>
            <w:r>
              <w:rPr>
                <w:rFonts w:hint="eastAsia" w:ascii="Times New Roman" w:hAnsi="Times New Roman" w:eastAsia="宋体" w:cs="Times New Roman"/>
                <w:b w:val="0"/>
                <w:bCs/>
                <w:color w:val="auto"/>
                <w:sz w:val="21"/>
                <w:szCs w:val="21"/>
                <w:highlight w:val="none"/>
                <w:lang w:eastAsia="zh-CN"/>
              </w:rPr>
              <w:t>排气筒高度</w:t>
            </w:r>
            <w:r>
              <w:rPr>
                <w:rFonts w:hint="eastAsia" w:ascii="Times New Roman" w:hAnsi="Times New Roman" w:eastAsia="宋体" w:cs="Times New Roman"/>
                <w:b w:val="0"/>
                <w:bCs/>
                <w:color w:val="auto"/>
                <w:sz w:val="21"/>
                <w:szCs w:val="21"/>
                <w:highlight w:val="none"/>
                <w:lang w:val="en-US" w:eastAsia="zh-CN"/>
              </w:rPr>
              <w:t>43</w:t>
            </w:r>
            <w:r>
              <w:rPr>
                <w:rFonts w:hint="eastAsia" w:ascii="Times New Roman" w:hAnsi="Times New Roman" w:eastAsia="宋体" w:cs="Times New Roman"/>
                <w:b w:val="0"/>
                <w:bCs/>
                <w:color w:val="auto"/>
                <w:sz w:val="21"/>
                <w:szCs w:val="21"/>
                <w:highlight w:val="none"/>
                <w:lang w:eastAsia="zh-CN"/>
              </w:rPr>
              <w:t>米对应排放速率=</w:t>
            </w:r>
            <w:r>
              <w:rPr>
                <w:rFonts w:hint="eastAsia" w:ascii="Times New Roman" w:hAnsi="Times New Roman" w:eastAsia="宋体" w:cs="Times New Roman"/>
                <w:b w:val="0"/>
                <w:bCs/>
                <w:color w:val="auto"/>
                <w:sz w:val="21"/>
                <w:szCs w:val="21"/>
                <w:highlight w:val="none"/>
                <w:lang w:val="en-US" w:eastAsia="zh-CN"/>
              </w:rPr>
              <w:t>13</w:t>
            </w:r>
            <w:r>
              <w:rPr>
                <w:rFonts w:hint="eastAsia" w:ascii="Times New Roman" w:hAnsi="Times New Roman" w:eastAsia="宋体" w:cs="Times New Roman"/>
                <w:b w:val="0"/>
                <w:bCs/>
                <w:color w:val="auto"/>
                <w:sz w:val="21"/>
                <w:szCs w:val="21"/>
                <w:highlight w:val="none"/>
                <w:lang w:eastAsia="zh-CN"/>
              </w:rPr>
              <w:t>+(</w:t>
            </w:r>
            <w:r>
              <w:rPr>
                <w:rFonts w:hint="eastAsia" w:ascii="Times New Roman" w:hAnsi="Times New Roman" w:eastAsia="宋体" w:cs="Times New Roman"/>
                <w:b w:val="0"/>
                <w:bCs/>
                <w:color w:val="auto"/>
                <w:sz w:val="21"/>
                <w:szCs w:val="21"/>
                <w:highlight w:val="none"/>
                <w:lang w:val="en-US" w:eastAsia="zh-CN"/>
              </w:rPr>
              <w:t>19</w:t>
            </w:r>
            <w:r>
              <w:rPr>
                <w:rFonts w:hint="eastAsia" w:ascii="Times New Roman" w:hAnsi="Times New Roman" w:eastAsia="宋体" w:cs="Times New Roman"/>
                <w:b w:val="0"/>
                <w:bCs/>
                <w:color w:val="auto"/>
                <w:sz w:val="21"/>
                <w:szCs w:val="21"/>
                <w:highlight w:val="none"/>
                <w:lang w:eastAsia="zh-CN"/>
              </w:rPr>
              <w:t>-</w:t>
            </w:r>
            <w:r>
              <w:rPr>
                <w:rFonts w:hint="eastAsia" w:ascii="Times New Roman" w:hAnsi="Times New Roman" w:eastAsia="宋体" w:cs="Times New Roman"/>
                <w:b w:val="0"/>
                <w:bCs/>
                <w:color w:val="auto"/>
                <w:sz w:val="21"/>
                <w:szCs w:val="21"/>
                <w:highlight w:val="none"/>
                <w:lang w:val="en-US" w:eastAsia="zh-CN"/>
              </w:rPr>
              <w:t>13</w:t>
            </w:r>
            <w:r>
              <w:rPr>
                <w:rFonts w:hint="eastAsia" w:ascii="Times New Roman" w:hAnsi="Times New Roman" w:eastAsia="宋体" w:cs="Times New Roman"/>
                <w:b w:val="0"/>
                <w:bCs/>
                <w:color w:val="auto"/>
                <w:sz w:val="21"/>
                <w:szCs w:val="21"/>
                <w:highlight w:val="none"/>
                <w:lang w:eastAsia="zh-CN"/>
              </w:rPr>
              <w:t>)*(</w:t>
            </w:r>
            <w:r>
              <w:rPr>
                <w:rFonts w:hint="eastAsia" w:ascii="Times New Roman" w:hAnsi="Times New Roman" w:eastAsia="宋体" w:cs="Times New Roman"/>
                <w:b w:val="0"/>
                <w:bCs/>
                <w:color w:val="auto"/>
                <w:sz w:val="21"/>
                <w:szCs w:val="21"/>
                <w:highlight w:val="none"/>
                <w:lang w:val="en-US" w:eastAsia="zh-CN"/>
              </w:rPr>
              <w:t>43-4</w:t>
            </w:r>
            <w:r>
              <w:rPr>
                <w:rFonts w:hint="eastAsia" w:ascii="Times New Roman" w:hAnsi="Times New Roman" w:eastAsia="宋体" w:cs="Times New Roman"/>
                <w:b w:val="0"/>
                <w:bCs/>
                <w:color w:val="auto"/>
                <w:sz w:val="21"/>
                <w:szCs w:val="21"/>
                <w:highlight w:val="none"/>
                <w:lang w:eastAsia="zh-CN"/>
              </w:rPr>
              <w:t>0)/(</w:t>
            </w:r>
            <w:r>
              <w:rPr>
                <w:rFonts w:hint="eastAsia" w:ascii="Times New Roman" w:hAnsi="Times New Roman" w:eastAsia="宋体" w:cs="Times New Roman"/>
                <w:b w:val="0"/>
                <w:bCs/>
                <w:color w:val="auto"/>
                <w:sz w:val="21"/>
                <w:szCs w:val="21"/>
                <w:highlight w:val="none"/>
                <w:lang w:val="en-US" w:eastAsia="zh-CN"/>
              </w:rPr>
              <w:t>50-40</w:t>
            </w:r>
            <w:r>
              <w:rPr>
                <w:rFonts w:hint="eastAsia" w:ascii="Times New Roman" w:hAnsi="Times New Roman" w:eastAsia="宋体" w:cs="Times New Roman"/>
                <w:b w:val="0"/>
                <w:bCs/>
                <w:color w:val="auto"/>
                <w:sz w:val="21"/>
                <w:szCs w:val="21"/>
                <w:highlight w:val="none"/>
                <w:lang w:eastAsia="zh-CN"/>
              </w:rPr>
              <w:t>)=</w:t>
            </w:r>
            <w:r>
              <w:rPr>
                <w:rFonts w:hint="eastAsia" w:ascii="Times New Roman" w:hAnsi="Times New Roman" w:eastAsia="宋体" w:cs="Times New Roman"/>
                <w:b w:val="0"/>
                <w:bCs/>
                <w:color w:val="auto"/>
                <w:sz w:val="21"/>
                <w:szCs w:val="21"/>
                <w:highlight w:val="none"/>
                <w:lang w:val="en-US" w:eastAsia="zh-CN"/>
              </w:rPr>
              <w:t>14.8</w:t>
            </w:r>
            <w:r>
              <w:rPr>
                <w:rFonts w:hint="eastAsia" w:ascii="Times New Roman" w:hAnsi="Times New Roman" w:eastAsia="宋体" w:cs="Times New Roman"/>
                <w:b w:val="0"/>
                <w:bCs/>
                <w:color w:val="auto"/>
                <w:sz w:val="21"/>
                <w:szCs w:val="21"/>
                <w:highlight w:val="none"/>
                <w:lang w:eastAsia="zh-CN"/>
              </w:rPr>
              <w:t>kg</w:t>
            </w:r>
            <w:r>
              <w:rPr>
                <w:rFonts w:hint="eastAsia" w:ascii="Times New Roman" w:hAnsi="Times New Roman" w:eastAsia="宋体" w:cs="Times New Roman"/>
                <w:b w:val="0"/>
                <w:bCs/>
                <w:color w:val="auto"/>
                <w:sz w:val="21"/>
                <w:szCs w:val="21"/>
                <w:highlight w:val="none"/>
                <w:lang w:val="en-US" w:eastAsia="zh-CN"/>
              </w:rPr>
              <w:t>/</w:t>
            </w:r>
            <w:r>
              <w:rPr>
                <w:rFonts w:hint="eastAsia" w:ascii="Times New Roman" w:hAnsi="Times New Roman" w:eastAsia="宋体" w:cs="Times New Roman"/>
                <w:b w:val="0"/>
                <w:bCs/>
                <w:color w:val="auto"/>
                <w:sz w:val="21"/>
                <w:szCs w:val="21"/>
                <w:highlight w:val="none"/>
                <w:lang w:eastAsia="zh-CN"/>
              </w:rPr>
              <w:t>h，排放速率限值的50%为</w:t>
            </w:r>
            <w:r>
              <w:rPr>
                <w:rFonts w:hint="eastAsia" w:ascii="Times New Roman" w:hAnsi="Times New Roman" w:eastAsia="宋体" w:cs="Times New Roman"/>
                <w:b w:val="0"/>
                <w:bCs/>
                <w:color w:val="auto"/>
                <w:sz w:val="21"/>
                <w:szCs w:val="21"/>
                <w:highlight w:val="none"/>
                <w:lang w:val="en-US" w:eastAsia="zh-CN"/>
              </w:rPr>
              <w:t>7.4</w:t>
            </w:r>
            <w:r>
              <w:rPr>
                <w:rFonts w:hint="eastAsia" w:ascii="Times New Roman" w:hAnsi="Times New Roman" w:eastAsia="宋体" w:cs="Times New Roman"/>
                <w:b w:val="0"/>
                <w:bCs/>
                <w:color w:val="auto"/>
                <w:sz w:val="21"/>
                <w:szCs w:val="21"/>
                <w:highlight w:val="none"/>
                <w:lang w:eastAsia="zh-CN"/>
              </w:rPr>
              <w:t>kg</w:t>
            </w:r>
            <w:r>
              <w:rPr>
                <w:rFonts w:hint="eastAsia" w:ascii="Times New Roman" w:hAnsi="Times New Roman" w:eastAsia="宋体" w:cs="Times New Roman"/>
                <w:b w:val="0"/>
                <w:bCs/>
                <w:color w:val="auto"/>
                <w:sz w:val="21"/>
                <w:szCs w:val="21"/>
                <w:highlight w:val="none"/>
                <w:lang w:val="en-US" w:eastAsia="zh-CN"/>
              </w:rPr>
              <w:t>/</w:t>
            </w:r>
            <w:r>
              <w:rPr>
                <w:rFonts w:hint="eastAsia" w:ascii="Times New Roman" w:hAnsi="Times New Roman" w:eastAsia="宋体" w:cs="Times New Roman"/>
                <w:b w:val="0"/>
                <w:bCs/>
                <w:color w:val="auto"/>
                <w:sz w:val="21"/>
                <w:szCs w:val="21"/>
                <w:highlight w:val="none"/>
                <w:lang w:eastAsia="zh-CN"/>
              </w:rPr>
              <w:t>h。</w:t>
            </w:r>
          </w:p>
          <w:p w14:paraId="3D117688">
            <w:pPr>
              <w:pStyle w:val="83"/>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default" w:eastAsia="宋体" w:cs="Times New Roman"/>
                <w:b w:val="0"/>
                <w:bCs/>
                <w:color w:val="auto"/>
                <w:sz w:val="21"/>
                <w:szCs w:val="21"/>
                <w:highlight w:val="none"/>
                <w:lang w:val="en-US" w:eastAsia="zh-CN"/>
              </w:rPr>
            </w:pPr>
            <w:r>
              <w:rPr>
                <w:rFonts w:hint="eastAsia" w:eastAsia="宋体" w:cs="Times New Roman"/>
                <w:b w:val="0"/>
                <w:bCs/>
                <w:color w:val="auto"/>
                <w:sz w:val="21"/>
                <w:szCs w:val="21"/>
                <w:highlight w:val="none"/>
                <w:lang w:val="en-US" w:eastAsia="zh-CN"/>
              </w:rPr>
              <w:t>氯化氢</w:t>
            </w:r>
            <w:r>
              <w:rPr>
                <w:rFonts w:hint="eastAsia" w:ascii="Times New Roman" w:hAnsi="Times New Roman" w:eastAsia="宋体" w:cs="Times New Roman"/>
                <w:b w:val="0"/>
                <w:bCs/>
                <w:color w:val="auto"/>
                <w:sz w:val="21"/>
                <w:szCs w:val="21"/>
                <w:highlight w:val="none"/>
                <w:lang w:eastAsia="zh-CN"/>
              </w:rPr>
              <w:t>排气筒高度</w:t>
            </w:r>
            <w:r>
              <w:rPr>
                <w:rFonts w:hint="eastAsia" w:ascii="Times New Roman" w:hAnsi="Times New Roman" w:eastAsia="宋体" w:cs="Times New Roman"/>
                <w:b w:val="0"/>
                <w:bCs/>
                <w:color w:val="auto"/>
                <w:sz w:val="21"/>
                <w:szCs w:val="21"/>
                <w:highlight w:val="none"/>
                <w:lang w:val="en-US" w:eastAsia="zh-CN"/>
              </w:rPr>
              <w:t>43</w:t>
            </w:r>
            <w:r>
              <w:rPr>
                <w:rFonts w:hint="eastAsia" w:ascii="Times New Roman" w:hAnsi="Times New Roman" w:eastAsia="宋体" w:cs="Times New Roman"/>
                <w:b w:val="0"/>
                <w:bCs/>
                <w:color w:val="auto"/>
                <w:sz w:val="21"/>
                <w:szCs w:val="21"/>
                <w:highlight w:val="none"/>
                <w:lang w:eastAsia="zh-CN"/>
              </w:rPr>
              <w:t>米对应排放速率=</w:t>
            </w:r>
            <w:r>
              <w:rPr>
                <w:rFonts w:hint="eastAsia" w:ascii="Times New Roman" w:hAnsi="Times New Roman" w:eastAsia="宋体" w:cs="Times New Roman"/>
                <w:b w:val="0"/>
                <w:bCs/>
                <w:color w:val="auto"/>
                <w:sz w:val="21"/>
                <w:szCs w:val="21"/>
                <w:highlight w:val="none"/>
                <w:lang w:val="en-US" w:eastAsia="zh-CN"/>
              </w:rPr>
              <w:t>2.1</w:t>
            </w:r>
            <w:r>
              <w:rPr>
                <w:rFonts w:hint="eastAsia" w:ascii="Times New Roman" w:hAnsi="Times New Roman" w:eastAsia="宋体" w:cs="Times New Roman"/>
                <w:b w:val="0"/>
                <w:bCs/>
                <w:color w:val="auto"/>
                <w:sz w:val="21"/>
                <w:szCs w:val="21"/>
                <w:highlight w:val="none"/>
                <w:lang w:eastAsia="zh-CN"/>
              </w:rPr>
              <w:t>+(</w:t>
            </w:r>
            <w:r>
              <w:rPr>
                <w:rFonts w:hint="eastAsia" w:ascii="Times New Roman" w:hAnsi="Times New Roman" w:eastAsia="宋体" w:cs="Times New Roman"/>
                <w:b w:val="0"/>
                <w:bCs/>
                <w:color w:val="auto"/>
                <w:sz w:val="21"/>
                <w:szCs w:val="21"/>
                <w:highlight w:val="none"/>
                <w:lang w:val="en-US" w:eastAsia="zh-CN"/>
              </w:rPr>
              <w:t>3.2-2.1</w:t>
            </w:r>
            <w:r>
              <w:rPr>
                <w:rFonts w:hint="eastAsia" w:ascii="Times New Roman" w:hAnsi="Times New Roman" w:eastAsia="宋体" w:cs="Times New Roman"/>
                <w:b w:val="0"/>
                <w:bCs/>
                <w:color w:val="auto"/>
                <w:sz w:val="21"/>
                <w:szCs w:val="21"/>
                <w:highlight w:val="none"/>
                <w:lang w:eastAsia="zh-CN"/>
              </w:rPr>
              <w:t>)*(</w:t>
            </w:r>
            <w:r>
              <w:rPr>
                <w:rFonts w:hint="eastAsia" w:ascii="Times New Roman" w:hAnsi="Times New Roman" w:eastAsia="宋体" w:cs="Times New Roman"/>
                <w:b w:val="0"/>
                <w:bCs/>
                <w:color w:val="auto"/>
                <w:sz w:val="21"/>
                <w:szCs w:val="21"/>
                <w:highlight w:val="none"/>
                <w:lang w:val="en-US" w:eastAsia="zh-CN"/>
              </w:rPr>
              <w:t>43-40</w:t>
            </w:r>
            <w:r>
              <w:rPr>
                <w:rFonts w:hint="eastAsia" w:ascii="Times New Roman" w:hAnsi="Times New Roman" w:eastAsia="宋体" w:cs="Times New Roman"/>
                <w:b w:val="0"/>
                <w:bCs/>
                <w:color w:val="auto"/>
                <w:sz w:val="21"/>
                <w:szCs w:val="21"/>
                <w:highlight w:val="none"/>
                <w:lang w:eastAsia="zh-CN"/>
              </w:rPr>
              <w:t>)/(</w:t>
            </w:r>
            <w:r>
              <w:rPr>
                <w:rFonts w:hint="eastAsia" w:ascii="Times New Roman" w:hAnsi="Times New Roman" w:eastAsia="宋体" w:cs="Times New Roman"/>
                <w:b w:val="0"/>
                <w:bCs/>
                <w:color w:val="auto"/>
                <w:sz w:val="21"/>
                <w:szCs w:val="21"/>
                <w:highlight w:val="none"/>
                <w:lang w:val="en-US" w:eastAsia="zh-CN"/>
              </w:rPr>
              <w:t>50-40</w:t>
            </w:r>
            <w:r>
              <w:rPr>
                <w:rFonts w:hint="eastAsia" w:ascii="Times New Roman" w:hAnsi="Times New Roman" w:eastAsia="宋体" w:cs="Times New Roman"/>
                <w:b w:val="0"/>
                <w:bCs/>
                <w:color w:val="auto"/>
                <w:sz w:val="21"/>
                <w:szCs w:val="21"/>
                <w:highlight w:val="none"/>
                <w:lang w:eastAsia="zh-CN"/>
              </w:rPr>
              <w:t>=</w:t>
            </w:r>
            <w:r>
              <w:rPr>
                <w:rFonts w:hint="eastAsia" w:ascii="Times New Roman" w:hAnsi="Times New Roman" w:eastAsia="宋体" w:cs="Times New Roman"/>
                <w:b w:val="0"/>
                <w:bCs/>
                <w:color w:val="auto"/>
                <w:sz w:val="21"/>
                <w:szCs w:val="21"/>
                <w:highlight w:val="none"/>
                <w:lang w:val="en-US" w:eastAsia="zh-CN"/>
              </w:rPr>
              <w:t>2.43</w:t>
            </w:r>
            <w:r>
              <w:rPr>
                <w:rFonts w:hint="eastAsia" w:ascii="Times New Roman" w:hAnsi="Times New Roman" w:eastAsia="宋体" w:cs="Times New Roman"/>
                <w:b w:val="0"/>
                <w:bCs/>
                <w:color w:val="auto"/>
                <w:sz w:val="21"/>
                <w:szCs w:val="21"/>
                <w:highlight w:val="none"/>
                <w:lang w:eastAsia="zh-CN"/>
              </w:rPr>
              <w:t>kg</w:t>
            </w:r>
            <w:r>
              <w:rPr>
                <w:rFonts w:hint="eastAsia" w:ascii="Times New Roman" w:hAnsi="Times New Roman" w:eastAsia="宋体" w:cs="Times New Roman"/>
                <w:b w:val="0"/>
                <w:bCs/>
                <w:color w:val="auto"/>
                <w:sz w:val="21"/>
                <w:szCs w:val="21"/>
                <w:highlight w:val="none"/>
                <w:lang w:val="en-US" w:eastAsia="zh-CN"/>
              </w:rPr>
              <w:t>/</w:t>
            </w:r>
            <w:r>
              <w:rPr>
                <w:rFonts w:hint="eastAsia" w:ascii="Times New Roman" w:hAnsi="Times New Roman" w:eastAsia="宋体" w:cs="Times New Roman"/>
                <w:b w:val="0"/>
                <w:bCs/>
                <w:color w:val="auto"/>
                <w:sz w:val="21"/>
                <w:szCs w:val="21"/>
                <w:highlight w:val="none"/>
                <w:lang w:eastAsia="zh-CN"/>
              </w:rPr>
              <w:t>h，排放速率限值的50%为</w:t>
            </w:r>
            <w:r>
              <w:rPr>
                <w:rFonts w:hint="eastAsia" w:ascii="Times New Roman" w:hAnsi="Times New Roman" w:eastAsia="宋体" w:cs="Times New Roman"/>
                <w:b w:val="0"/>
                <w:bCs/>
                <w:color w:val="auto"/>
                <w:sz w:val="21"/>
                <w:szCs w:val="21"/>
                <w:highlight w:val="none"/>
                <w:lang w:val="en-US" w:eastAsia="zh-CN"/>
              </w:rPr>
              <w:t>1.215</w:t>
            </w:r>
            <w:r>
              <w:rPr>
                <w:rFonts w:hint="eastAsia" w:ascii="Times New Roman" w:hAnsi="Times New Roman" w:eastAsia="宋体" w:cs="Times New Roman"/>
                <w:b w:val="0"/>
                <w:bCs/>
                <w:color w:val="auto"/>
                <w:sz w:val="21"/>
                <w:szCs w:val="21"/>
                <w:highlight w:val="none"/>
                <w:lang w:eastAsia="zh-CN"/>
              </w:rPr>
              <w:t>kg</w:t>
            </w:r>
            <w:r>
              <w:rPr>
                <w:rFonts w:hint="eastAsia" w:ascii="Times New Roman" w:hAnsi="Times New Roman" w:eastAsia="宋体" w:cs="Times New Roman"/>
                <w:b w:val="0"/>
                <w:bCs/>
                <w:color w:val="auto"/>
                <w:sz w:val="21"/>
                <w:szCs w:val="21"/>
                <w:highlight w:val="none"/>
                <w:lang w:val="en-US" w:eastAsia="zh-CN"/>
              </w:rPr>
              <w:t>/</w:t>
            </w:r>
            <w:r>
              <w:rPr>
                <w:rFonts w:hint="eastAsia" w:ascii="Times New Roman" w:hAnsi="Times New Roman" w:eastAsia="宋体" w:cs="Times New Roman"/>
                <w:b w:val="0"/>
                <w:bCs/>
                <w:color w:val="auto"/>
                <w:sz w:val="21"/>
                <w:szCs w:val="21"/>
                <w:highlight w:val="none"/>
                <w:lang w:eastAsia="zh-CN"/>
              </w:rPr>
              <w:t>h。</w:t>
            </w:r>
          </w:p>
          <w:p w14:paraId="7C4466B1">
            <w:pPr>
              <w:pStyle w:val="83"/>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eastAsia="宋体" w:cs="Times New Roman"/>
                <w:b w:val="0"/>
                <w:bCs/>
                <w:color w:val="auto"/>
                <w:sz w:val="21"/>
                <w:szCs w:val="21"/>
                <w:highlight w:val="none"/>
                <w:lang w:val="en-US" w:eastAsia="zh-CN"/>
              </w:rPr>
            </w:pPr>
            <w:r>
              <w:rPr>
                <w:rFonts w:hint="eastAsia" w:eastAsia="宋体" w:cs="Times New Roman"/>
                <w:b w:val="0"/>
                <w:bCs/>
                <w:color w:val="auto"/>
                <w:sz w:val="21"/>
                <w:szCs w:val="21"/>
                <w:highlight w:val="none"/>
                <w:lang w:val="en-US" w:eastAsia="zh-CN"/>
              </w:rPr>
              <w:t>氮氧化物</w:t>
            </w:r>
            <w:r>
              <w:rPr>
                <w:rFonts w:hint="eastAsia" w:ascii="Times New Roman" w:hAnsi="Times New Roman" w:eastAsia="宋体" w:cs="Times New Roman"/>
                <w:b w:val="0"/>
                <w:bCs/>
                <w:color w:val="auto"/>
                <w:sz w:val="21"/>
                <w:szCs w:val="21"/>
                <w:highlight w:val="none"/>
                <w:lang w:eastAsia="zh-CN"/>
              </w:rPr>
              <w:t>排气筒高度</w:t>
            </w:r>
            <w:r>
              <w:rPr>
                <w:rFonts w:hint="eastAsia" w:ascii="Times New Roman" w:hAnsi="Times New Roman" w:eastAsia="宋体" w:cs="Times New Roman"/>
                <w:b w:val="0"/>
                <w:bCs/>
                <w:color w:val="auto"/>
                <w:sz w:val="21"/>
                <w:szCs w:val="21"/>
                <w:highlight w:val="none"/>
                <w:lang w:val="en-US" w:eastAsia="zh-CN"/>
              </w:rPr>
              <w:t>43</w:t>
            </w:r>
            <w:r>
              <w:rPr>
                <w:rFonts w:hint="eastAsia" w:ascii="Times New Roman" w:hAnsi="Times New Roman" w:eastAsia="宋体" w:cs="Times New Roman"/>
                <w:b w:val="0"/>
                <w:bCs/>
                <w:color w:val="auto"/>
                <w:sz w:val="21"/>
                <w:szCs w:val="21"/>
                <w:highlight w:val="none"/>
                <w:lang w:eastAsia="zh-CN"/>
              </w:rPr>
              <w:t>米对应排放速率=</w:t>
            </w:r>
            <w:r>
              <w:rPr>
                <w:rFonts w:hint="eastAsia" w:ascii="Times New Roman" w:hAnsi="Times New Roman" w:eastAsia="宋体" w:cs="Times New Roman"/>
                <w:b w:val="0"/>
                <w:bCs/>
                <w:color w:val="auto"/>
                <w:sz w:val="21"/>
                <w:szCs w:val="21"/>
                <w:highlight w:val="none"/>
                <w:lang w:val="en-US" w:eastAsia="zh-CN"/>
              </w:rPr>
              <w:t>6.2</w:t>
            </w:r>
            <w:r>
              <w:rPr>
                <w:rFonts w:hint="eastAsia" w:ascii="Times New Roman" w:hAnsi="Times New Roman" w:eastAsia="宋体" w:cs="Times New Roman"/>
                <w:b w:val="0"/>
                <w:bCs/>
                <w:color w:val="auto"/>
                <w:sz w:val="21"/>
                <w:szCs w:val="21"/>
                <w:highlight w:val="none"/>
                <w:lang w:eastAsia="zh-CN"/>
              </w:rPr>
              <w:t>+(</w:t>
            </w:r>
            <w:r>
              <w:rPr>
                <w:rFonts w:hint="eastAsia" w:ascii="Times New Roman" w:hAnsi="Times New Roman" w:eastAsia="宋体" w:cs="Times New Roman"/>
                <w:b w:val="0"/>
                <w:bCs/>
                <w:color w:val="auto"/>
                <w:sz w:val="21"/>
                <w:szCs w:val="21"/>
                <w:highlight w:val="none"/>
                <w:lang w:val="en-US" w:eastAsia="zh-CN"/>
              </w:rPr>
              <w:t>9.8-6.2</w:t>
            </w:r>
            <w:r>
              <w:rPr>
                <w:rFonts w:hint="eastAsia" w:ascii="Times New Roman" w:hAnsi="Times New Roman" w:eastAsia="宋体" w:cs="Times New Roman"/>
                <w:b w:val="0"/>
                <w:bCs/>
                <w:color w:val="auto"/>
                <w:sz w:val="21"/>
                <w:szCs w:val="21"/>
                <w:highlight w:val="none"/>
                <w:lang w:eastAsia="zh-CN"/>
              </w:rPr>
              <w:t>)*（</w:t>
            </w:r>
            <w:r>
              <w:rPr>
                <w:rFonts w:hint="eastAsia" w:ascii="Times New Roman" w:hAnsi="Times New Roman" w:eastAsia="宋体" w:cs="Times New Roman"/>
                <w:b w:val="0"/>
                <w:bCs/>
                <w:color w:val="auto"/>
                <w:sz w:val="21"/>
                <w:szCs w:val="21"/>
                <w:highlight w:val="none"/>
                <w:lang w:val="en-US" w:eastAsia="zh-CN"/>
              </w:rPr>
              <w:t>43</w:t>
            </w:r>
            <w:r>
              <w:rPr>
                <w:rFonts w:hint="eastAsia" w:ascii="Times New Roman" w:hAnsi="Times New Roman" w:eastAsia="宋体" w:cs="Times New Roman"/>
                <w:b w:val="0"/>
                <w:bCs/>
                <w:color w:val="auto"/>
                <w:sz w:val="21"/>
                <w:szCs w:val="21"/>
                <w:highlight w:val="none"/>
                <w:lang w:eastAsia="zh-CN"/>
              </w:rPr>
              <w:t>-</w:t>
            </w:r>
            <w:r>
              <w:rPr>
                <w:rFonts w:hint="eastAsia" w:ascii="Times New Roman" w:hAnsi="Times New Roman" w:eastAsia="宋体" w:cs="Times New Roman"/>
                <w:b w:val="0"/>
                <w:bCs/>
                <w:color w:val="auto"/>
                <w:sz w:val="21"/>
                <w:szCs w:val="21"/>
                <w:highlight w:val="none"/>
                <w:lang w:val="en-US" w:eastAsia="zh-CN"/>
              </w:rPr>
              <w:t>4</w:t>
            </w:r>
            <w:r>
              <w:rPr>
                <w:rFonts w:hint="eastAsia" w:ascii="Times New Roman" w:hAnsi="Times New Roman" w:eastAsia="宋体" w:cs="Times New Roman"/>
                <w:b w:val="0"/>
                <w:bCs/>
                <w:color w:val="auto"/>
                <w:sz w:val="21"/>
                <w:szCs w:val="21"/>
                <w:highlight w:val="none"/>
                <w:lang w:eastAsia="zh-CN"/>
              </w:rPr>
              <w:t>0)/(</w:t>
            </w:r>
            <w:r>
              <w:rPr>
                <w:rFonts w:hint="eastAsia" w:ascii="Times New Roman" w:hAnsi="Times New Roman" w:eastAsia="宋体" w:cs="Times New Roman"/>
                <w:b w:val="0"/>
                <w:bCs/>
                <w:color w:val="auto"/>
                <w:sz w:val="21"/>
                <w:szCs w:val="21"/>
                <w:highlight w:val="none"/>
                <w:lang w:val="en-US" w:eastAsia="zh-CN"/>
              </w:rPr>
              <w:t>50-40</w:t>
            </w:r>
            <w:r>
              <w:rPr>
                <w:rFonts w:hint="eastAsia" w:ascii="Times New Roman" w:hAnsi="Times New Roman" w:eastAsia="宋体" w:cs="Times New Roman"/>
                <w:b w:val="0"/>
                <w:bCs/>
                <w:color w:val="auto"/>
                <w:sz w:val="21"/>
                <w:szCs w:val="21"/>
                <w:highlight w:val="none"/>
                <w:lang w:eastAsia="zh-CN"/>
              </w:rPr>
              <w:t>)=</w:t>
            </w:r>
            <w:r>
              <w:rPr>
                <w:rFonts w:hint="eastAsia" w:ascii="Times New Roman" w:hAnsi="Times New Roman" w:eastAsia="宋体" w:cs="Times New Roman"/>
                <w:b w:val="0"/>
                <w:bCs/>
                <w:color w:val="auto"/>
                <w:sz w:val="21"/>
                <w:szCs w:val="21"/>
                <w:highlight w:val="none"/>
                <w:lang w:val="en-US" w:eastAsia="zh-CN"/>
              </w:rPr>
              <w:t>7.28</w:t>
            </w:r>
            <w:r>
              <w:rPr>
                <w:rFonts w:hint="eastAsia" w:ascii="Times New Roman" w:hAnsi="Times New Roman" w:eastAsia="宋体" w:cs="Times New Roman"/>
                <w:b w:val="0"/>
                <w:bCs/>
                <w:color w:val="auto"/>
                <w:sz w:val="21"/>
                <w:szCs w:val="21"/>
                <w:highlight w:val="none"/>
                <w:lang w:eastAsia="zh-CN"/>
              </w:rPr>
              <w:t>kg</w:t>
            </w:r>
            <w:r>
              <w:rPr>
                <w:rFonts w:hint="eastAsia" w:ascii="Times New Roman" w:hAnsi="Times New Roman" w:eastAsia="宋体" w:cs="Times New Roman"/>
                <w:b w:val="0"/>
                <w:bCs/>
                <w:color w:val="auto"/>
                <w:sz w:val="21"/>
                <w:szCs w:val="21"/>
                <w:highlight w:val="none"/>
                <w:lang w:val="en-US" w:eastAsia="zh-CN"/>
              </w:rPr>
              <w:t>/</w:t>
            </w:r>
            <w:r>
              <w:rPr>
                <w:rFonts w:hint="eastAsia" w:ascii="Times New Roman" w:hAnsi="Times New Roman" w:eastAsia="宋体" w:cs="Times New Roman"/>
                <w:b w:val="0"/>
                <w:bCs/>
                <w:color w:val="auto"/>
                <w:sz w:val="21"/>
                <w:szCs w:val="21"/>
                <w:highlight w:val="none"/>
                <w:lang w:eastAsia="zh-CN"/>
              </w:rPr>
              <w:t>h，排放速率限值的50%为</w:t>
            </w:r>
            <w:r>
              <w:rPr>
                <w:rFonts w:hint="eastAsia" w:ascii="Times New Roman" w:hAnsi="Times New Roman" w:eastAsia="宋体" w:cs="Times New Roman"/>
                <w:b w:val="0"/>
                <w:bCs/>
                <w:color w:val="auto"/>
                <w:sz w:val="21"/>
                <w:szCs w:val="21"/>
                <w:highlight w:val="none"/>
                <w:lang w:val="en-US" w:eastAsia="zh-CN"/>
              </w:rPr>
              <w:t>3.64</w:t>
            </w:r>
            <w:r>
              <w:rPr>
                <w:rFonts w:hint="eastAsia" w:ascii="Times New Roman" w:hAnsi="Times New Roman" w:eastAsia="宋体" w:cs="Times New Roman"/>
                <w:b w:val="0"/>
                <w:bCs/>
                <w:color w:val="auto"/>
                <w:sz w:val="21"/>
                <w:szCs w:val="21"/>
                <w:highlight w:val="none"/>
                <w:lang w:eastAsia="zh-CN"/>
              </w:rPr>
              <w:t>kg</w:t>
            </w:r>
            <w:r>
              <w:rPr>
                <w:rFonts w:hint="eastAsia" w:ascii="Times New Roman" w:hAnsi="Times New Roman" w:eastAsia="宋体" w:cs="Times New Roman"/>
                <w:b w:val="0"/>
                <w:bCs/>
                <w:color w:val="auto"/>
                <w:sz w:val="21"/>
                <w:szCs w:val="21"/>
                <w:highlight w:val="none"/>
                <w:lang w:val="en-US" w:eastAsia="zh-CN"/>
              </w:rPr>
              <w:t>/</w:t>
            </w:r>
            <w:r>
              <w:rPr>
                <w:rFonts w:hint="eastAsia" w:ascii="Times New Roman" w:hAnsi="Times New Roman" w:eastAsia="宋体" w:cs="Times New Roman"/>
                <w:b w:val="0"/>
                <w:bCs/>
                <w:color w:val="auto"/>
                <w:sz w:val="21"/>
                <w:szCs w:val="21"/>
                <w:highlight w:val="none"/>
                <w:lang w:eastAsia="zh-CN"/>
              </w:rPr>
              <w:t>h。</w:t>
            </w:r>
          </w:p>
          <w:p w14:paraId="79392BC4">
            <w:pPr>
              <w:pStyle w:val="83"/>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ascii="Times New Roman" w:hAnsi="Times New Roman" w:eastAsia="宋体" w:cs="Times New Roman"/>
                <w:b w:val="0"/>
                <w:bCs/>
                <w:color w:val="auto"/>
                <w:sz w:val="21"/>
                <w:szCs w:val="21"/>
                <w:highlight w:val="none"/>
                <w:lang w:eastAsia="zh-CN"/>
              </w:rPr>
            </w:pPr>
            <w:r>
              <w:rPr>
                <w:rFonts w:hint="eastAsia" w:ascii="Times New Roman" w:hAnsi="Times New Roman" w:eastAsia="宋体" w:cs="Times New Roman"/>
                <w:b w:val="0"/>
                <w:bCs/>
                <w:color w:val="auto"/>
                <w:sz w:val="21"/>
                <w:szCs w:val="21"/>
                <w:highlight w:val="none"/>
                <w:lang w:eastAsia="zh-CN"/>
              </w:rPr>
              <w:t>颗粒物排气筒高度</w:t>
            </w:r>
            <w:r>
              <w:rPr>
                <w:rFonts w:hint="eastAsia" w:eastAsia="宋体" w:cs="Times New Roman"/>
                <w:b w:val="0"/>
                <w:bCs/>
                <w:color w:val="auto"/>
                <w:sz w:val="21"/>
                <w:szCs w:val="21"/>
                <w:highlight w:val="none"/>
                <w:lang w:val="en-US" w:eastAsia="zh-CN"/>
              </w:rPr>
              <w:t>43</w:t>
            </w:r>
            <w:r>
              <w:rPr>
                <w:rFonts w:hint="eastAsia" w:ascii="Times New Roman" w:hAnsi="Times New Roman" w:eastAsia="宋体" w:cs="Times New Roman"/>
                <w:b w:val="0"/>
                <w:bCs/>
                <w:color w:val="auto"/>
                <w:sz w:val="21"/>
                <w:szCs w:val="21"/>
                <w:highlight w:val="none"/>
                <w:lang w:eastAsia="zh-CN"/>
              </w:rPr>
              <w:t>米对应排放速率=</w:t>
            </w:r>
            <w:r>
              <w:rPr>
                <w:rFonts w:hint="eastAsia" w:eastAsia="宋体" w:cs="Times New Roman"/>
                <w:b w:val="0"/>
                <w:bCs/>
                <w:color w:val="auto"/>
                <w:sz w:val="21"/>
                <w:szCs w:val="21"/>
                <w:highlight w:val="none"/>
                <w:lang w:val="en-US" w:eastAsia="zh-CN"/>
              </w:rPr>
              <w:t>32</w:t>
            </w:r>
            <w:r>
              <w:rPr>
                <w:rFonts w:hint="eastAsia" w:ascii="Times New Roman" w:hAnsi="Times New Roman" w:eastAsia="宋体" w:cs="Times New Roman"/>
                <w:b w:val="0"/>
                <w:bCs/>
                <w:color w:val="auto"/>
                <w:sz w:val="21"/>
                <w:szCs w:val="21"/>
                <w:highlight w:val="none"/>
                <w:lang w:eastAsia="zh-CN"/>
              </w:rPr>
              <w:t>+(</w:t>
            </w:r>
            <w:r>
              <w:rPr>
                <w:rFonts w:hint="eastAsia" w:eastAsia="宋体" w:cs="Times New Roman"/>
                <w:b w:val="0"/>
                <w:bCs/>
                <w:color w:val="auto"/>
                <w:sz w:val="21"/>
                <w:szCs w:val="21"/>
                <w:highlight w:val="none"/>
                <w:lang w:val="en-US" w:eastAsia="zh-CN"/>
              </w:rPr>
              <w:t>49-32</w:t>
            </w:r>
            <w:r>
              <w:rPr>
                <w:rFonts w:hint="eastAsia" w:ascii="Times New Roman" w:hAnsi="Times New Roman" w:eastAsia="宋体" w:cs="Times New Roman"/>
                <w:b w:val="0"/>
                <w:bCs/>
                <w:color w:val="auto"/>
                <w:sz w:val="21"/>
                <w:szCs w:val="21"/>
                <w:highlight w:val="none"/>
                <w:lang w:eastAsia="zh-CN"/>
              </w:rPr>
              <w:t>)*</w:t>
            </w:r>
            <w:r>
              <w:rPr>
                <w:rFonts w:hint="eastAsia" w:eastAsia="宋体" w:cs="Times New Roman"/>
                <w:b w:val="0"/>
                <w:bCs/>
                <w:color w:val="auto"/>
                <w:sz w:val="21"/>
                <w:szCs w:val="21"/>
                <w:highlight w:val="none"/>
                <w:lang w:eastAsia="zh-CN"/>
              </w:rPr>
              <w:t>（</w:t>
            </w:r>
            <w:r>
              <w:rPr>
                <w:rFonts w:hint="eastAsia" w:eastAsia="宋体" w:cs="Times New Roman"/>
                <w:b w:val="0"/>
                <w:bCs/>
                <w:color w:val="auto"/>
                <w:sz w:val="21"/>
                <w:szCs w:val="21"/>
                <w:highlight w:val="none"/>
                <w:lang w:val="en-US" w:eastAsia="zh-CN"/>
              </w:rPr>
              <w:t>43-40</w:t>
            </w:r>
            <w:r>
              <w:rPr>
                <w:rFonts w:hint="eastAsia" w:ascii="Times New Roman" w:hAnsi="Times New Roman" w:eastAsia="宋体" w:cs="Times New Roman"/>
                <w:b w:val="0"/>
                <w:bCs/>
                <w:color w:val="auto"/>
                <w:sz w:val="21"/>
                <w:szCs w:val="21"/>
                <w:highlight w:val="none"/>
                <w:lang w:eastAsia="zh-CN"/>
              </w:rPr>
              <w:t>)/(</w:t>
            </w:r>
            <w:r>
              <w:rPr>
                <w:rFonts w:hint="eastAsia" w:eastAsia="宋体" w:cs="Times New Roman"/>
                <w:b w:val="0"/>
                <w:bCs/>
                <w:color w:val="auto"/>
                <w:sz w:val="21"/>
                <w:szCs w:val="21"/>
                <w:highlight w:val="none"/>
                <w:lang w:val="en-US" w:eastAsia="zh-CN"/>
              </w:rPr>
              <w:t>50-40</w:t>
            </w:r>
            <w:r>
              <w:rPr>
                <w:rFonts w:hint="eastAsia" w:ascii="Times New Roman" w:hAnsi="Times New Roman" w:eastAsia="宋体" w:cs="Times New Roman"/>
                <w:b w:val="0"/>
                <w:bCs/>
                <w:color w:val="auto"/>
                <w:sz w:val="21"/>
                <w:szCs w:val="21"/>
                <w:highlight w:val="none"/>
                <w:lang w:eastAsia="zh-CN"/>
              </w:rPr>
              <w:t>)=</w:t>
            </w:r>
            <w:r>
              <w:rPr>
                <w:rFonts w:hint="eastAsia" w:eastAsia="宋体" w:cs="Times New Roman"/>
                <w:b w:val="0"/>
                <w:bCs/>
                <w:color w:val="auto"/>
                <w:sz w:val="21"/>
                <w:szCs w:val="21"/>
                <w:highlight w:val="none"/>
                <w:lang w:val="en-US" w:eastAsia="zh-CN"/>
              </w:rPr>
              <w:t>37.1</w:t>
            </w:r>
            <w:r>
              <w:rPr>
                <w:rFonts w:hint="eastAsia" w:ascii="Times New Roman" w:hAnsi="Times New Roman" w:eastAsia="宋体" w:cs="Times New Roman"/>
                <w:b w:val="0"/>
                <w:bCs/>
                <w:color w:val="auto"/>
                <w:sz w:val="21"/>
                <w:szCs w:val="21"/>
                <w:highlight w:val="none"/>
                <w:lang w:eastAsia="zh-CN"/>
              </w:rPr>
              <w:t>kg</w:t>
            </w:r>
            <w:r>
              <w:rPr>
                <w:rFonts w:hint="eastAsia" w:ascii="Times New Roman" w:hAnsi="Times New Roman" w:eastAsia="宋体" w:cs="Times New Roman"/>
                <w:b w:val="0"/>
                <w:bCs/>
                <w:color w:val="auto"/>
                <w:sz w:val="21"/>
                <w:szCs w:val="21"/>
                <w:highlight w:val="none"/>
                <w:lang w:val="en-US" w:eastAsia="zh-CN"/>
              </w:rPr>
              <w:t>/</w:t>
            </w:r>
            <w:r>
              <w:rPr>
                <w:rFonts w:hint="eastAsia" w:ascii="Times New Roman" w:hAnsi="Times New Roman" w:eastAsia="宋体" w:cs="Times New Roman"/>
                <w:b w:val="0"/>
                <w:bCs/>
                <w:color w:val="auto"/>
                <w:sz w:val="21"/>
                <w:szCs w:val="21"/>
                <w:highlight w:val="none"/>
                <w:lang w:eastAsia="zh-CN"/>
              </w:rPr>
              <w:t>h，排放速率限值的50%为</w:t>
            </w:r>
            <w:r>
              <w:rPr>
                <w:rFonts w:hint="eastAsia" w:eastAsia="宋体" w:cs="Times New Roman"/>
                <w:b w:val="0"/>
                <w:bCs/>
                <w:color w:val="auto"/>
                <w:sz w:val="21"/>
                <w:szCs w:val="21"/>
                <w:highlight w:val="none"/>
                <w:lang w:val="en-US" w:eastAsia="zh-CN"/>
              </w:rPr>
              <w:t>18.5</w:t>
            </w:r>
            <w:r>
              <w:rPr>
                <w:rFonts w:hint="eastAsia" w:ascii="Times New Roman" w:hAnsi="Times New Roman" w:eastAsia="宋体" w:cs="Times New Roman"/>
                <w:b w:val="0"/>
                <w:bCs/>
                <w:color w:val="auto"/>
                <w:sz w:val="21"/>
                <w:szCs w:val="21"/>
                <w:highlight w:val="none"/>
                <w:lang w:val="en-US" w:eastAsia="zh-CN"/>
              </w:rPr>
              <w:t>5</w:t>
            </w:r>
            <w:r>
              <w:rPr>
                <w:rFonts w:hint="eastAsia" w:ascii="Times New Roman" w:hAnsi="Times New Roman" w:eastAsia="宋体" w:cs="Times New Roman"/>
                <w:b w:val="0"/>
                <w:bCs/>
                <w:color w:val="auto"/>
                <w:sz w:val="21"/>
                <w:szCs w:val="21"/>
                <w:highlight w:val="none"/>
                <w:lang w:eastAsia="zh-CN"/>
              </w:rPr>
              <w:t>kg</w:t>
            </w:r>
            <w:r>
              <w:rPr>
                <w:rFonts w:hint="eastAsia" w:ascii="Times New Roman" w:hAnsi="Times New Roman" w:eastAsia="宋体" w:cs="Times New Roman"/>
                <w:b w:val="0"/>
                <w:bCs/>
                <w:color w:val="auto"/>
                <w:sz w:val="21"/>
                <w:szCs w:val="21"/>
                <w:highlight w:val="none"/>
                <w:lang w:val="en-US" w:eastAsia="zh-CN"/>
              </w:rPr>
              <w:t>/</w:t>
            </w:r>
            <w:r>
              <w:rPr>
                <w:rFonts w:hint="eastAsia" w:ascii="Times New Roman" w:hAnsi="Times New Roman" w:eastAsia="宋体" w:cs="Times New Roman"/>
                <w:b w:val="0"/>
                <w:bCs/>
                <w:color w:val="auto"/>
                <w:sz w:val="21"/>
                <w:szCs w:val="21"/>
                <w:highlight w:val="none"/>
                <w:lang w:eastAsia="zh-CN"/>
              </w:rPr>
              <w:t>h。</w:t>
            </w:r>
          </w:p>
          <w:p w14:paraId="6272BCC0">
            <w:pPr>
              <w:pStyle w:val="83"/>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ascii="Times New Roman" w:hAnsi="Times New Roman" w:eastAsia="宋体" w:cs="Times New Roman"/>
                <w:b w:val="0"/>
                <w:bCs/>
                <w:color w:val="auto"/>
                <w:sz w:val="21"/>
                <w:szCs w:val="21"/>
                <w:highlight w:val="none"/>
                <w:lang w:eastAsia="zh-CN"/>
              </w:rPr>
            </w:pPr>
            <w:r>
              <w:rPr>
                <w:rFonts w:hint="eastAsia" w:eastAsia="宋体" w:cs="Times New Roman"/>
                <w:b w:val="0"/>
                <w:bCs/>
                <w:color w:val="auto"/>
                <w:sz w:val="21"/>
                <w:szCs w:val="21"/>
                <w:highlight w:val="none"/>
                <w:lang w:val="en-US" w:eastAsia="zh-CN"/>
              </w:rPr>
              <w:t>甲醇</w:t>
            </w:r>
            <w:r>
              <w:rPr>
                <w:rFonts w:hint="eastAsia" w:ascii="Times New Roman" w:hAnsi="Times New Roman" w:eastAsia="宋体" w:cs="Times New Roman"/>
                <w:b w:val="0"/>
                <w:bCs/>
                <w:color w:val="auto"/>
                <w:sz w:val="21"/>
                <w:szCs w:val="21"/>
                <w:highlight w:val="none"/>
                <w:lang w:eastAsia="zh-CN"/>
              </w:rPr>
              <w:t>排气筒高度</w:t>
            </w:r>
            <w:r>
              <w:rPr>
                <w:rFonts w:hint="eastAsia" w:eastAsia="宋体" w:cs="Times New Roman"/>
                <w:b w:val="0"/>
                <w:bCs/>
                <w:color w:val="auto"/>
                <w:sz w:val="21"/>
                <w:szCs w:val="21"/>
                <w:highlight w:val="none"/>
                <w:lang w:val="en-US" w:eastAsia="zh-CN"/>
              </w:rPr>
              <w:t>43</w:t>
            </w:r>
            <w:r>
              <w:rPr>
                <w:rFonts w:hint="eastAsia" w:ascii="Times New Roman" w:hAnsi="Times New Roman" w:eastAsia="宋体" w:cs="Times New Roman"/>
                <w:b w:val="0"/>
                <w:bCs/>
                <w:color w:val="auto"/>
                <w:sz w:val="21"/>
                <w:szCs w:val="21"/>
                <w:highlight w:val="none"/>
                <w:lang w:eastAsia="zh-CN"/>
              </w:rPr>
              <w:t>米对应排放速率=</w:t>
            </w:r>
            <w:r>
              <w:rPr>
                <w:rFonts w:hint="eastAsia" w:eastAsia="宋体" w:cs="Times New Roman"/>
                <w:b w:val="0"/>
                <w:bCs/>
                <w:color w:val="auto"/>
                <w:sz w:val="21"/>
                <w:szCs w:val="21"/>
                <w:highlight w:val="none"/>
                <w:lang w:val="en-US" w:eastAsia="zh-CN"/>
              </w:rPr>
              <w:t>41</w:t>
            </w:r>
            <w:r>
              <w:rPr>
                <w:rFonts w:hint="eastAsia" w:ascii="Times New Roman" w:hAnsi="Times New Roman" w:eastAsia="宋体" w:cs="Times New Roman"/>
                <w:b w:val="0"/>
                <w:bCs/>
                <w:color w:val="auto"/>
                <w:sz w:val="21"/>
                <w:szCs w:val="21"/>
                <w:highlight w:val="none"/>
                <w:lang w:eastAsia="zh-CN"/>
              </w:rPr>
              <w:t>+(</w:t>
            </w:r>
            <w:r>
              <w:rPr>
                <w:rFonts w:hint="eastAsia" w:eastAsia="宋体" w:cs="Times New Roman"/>
                <w:b w:val="0"/>
                <w:bCs/>
                <w:color w:val="auto"/>
                <w:sz w:val="21"/>
                <w:szCs w:val="21"/>
                <w:highlight w:val="none"/>
                <w:lang w:val="en-US" w:eastAsia="zh-CN"/>
              </w:rPr>
              <w:t>64-41</w:t>
            </w:r>
            <w:r>
              <w:rPr>
                <w:rFonts w:hint="eastAsia" w:ascii="Times New Roman" w:hAnsi="Times New Roman" w:eastAsia="宋体" w:cs="Times New Roman"/>
                <w:b w:val="0"/>
                <w:bCs/>
                <w:color w:val="auto"/>
                <w:sz w:val="21"/>
                <w:szCs w:val="21"/>
                <w:highlight w:val="none"/>
                <w:lang w:eastAsia="zh-CN"/>
              </w:rPr>
              <w:t>)*(</w:t>
            </w:r>
            <w:r>
              <w:rPr>
                <w:rFonts w:hint="eastAsia" w:eastAsia="宋体" w:cs="Times New Roman"/>
                <w:b w:val="0"/>
                <w:bCs/>
                <w:color w:val="auto"/>
                <w:sz w:val="21"/>
                <w:szCs w:val="21"/>
                <w:highlight w:val="none"/>
                <w:lang w:val="en-US" w:eastAsia="zh-CN"/>
              </w:rPr>
              <w:t>43-40</w:t>
            </w:r>
            <w:r>
              <w:rPr>
                <w:rFonts w:hint="eastAsia" w:ascii="Times New Roman" w:hAnsi="Times New Roman" w:eastAsia="宋体" w:cs="Times New Roman"/>
                <w:b w:val="0"/>
                <w:bCs/>
                <w:color w:val="auto"/>
                <w:sz w:val="21"/>
                <w:szCs w:val="21"/>
                <w:highlight w:val="none"/>
                <w:lang w:eastAsia="zh-CN"/>
              </w:rPr>
              <w:t>)/</w:t>
            </w:r>
            <w:r>
              <w:rPr>
                <w:rFonts w:hint="eastAsia" w:eastAsia="宋体" w:cs="Times New Roman"/>
                <w:b w:val="0"/>
                <w:bCs/>
                <w:color w:val="auto"/>
                <w:sz w:val="21"/>
                <w:szCs w:val="21"/>
                <w:highlight w:val="none"/>
                <w:lang w:eastAsia="zh-CN"/>
              </w:rPr>
              <w:t>（</w:t>
            </w:r>
            <w:r>
              <w:rPr>
                <w:rFonts w:hint="eastAsia" w:eastAsia="宋体" w:cs="Times New Roman"/>
                <w:b w:val="0"/>
                <w:bCs/>
                <w:color w:val="auto"/>
                <w:sz w:val="21"/>
                <w:szCs w:val="21"/>
                <w:highlight w:val="none"/>
                <w:lang w:val="en-US" w:eastAsia="zh-CN"/>
              </w:rPr>
              <w:t>50-40</w:t>
            </w:r>
            <w:r>
              <w:rPr>
                <w:rFonts w:hint="eastAsia" w:ascii="Times New Roman" w:hAnsi="Times New Roman" w:eastAsia="宋体" w:cs="Times New Roman"/>
                <w:b w:val="0"/>
                <w:bCs/>
                <w:color w:val="auto"/>
                <w:sz w:val="21"/>
                <w:szCs w:val="21"/>
                <w:highlight w:val="none"/>
                <w:lang w:eastAsia="zh-CN"/>
              </w:rPr>
              <w:t>)</w:t>
            </w:r>
            <w:r>
              <w:rPr>
                <w:rFonts w:hint="eastAsia" w:eastAsia="宋体" w:cs="Times New Roman"/>
                <w:b w:val="0"/>
                <w:bCs/>
                <w:color w:val="auto"/>
                <w:sz w:val="21"/>
                <w:szCs w:val="21"/>
                <w:highlight w:val="none"/>
                <w:lang w:val="en-US" w:eastAsia="zh-CN"/>
              </w:rPr>
              <w:t>=47.9</w:t>
            </w:r>
            <w:r>
              <w:rPr>
                <w:rFonts w:hint="eastAsia" w:ascii="Times New Roman" w:hAnsi="Times New Roman" w:eastAsia="宋体" w:cs="Times New Roman"/>
                <w:b w:val="0"/>
                <w:bCs/>
                <w:color w:val="auto"/>
                <w:sz w:val="21"/>
                <w:szCs w:val="21"/>
                <w:highlight w:val="none"/>
                <w:lang w:eastAsia="zh-CN"/>
              </w:rPr>
              <w:t>kg</w:t>
            </w:r>
            <w:r>
              <w:rPr>
                <w:rFonts w:hint="eastAsia" w:ascii="Times New Roman" w:hAnsi="Times New Roman" w:eastAsia="宋体" w:cs="Times New Roman"/>
                <w:b w:val="0"/>
                <w:bCs/>
                <w:color w:val="auto"/>
                <w:sz w:val="21"/>
                <w:szCs w:val="21"/>
                <w:highlight w:val="none"/>
                <w:lang w:val="en-US" w:eastAsia="zh-CN"/>
              </w:rPr>
              <w:t>/</w:t>
            </w:r>
            <w:r>
              <w:rPr>
                <w:rFonts w:hint="eastAsia" w:ascii="Times New Roman" w:hAnsi="Times New Roman" w:eastAsia="宋体" w:cs="Times New Roman"/>
                <w:b w:val="0"/>
                <w:bCs/>
                <w:color w:val="auto"/>
                <w:sz w:val="21"/>
                <w:szCs w:val="21"/>
                <w:highlight w:val="none"/>
                <w:lang w:eastAsia="zh-CN"/>
              </w:rPr>
              <w:t>h，排放速率限值的50%</w:t>
            </w:r>
            <w:r>
              <w:rPr>
                <w:rFonts w:hint="eastAsia" w:ascii="Times New Roman" w:hAnsi="Times New Roman" w:eastAsia="宋体" w:cs="Times New Roman"/>
                <w:b w:val="0"/>
                <w:bCs/>
                <w:color w:val="auto"/>
                <w:sz w:val="21"/>
                <w:szCs w:val="21"/>
                <w:highlight w:val="none"/>
                <w:lang w:val="en-US" w:eastAsia="zh-CN"/>
              </w:rPr>
              <w:t>约</w:t>
            </w:r>
            <w:r>
              <w:rPr>
                <w:rFonts w:hint="eastAsia" w:ascii="Times New Roman" w:hAnsi="Times New Roman" w:eastAsia="宋体" w:cs="Times New Roman"/>
                <w:b w:val="0"/>
                <w:bCs/>
                <w:color w:val="auto"/>
                <w:sz w:val="21"/>
                <w:szCs w:val="21"/>
                <w:highlight w:val="none"/>
                <w:lang w:eastAsia="zh-CN"/>
              </w:rPr>
              <w:t>为</w:t>
            </w:r>
            <w:r>
              <w:rPr>
                <w:rFonts w:hint="eastAsia" w:eastAsia="宋体" w:cs="Times New Roman"/>
                <w:b w:val="0"/>
                <w:bCs/>
                <w:color w:val="auto"/>
                <w:sz w:val="21"/>
                <w:szCs w:val="21"/>
                <w:highlight w:val="none"/>
                <w:lang w:val="en-US" w:eastAsia="zh-CN"/>
              </w:rPr>
              <w:t>23.95</w:t>
            </w:r>
            <w:r>
              <w:rPr>
                <w:rFonts w:hint="eastAsia" w:ascii="Times New Roman" w:hAnsi="Times New Roman" w:eastAsia="宋体" w:cs="Times New Roman"/>
                <w:b w:val="0"/>
                <w:bCs/>
                <w:color w:val="auto"/>
                <w:sz w:val="21"/>
                <w:szCs w:val="21"/>
                <w:highlight w:val="none"/>
                <w:lang w:eastAsia="zh-CN"/>
              </w:rPr>
              <w:t>kg</w:t>
            </w:r>
            <w:r>
              <w:rPr>
                <w:rFonts w:hint="eastAsia" w:ascii="Times New Roman" w:hAnsi="Times New Roman" w:eastAsia="宋体" w:cs="Times New Roman"/>
                <w:b w:val="0"/>
                <w:bCs/>
                <w:color w:val="auto"/>
                <w:sz w:val="21"/>
                <w:szCs w:val="21"/>
                <w:highlight w:val="none"/>
                <w:lang w:val="en-US" w:eastAsia="zh-CN"/>
              </w:rPr>
              <w:t>/</w:t>
            </w:r>
            <w:r>
              <w:rPr>
                <w:rFonts w:hint="eastAsia" w:ascii="Times New Roman" w:hAnsi="Times New Roman" w:eastAsia="宋体" w:cs="Times New Roman"/>
                <w:b w:val="0"/>
                <w:bCs/>
                <w:color w:val="auto"/>
                <w:sz w:val="21"/>
                <w:szCs w:val="21"/>
                <w:highlight w:val="none"/>
                <w:lang w:eastAsia="zh-CN"/>
              </w:rPr>
              <w:t>h。</w:t>
            </w:r>
          </w:p>
          <w:p w14:paraId="133F18EC">
            <w:pPr>
              <w:shd w:val="clear"/>
              <w:spacing w:line="360" w:lineRule="auto"/>
              <w:ind w:firstLine="482" w:firstLineChars="200"/>
              <w:jc w:val="both"/>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三、噪声排放标准</w:t>
            </w:r>
          </w:p>
          <w:p w14:paraId="0462537F">
            <w:pPr>
              <w:pStyle w:val="14"/>
              <w:shd w:val="clear"/>
              <w:bidi w:val="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项目运营期厂界执行《工业企业厂界环境噪声排放标准》（GB12348-2008）3类标准。</w:t>
            </w:r>
          </w:p>
          <w:p w14:paraId="332A4D09">
            <w:pPr>
              <w:keepNext/>
              <w:keepLines/>
              <w:widowControl w:val="0"/>
              <w:numPr>
                <w:ilvl w:val="0"/>
                <w:numId w:val="0"/>
              </w:numPr>
              <w:suppressLineNumbers w:val="0"/>
              <w:shd w:val="clear"/>
              <w:spacing w:before="0" w:beforeAutospacing="0" w:after="0" w:afterAutospacing="0" w:line="360" w:lineRule="auto"/>
              <w:ind w:left="420" w:leftChars="0" w:right="0" w:rightChars="0" w:hanging="420" w:firstLineChars="0"/>
              <w:jc w:val="center"/>
              <w:outlineLvl w:val="7"/>
              <w:rPr>
                <w:rFonts w:hint="default" w:ascii="Times New Roman" w:hAnsi="Times New Roman" w:eastAsia="宋体" w:cs="Times New Roman"/>
                <w:b/>
                <w:color w:val="auto"/>
                <w:kern w:val="2"/>
                <w:sz w:val="24"/>
                <w:szCs w:val="24"/>
                <w:highlight w:val="none"/>
                <w:lang w:val="zh-CN" w:eastAsia="zh-CN" w:bidi="ar-SA"/>
              </w:rPr>
            </w:pPr>
            <w:r>
              <w:rPr>
                <w:rFonts w:hint="default" w:ascii="Times New Roman" w:hAnsi="Times New Roman" w:eastAsia="宋体" w:cs="Times New Roman"/>
                <w:b/>
                <w:bCs/>
                <w:color w:val="auto"/>
                <w:kern w:val="2"/>
                <w:sz w:val="24"/>
                <w:szCs w:val="24"/>
                <w:highlight w:val="none"/>
                <w:lang w:val="zh-CN" w:eastAsia="zh-CN" w:bidi="ar-SA"/>
              </w:rPr>
              <w:t>表</w:t>
            </w:r>
            <w:r>
              <w:rPr>
                <w:rFonts w:hint="default" w:ascii="Times New Roman" w:hAnsi="Times New Roman" w:eastAsia="宋体" w:cs="Times New Roman"/>
                <w:b/>
                <w:bCs/>
                <w:color w:val="auto"/>
                <w:kern w:val="2"/>
                <w:sz w:val="24"/>
                <w:szCs w:val="24"/>
                <w:highlight w:val="none"/>
                <w:lang w:val="en-US" w:eastAsia="zh-CN" w:bidi="ar-SA"/>
              </w:rPr>
              <w:t>1</w:t>
            </w:r>
            <w:r>
              <w:rPr>
                <w:rFonts w:hint="eastAsia" w:cs="Times New Roman"/>
                <w:b/>
                <w:bCs/>
                <w:color w:val="auto"/>
                <w:kern w:val="2"/>
                <w:sz w:val="24"/>
                <w:szCs w:val="24"/>
                <w:highlight w:val="none"/>
                <w:lang w:val="en-US" w:eastAsia="zh-CN" w:bidi="ar-SA"/>
              </w:rPr>
              <w:t>8</w:t>
            </w:r>
            <w:r>
              <w:rPr>
                <w:rFonts w:hint="default" w:ascii="Times New Roman" w:hAnsi="Times New Roman" w:eastAsia="宋体" w:cs="Times New Roman"/>
                <w:b/>
                <w:bCs/>
                <w:color w:val="auto"/>
                <w:kern w:val="2"/>
                <w:sz w:val="24"/>
                <w:szCs w:val="24"/>
                <w:highlight w:val="none"/>
                <w:lang w:val="zh-CN" w:eastAsia="zh-CN" w:bidi="ar-SA"/>
              </w:rPr>
              <w:t>工业企业厂界环境噪声排放限值单位：dB（A）</w:t>
            </w:r>
          </w:p>
          <w:tbl>
            <w:tblPr>
              <w:tblStyle w:val="33"/>
              <w:tblW w:w="6680"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505"/>
              <w:gridCol w:w="2262"/>
              <w:gridCol w:w="1025"/>
              <w:gridCol w:w="1888"/>
            </w:tblGrid>
            <w:tr w14:paraId="4F11673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7" w:hRule="atLeast"/>
                <w:jc w:val="center"/>
              </w:trPr>
              <w:tc>
                <w:tcPr>
                  <w:tcW w:w="1126" w:type="pct"/>
                  <w:tcBorders>
                    <w:top w:val="single" w:color="000000" w:sz="4" w:space="0"/>
                    <w:left w:val="single" w:color="000000" w:sz="4" w:space="0"/>
                    <w:bottom w:val="single" w:color="000000" w:sz="4" w:space="0"/>
                    <w:right w:val="single" w:color="000000" w:sz="4" w:space="0"/>
                  </w:tcBorders>
                  <w:noWrap w:val="0"/>
                  <w:vAlign w:val="center"/>
                </w:tcPr>
                <w:p w14:paraId="620FEE58">
                  <w:pPr>
                    <w:keepNext w:val="0"/>
                    <w:keepLines w:val="0"/>
                    <w:widowControl/>
                    <w:suppressLineNumbers w:val="0"/>
                    <w:shd w:val="clear"/>
                    <w:spacing w:line="240" w:lineRule="auto"/>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bidi="ar"/>
                    </w:rPr>
                  </w:pPr>
                  <w:r>
                    <w:rPr>
                      <w:rFonts w:hint="default" w:ascii="Times New Roman" w:hAnsi="Times New Roman" w:cs="Times New Roman"/>
                      <w:b/>
                      <w:bCs/>
                      <w:i w:val="0"/>
                      <w:iCs w:val="0"/>
                      <w:color w:val="auto"/>
                      <w:kern w:val="0"/>
                      <w:sz w:val="21"/>
                      <w:szCs w:val="21"/>
                      <w:highlight w:val="none"/>
                      <w:u w:val="none"/>
                      <w:lang w:val="en-US" w:eastAsia="zh-CN" w:bidi="ar"/>
                    </w:rPr>
                    <w:t>厂界方位</w:t>
                  </w:r>
                </w:p>
              </w:tc>
              <w:tc>
                <w:tcPr>
                  <w:tcW w:w="1693" w:type="pct"/>
                  <w:tcBorders>
                    <w:top w:val="single" w:color="000000" w:sz="4" w:space="0"/>
                    <w:left w:val="single" w:color="000000" w:sz="4" w:space="0"/>
                    <w:bottom w:val="single" w:color="000000" w:sz="4" w:space="0"/>
                    <w:right w:val="single" w:color="000000" w:sz="4" w:space="0"/>
                  </w:tcBorders>
                  <w:noWrap w:val="0"/>
                  <w:vAlign w:val="center"/>
                </w:tcPr>
                <w:p w14:paraId="2E7FEA51">
                  <w:pPr>
                    <w:keepNext w:val="0"/>
                    <w:keepLines w:val="0"/>
                    <w:widowControl/>
                    <w:suppressLineNumbers w:val="0"/>
                    <w:shd w:val="clear"/>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类别</w:t>
                  </w:r>
                </w:p>
              </w:tc>
              <w:tc>
                <w:tcPr>
                  <w:tcW w:w="767" w:type="pct"/>
                  <w:tcBorders>
                    <w:top w:val="single" w:color="000000" w:sz="4" w:space="0"/>
                    <w:left w:val="single" w:color="000000" w:sz="4" w:space="0"/>
                    <w:bottom w:val="single" w:color="000000" w:sz="4" w:space="0"/>
                    <w:right w:val="single" w:color="000000" w:sz="4" w:space="0"/>
                  </w:tcBorders>
                  <w:noWrap w:val="0"/>
                  <w:vAlign w:val="center"/>
                </w:tcPr>
                <w:p w14:paraId="55A87DC1">
                  <w:pPr>
                    <w:keepNext w:val="0"/>
                    <w:keepLines w:val="0"/>
                    <w:widowControl/>
                    <w:suppressLineNumbers w:val="0"/>
                    <w:shd w:val="clear"/>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昼间</w:t>
                  </w:r>
                </w:p>
              </w:tc>
              <w:tc>
                <w:tcPr>
                  <w:tcW w:w="1413" w:type="pct"/>
                  <w:tcBorders>
                    <w:top w:val="single" w:color="000000" w:sz="4" w:space="0"/>
                    <w:left w:val="single" w:color="000000" w:sz="4" w:space="0"/>
                    <w:bottom w:val="single" w:color="000000" w:sz="4" w:space="0"/>
                    <w:right w:val="single" w:color="000000" w:sz="4" w:space="0"/>
                  </w:tcBorders>
                  <w:noWrap w:val="0"/>
                  <w:vAlign w:val="center"/>
                </w:tcPr>
                <w:p w14:paraId="417F7792">
                  <w:pPr>
                    <w:keepNext w:val="0"/>
                    <w:keepLines w:val="0"/>
                    <w:widowControl/>
                    <w:suppressLineNumbers w:val="0"/>
                    <w:shd w:val="clear"/>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夜间</w:t>
                  </w:r>
                  <w:r>
                    <w:rPr>
                      <w:rFonts w:hint="eastAsia" w:cs="Times New Roman"/>
                      <w:b/>
                      <w:bCs/>
                      <w:i w:val="0"/>
                      <w:iCs w:val="0"/>
                      <w:color w:val="auto"/>
                      <w:kern w:val="0"/>
                      <w:sz w:val="21"/>
                      <w:szCs w:val="21"/>
                      <w:highlight w:val="none"/>
                      <w:u w:val="none"/>
                      <w:lang w:val="en-US" w:eastAsia="zh-CN" w:bidi="ar"/>
                    </w:rPr>
                    <w:t>（夜间不生产）</w:t>
                  </w:r>
                </w:p>
              </w:tc>
            </w:tr>
            <w:tr w14:paraId="06A985A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6" w:hRule="atLeast"/>
                <w:jc w:val="center"/>
              </w:trPr>
              <w:tc>
                <w:tcPr>
                  <w:tcW w:w="1126" w:type="pct"/>
                  <w:vMerge w:val="restart"/>
                  <w:tcBorders>
                    <w:top w:val="single" w:color="000000" w:sz="4" w:space="0"/>
                    <w:left w:val="single" w:color="000000" w:sz="4" w:space="0"/>
                    <w:right w:val="single" w:color="000000" w:sz="4" w:space="0"/>
                  </w:tcBorders>
                  <w:noWrap/>
                  <w:vAlign w:val="center"/>
                </w:tcPr>
                <w:p w14:paraId="051DC7F3">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西北、东北、东南、西南</w:t>
                  </w:r>
                </w:p>
              </w:tc>
              <w:tc>
                <w:tcPr>
                  <w:tcW w:w="1693" w:type="pct"/>
                  <w:tcBorders>
                    <w:top w:val="single" w:color="000000" w:sz="4" w:space="0"/>
                    <w:left w:val="single" w:color="000000" w:sz="4" w:space="0"/>
                    <w:bottom w:val="single" w:color="000000" w:sz="4" w:space="0"/>
                    <w:right w:val="single" w:color="000000" w:sz="4" w:space="0"/>
                  </w:tcBorders>
                  <w:noWrap/>
                  <w:vAlign w:val="center"/>
                </w:tcPr>
                <w:p w14:paraId="24BE556F">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0类声环境功能区</w:t>
                  </w:r>
                </w:p>
              </w:tc>
              <w:tc>
                <w:tcPr>
                  <w:tcW w:w="767" w:type="pct"/>
                  <w:tcBorders>
                    <w:top w:val="single" w:color="000000" w:sz="4" w:space="0"/>
                    <w:left w:val="single" w:color="000000" w:sz="4" w:space="0"/>
                    <w:bottom w:val="single" w:color="000000" w:sz="4" w:space="0"/>
                    <w:right w:val="single" w:color="000000" w:sz="4" w:space="0"/>
                  </w:tcBorders>
                  <w:noWrap w:val="0"/>
                  <w:vAlign w:val="center"/>
                </w:tcPr>
                <w:p w14:paraId="2FC311FD">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50</w:t>
                  </w:r>
                </w:p>
              </w:tc>
              <w:tc>
                <w:tcPr>
                  <w:tcW w:w="1413" w:type="pct"/>
                  <w:tcBorders>
                    <w:top w:val="single" w:color="000000" w:sz="4" w:space="0"/>
                    <w:left w:val="single" w:color="000000" w:sz="4" w:space="0"/>
                    <w:bottom w:val="single" w:color="000000" w:sz="4" w:space="0"/>
                    <w:right w:val="single" w:color="000000" w:sz="4" w:space="0"/>
                  </w:tcBorders>
                  <w:noWrap w:val="0"/>
                  <w:vAlign w:val="center"/>
                </w:tcPr>
                <w:p w14:paraId="3E2DCB18">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40</w:t>
                  </w:r>
                </w:p>
              </w:tc>
            </w:tr>
            <w:tr w14:paraId="6496F81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1126" w:type="pct"/>
                  <w:vMerge w:val="continue"/>
                  <w:tcBorders>
                    <w:left w:val="single" w:color="000000" w:sz="4" w:space="0"/>
                    <w:right w:val="single" w:color="000000" w:sz="4" w:space="0"/>
                  </w:tcBorders>
                  <w:noWrap/>
                  <w:vAlign w:val="center"/>
                </w:tcPr>
                <w:p w14:paraId="6EF33A9D">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1693" w:type="pct"/>
                  <w:tcBorders>
                    <w:top w:val="single" w:color="000000" w:sz="4" w:space="0"/>
                    <w:left w:val="single" w:color="000000" w:sz="4" w:space="0"/>
                    <w:bottom w:val="single" w:color="000000" w:sz="4" w:space="0"/>
                    <w:right w:val="single" w:color="000000" w:sz="4" w:space="0"/>
                  </w:tcBorders>
                  <w:noWrap/>
                  <w:vAlign w:val="center"/>
                </w:tcPr>
                <w:p w14:paraId="76921ADC">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1类声环境功能区</w:t>
                  </w:r>
                </w:p>
              </w:tc>
              <w:tc>
                <w:tcPr>
                  <w:tcW w:w="767" w:type="pct"/>
                  <w:tcBorders>
                    <w:top w:val="single" w:color="000000" w:sz="4" w:space="0"/>
                    <w:left w:val="single" w:color="000000" w:sz="4" w:space="0"/>
                    <w:bottom w:val="single" w:color="000000" w:sz="4" w:space="0"/>
                    <w:right w:val="single" w:color="000000" w:sz="4" w:space="0"/>
                  </w:tcBorders>
                  <w:noWrap/>
                  <w:vAlign w:val="center"/>
                </w:tcPr>
                <w:p w14:paraId="325F2B55">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55</w:t>
                  </w:r>
                </w:p>
              </w:tc>
              <w:tc>
                <w:tcPr>
                  <w:tcW w:w="1413" w:type="pct"/>
                  <w:tcBorders>
                    <w:top w:val="single" w:color="000000" w:sz="4" w:space="0"/>
                    <w:left w:val="single" w:color="000000" w:sz="4" w:space="0"/>
                    <w:bottom w:val="single" w:color="000000" w:sz="4" w:space="0"/>
                    <w:right w:val="single" w:color="000000" w:sz="4" w:space="0"/>
                  </w:tcBorders>
                  <w:noWrap/>
                  <w:vAlign w:val="center"/>
                </w:tcPr>
                <w:p w14:paraId="1E5070E3">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45</w:t>
                  </w:r>
                </w:p>
              </w:tc>
            </w:tr>
            <w:tr w14:paraId="6077755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jc w:val="center"/>
              </w:trPr>
              <w:tc>
                <w:tcPr>
                  <w:tcW w:w="1126" w:type="pct"/>
                  <w:vMerge w:val="continue"/>
                  <w:tcBorders>
                    <w:left w:val="single" w:color="000000" w:sz="4" w:space="0"/>
                    <w:right w:val="single" w:color="000000" w:sz="4" w:space="0"/>
                  </w:tcBorders>
                  <w:shd w:val="clear" w:color="auto" w:fill="auto"/>
                  <w:noWrap/>
                  <w:vAlign w:val="center"/>
                </w:tcPr>
                <w:p w14:paraId="17324E33">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169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198E33">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2类声环境功能区</w:t>
                  </w:r>
                </w:p>
              </w:tc>
              <w:tc>
                <w:tcPr>
                  <w:tcW w:w="7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032903">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60</w:t>
                  </w:r>
                </w:p>
              </w:tc>
              <w:tc>
                <w:tcPr>
                  <w:tcW w:w="14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F2CA54">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50</w:t>
                  </w:r>
                </w:p>
              </w:tc>
            </w:tr>
            <w:tr w14:paraId="0A4746C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7" w:hRule="atLeast"/>
                <w:jc w:val="center"/>
              </w:trPr>
              <w:tc>
                <w:tcPr>
                  <w:tcW w:w="1126" w:type="pct"/>
                  <w:vMerge w:val="continue"/>
                  <w:tcBorders>
                    <w:left w:val="single" w:color="000000" w:sz="4" w:space="0"/>
                    <w:right w:val="single" w:color="000000" w:sz="4" w:space="0"/>
                  </w:tcBorders>
                  <w:shd w:val="clear" w:color="auto" w:fill="7F7F7F" w:themeFill="text1" w:themeFillTint="7F"/>
                  <w:noWrap/>
                  <w:vAlign w:val="center"/>
                </w:tcPr>
                <w:p w14:paraId="203B3F3D">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1693" w:type="pct"/>
                  <w:tcBorders>
                    <w:top w:val="single" w:color="000000" w:sz="4" w:space="0"/>
                    <w:left w:val="single" w:color="000000" w:sz="4" w:space="0"/>
                    <w:bottom w:val="single" w:color="000000" w:sz="4" w:space="0"/>
                    <w:right w:val="single" w:color="000000" w:sz="4" w:space="0"/>
                  </w:tcBorders>
                  <w:shd w:val="clear" w:color="auto" w:fill="7F7F7F" w:themeFill="text1" w:themeFillTint="7F"/>
                  <w:noWrap/>
                  <w:vAlign w:val="center"/>
                </w:tcPr>
                <w:p w14:paraId="43D0D874">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3类声环境功能区</w:t>
                  </w:r>
                </w:p>
              </w:tc>
              <w:tc>
                <w:tcPr>
                  <w:tcW w:w="767" w:type="pct"/>
                  <w:tcBorders>
                    <w:top w:val="single" w:color="000000" w:sz="4" w:space="0"/>
                    <w:left w:val="single" w:color="000000" w:sz="4" w:space="0"/>
                    <w:bottom w:val="single" w:color="000000" w:sz="4" w:space="0"/>
                    <w:right w:val="single" w:color="000000" w:sz="4" w:space="0"/>
                  </w:tcBorders>
                  <w:shd w:val="clear" w:color="auto" w:fill="7F7F7F" w:themeFill="text1" w:themeFillTint="7F"/>
                  <w:noWrap/>
                  <w:vAlign w:val="center"/>
                </w:tcPr>
                <w:p w14:paraId="1877F54B">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65</w:t>
                  </w:r>
                </w:p>
              </w:tc>
              <w:tc>
                <w:tcPr>
                  <w:tcW w:w="1413" w:type="pct"/>
                  <w:tcBorders>
                    <w:top w:val="single" w:color="000000" w:sz="4" w:space="0"/>
                    <w:left w:val="single" w:color="000000" w:sz="4" w:space="0"/>
                    <w:bottom w:val="single" w:color="000000" w:sz="4" w:space="0"/>
                    <w:right w:val="single" w:color="000000" w:sz="4" w:space="0"/>
                  </w:tcBorders>
                  <w:shd w:val="clear" w:color="auto" w:fill="7F7F7F" w:themeFill="text1" w:themeFillTint="7F"/>
                  <w:noWrap/>
                  <w:vAlign w:val="center"/>
                </w:tcPr>
                <w:p w14:paraId="0653EB69">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55</w:t>
                  </w:r>
                </w:p>
              </w:tc>
            </w:tr>
            <w:tr w14:paraId="1A5EE0D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1126" w:type="pct"/>
                  <w:vMerge w:val="continue"/>
                  <w:tcBorders>
                    <w:left w:val="single" w:color="000000" w:sz="4" w:space="0"/>
                    <w:bottom w:val="single" w:color="000000" w:sz="4" w:space="0"/>
                    <w:right w:val="single" w:color="000000" w:sz="4" w:space="0"/>
                  </w:tcBorders>
                  <w:noWrap/>
                  <w:vAlign w:val="center"/>
                </w:tcPr>
                <w:p w14:paraId="6667911C">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1693" w:type="pct"/>
                  <w:tcBorders>
                    <w:top w:val="single" w:color="000000" w:sz="4" w:space="0"/>
                    <w:left w:val="single" w:color="000000" w:sz="4" w:space="0"/>
                    <w:bottom w:val="single" w:color="000000" w:sz="4" w:space="0"/>
                    <w:right w:val="single" w:color="000000" w:sz="4" w:space="0"/>
                  </w:tcBorders>
                  <w:noWrap/>
                  <w:vAlign w:val="center"/>
                </w:tcPr>
                <w:p w14:paraId="799246C8">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4类声环境功能区</w:t>
                  </w:r>
                </w:p>
              </w:tc>
              <w:tc>
                <w:tcPr>
                  <w:tcW w:w="767" w:type="pct"/>
                  <w:tcBorders>
                    <w:top w:val="single" w:color="000000" w:sz="4" w:space="0"/>
                    <w:left w:val="single" w:color="000000" w:sz="4" w:space="0"/>
                    <w:bottom w:val="single" w:color="000000" w:sz="4" w:space="0"/>
                    <w:right w:val="single" w:color="000000" w:sz="4" w:space="0"/>
                  </w:tcBorders>
                  <w:noWrap/>
                  <w:vAlign w:val="center"/>
                </w:tcPr>
                <w:p w14:paraId="12C028A0">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70</w:t>
                  </w:r>
                </w:p>
              </w:tc>
              <w:tc>
                <w:tcPr>
                  <w:tcW w:w="1413" w:type="pct"/>
                  <w:tcBorders>
                    <w:top w:val="single" w:color="000000" w:sz="4" w:space="0"/>
                    <w:left w:val="single" w:color="000000" w:sz="4" w:space="0"/>
                    <w:bottom w:val="single" w:color="000000" w:sz="4" w:space="0"/>
                    <w:right w:val="single" w:color="000000" w:sz="4" w:space="0"/>
                  </w:tcBorders>
                  <w:noWrap/>
                  <w:vAlign w:val="center"/>
                </w:tcPr>
                <w:p w14:paraId="5E8CF73D">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55</w:t>
                  </w:r>
                </w:p>
              </w:tc>
            </w:tr>
          </w:tbl>
          <w:p w14:paraId="01261F03">
            <w:pPr>
              <w:numPr>
                <w:ilvl w:val="0"/>
                <w:numId w:val="0"/>
              </w:numPr>
              <w:shd w:val="clear"/>
              <w:spacing w:line="360" w:lineRule="auto"/>
              <w:ind w:firstLine="482" w:firstLineChars="200"/>
              <w:jc w:val="both"/>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kern w:val="2"/>
                <w:sz w:val="24"/>
                <w:szCs w:val="24"/>
                <w:highlight w:val="none"/>
                <w:lang w:val="en-US" w:eastAsia="zh-CN" w:bidi="ar-SA"/>
              </w:rPr>
              <w:t>四、</w:t>
            </w:r>
            <w:r>
              <w:rPr>
                <w:rFonts w:hint="default" w:ascii="Times New Roman" w:hAnsi="Times New Roman" w:eastAsia="宋体" w:cs="Times New Roman"/>
                <w:b/>
                <w:bCs/>
                <w:color w:val="auto"/>
                <w:sz w:val="24"/>
                <w:szCs w:val="24"/>
                <w:highlight w:val="none"/>
              </w:rPr>
              <w:t>固体废物</w:t>
            </w:r>
          </w:p>
          <w:p w14:paraId="2F5C89F7">
            <w:pPr>
              <w:numPr>
                <w:ilvl w:val="0"/>
                <w:numId w:val="0"/>
              </w:numPr>
              <w:shd w:val="clear"/>
              <w:spacing w:line="360" w:lineRule="auto"/>
              <w:ind w:firstLine="420" w:firstLineChars="200"/>
              <w:jc w:val="both"/>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b w:val="0"/>
                <w:bCs w:val="0"/>
                <w:snapToGrid w:val="0"/>
                <w:color w:val="auto"/>
                <w:kern w:val="2"/>
                <w:sz w:val="21"/>
                <w:szCs w:val="21"/>
                <w:highlight w:val="none"/>
                <w:lang w:val="en-US" w:eastAsia="zh-CN" w:bidi="ar-SA"/>
              </w:rPr>
              <w:t>危险废物在厂内贮存须符合《危险废物贮存污染控制标准》（GB18597-2023）相关要求。</w:t>
            </w:r>
          </w:p>
        </w:tc>
      </w:tr>
      <w:tr w14:paraId="645FDBD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01" w:type="dxa"/>
            <w:noWrap w:val="0"/>
            <w:vAlign w:val="center"/>
          </w:tcPr>
          <w:p w14:paraId="6527E41B">
            <w:pPr>
              <w:shd w:val="clea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总量控制指标</w:t>
            </w:r>
          </w:p>
        </w:tc>
        <w:tc>
          <w:tcPr>
            <w:tcW w:w="8660" w:type="dxa"/>
            <w:noWrap w:val="0"/>
            <w:vAlign w:val="center"/>
          </w:tcPr>
          <w:p w14:paraId="453B2283">
            <w:pPr>
              <w:keepNext w:val="0"/>
              <w:keepLines w:val="0"/>
              <w:pageBreakBefore w:val="0"/>
              <w:widowControl w:val="0"/>
              <w:numPr>
                <w:ilvl w:val="0"/>
                <w:numId w:val="0"/>
              </w:numPr>
              <w:shd w:val="clear"/>
              <w:kinsoku/>
              <w:wordWrap/>
              <w:overflowPunct/>
              <w:topLinePunct w:val="0"/>
              <w:autoSpaceDE/>
              <w:autoSpaceDN/>
              <w:bidi w:val="0"/>
              <w:adjustRightInd w:val="0"/>
              <w:snapToGrid w:val="0"/>
              <w:spacing w:line="360" w:lineRule="auto"/>
              <w:ind w:firstLine="420" w:firstLineChars="200"/>
              <w:jc w:val="both"/>
              <w:textAlignment w:val="auto"/>
              <w:rPr>
                <w:rFonts w:hint="default" w:ascii="Times New Roman" w:hAnsi="Times New Roman" w:cs="Times New Roman"/>
                <w:color w:val="auto"/>
                <w:highlight w:val="none"/>
              </w:rPr>
            </w:pPr>
            <w:r>
              <w:rPr>
                <w:rFonts w:hint="default" w:ascii="Times New Roman" w:hAnsi="Times New Roman" w:eastAsia="宋体" w:cs="Times New Roman"/>
                <w:b w:val="0"/>
                <w:bCs w:val="0"/>
                <w:color w:val="auto"/>
                <w:sz w:val="21"/>
                <w:szCs w:val="21"/>
                <w:highlight w:val="none"/>
              </w:rPr>
              <w:t>项目</w:t>
            </w:r>
            <w:r>
              <w:rPr>
                <w:rFonts w:hint="eastAsia" w:cs="Times New Roman"/>
                <w:b w:val="0"/>
                <w:bCs w:val="0"/>
                <w:color w:val="auto"/>
                <w:sz w:val="21"/>
                <w:szCs w:val="21"/>
                <w:highlight w:val="none"/>
                <w:lang w:val="en-US" w:eastAsia="zh-CN"/>
              </w:rPr>
              <w:t>挥发性有机物（非甲烷总烃（TVOC）、苯系物（甲苯）、甲醇）</w:t>
            </w:r>
            <w:r>
              <w:rPr>
                <w:rFonts w:hint="default" w:ascii="Times New Roman" w:hAnsi="Times New Roman" w:eastAsia="宋体" w:cs="Times New Roman"/>
                <w:b w:val="0"/>
                <w:bCs w:val="0"/>
                <w:color w:val="auto"/>
                <w:sz w:val="21"/>
                <w:szCs w:val="21"/>
                <w:highlight w:val="none"/>
              </w:rPr>
              <w:t>年排放</w:t>
            </w:r>
            <w:r>
              <w:rPr>
                <w:rFonts w:hint="eastAsia" w:cs="Times New Roman"/>
                <w:b w:val="0"/>
                <w:bCs w:val="0"/>
                <w:color w:val="auto"/>
                <w:sz w:val="21"/>
                <w:szCs w:val="21"/>
                <w:highlight w:val="none"/>
                <w:lang w:val="en-US" w:eastAsia="zh-CN"/>
              </w:rPr>
              <w:t>3.1703kg</w:t>
            </w:r>
            <w:r>
              <w:rPr>
                <w:rFonts w:hint="default" w:ascii="Times New Roman" w:hAnsi="Times New Roman" w:eastAsia="宋体" w:cs="Times New Roman"/>
                <w:color w:val="auto"/>
                <w:spacing w:val="-2"/>
                <w:sz w:val="21"/>
                <w:szCs w:val="21"/>
                <w:highlight w:val="none"/>
              </w:rPr>
              <w:t>/a</w:t>
            </w:r>
            <w:r>
              <w:rPr>
                <w:rFonts w:hint="eastAsia" w:cs="Times New Roman"/>
                <w:color w:val="auto"/>
                <w:spacing w:val="-2"/>
                <w:sz w:val="21"/>
                <w:szCs w:val="21"/>
                <w:highlight w:val="none"/>
                <w:lang w:eastAsia="zh-CN"/>
              </w:rPr>
              <w:t>，</w:t>
            </w:r>
            <w:r>
              <w:rPr>
                <w:rFonts w:hint="default" w:ascii="Times New Roman" w:hAnsi="Times New Roman" w:cs="Times New Roman"/>
                <w:color w:val="auto"/>
                <w:szCs w:val="21"/>
                <w:highlight w:val="none"/>
              </w:rPr>
              <w:t>氮氧化物排放量为</w:t>
            </w:r>
            <w:r>
              <w:rPr>
                <w:rFonts w:hint="default" w:ascii="Times New Roman" w:hAnsi="Times New Roman" w:cs="Times New Roman"/>
                <w:color w:val="auto"/>
                <w:sz w:val="21"/>
                <w:szCs w:val="21"/>
                <w:highlight w:val="none"/>
                <w:lang w:val="en-US" w:eastAsia="zh-CN"/>
              </w:rPr>
              <w:t>0.</w:t>
            </w:r>
            <w:r>
              <w:rPr>
                <w:rFonts w:hint="eastAsia" w:cs="Times New Roman"/>
                <w:color w:val="auto"/>
                <w:sz w:val="21"/>
                <w:szCs w:val="21"/>
                <w:highlight w:val="none"/>
                <w:lang w:val="en-US" w:eastAsia="zh-CN"/>
              </w:rPr>
              <w:t>5917kg</w:t>
            </w:r>
            <w:r>
              <w:rPr>
                <w:rFonts w:hint="default" w:ascii="Times New Roman" w:hAnsi="Times New Roman" w:cs="Times New Roman"/>
                <w:color w:val="auto"/>
                <w:szCs w:val="21"/>
                <w:highlight w:val="none"/>
              </w:rPr>
              <w:t>/a</w:t>
            </w:r>
            <w:r>
              <w:rPr>
                <w:rFonts w:hint="default" w:ascii="Times New Roman" w:hAnsi="Times New Roman" w:eastAsia="宋体" w:cs="Times New Roman"/>
                <w:b w:val="0"/>
                <w:bCs w:val="0"/>
                <w:color w:val="auto"/>
                <w:sz w:val="21"/>
                <w:szCs w:val="21"/>
                <w:highlight w:val="none"/>
                <w:lang w:val="en-US" w:eastAsia="zh-CN"/>
              </w:rPr>
              <w:t>。</w:t>
            </w:r>
          </w:p>
        </w:tc>
      </w:tr>
    </w:tbl>
    <w:p w14:paraId="02656C8A">
      <w:pPr>
        <w:pStyle w:val="3"/>
        <w:shd w:val="clear"/>
        <w:bidi w:val="0"/>
        <w:jc w:val="center"/>
        <w:rPr>
          <w:rFonts w:hint="default" w:ascii="Times New Roman" w:hAnsi="Times New Roman" w:eastAsia="宋体" w:cs="Times New Roman"/>
          <w:color w:val="auto"/>
          <w:sz w:val="32"/>
          <w:szCs w:val="32"/>
          <w:highlight w:val="none"/>
        </w:rPr>
      </w:pPr>
      <w:r>
        <w:rPr>
          <w:rFonts w:hint="default" w:ascii="Times New Roman" w:hAnsi="Times New Roman" w:eastAsia="宋体" w:cs="Times New Roman"/>
          <w:snapToGrid w:val="0"/>
          <w:color w:val="auto"/>
          <w:szCs w:val="36"/>
          <w:highlight w:val="none"/>
        </w:rPr>
        <w:br w:type="page"/>
      </w:r>
      <w:bookmarkStart w:id="8" w:name="_Toc17334"/>
      <w:r>
        <w:rPr>
          <w:rFonts w:hint="default" w:ascii="Times New Roman" w:hAnsi="Times New Roman" w:eastAsia="宋体" w:cs="Times New Roman"/>
          <w:color w:val="auto"/>
          <w:sz w:val="32"/>
          <w:szCs w:val="32"/>
          <w:highlight w:val="none"/>
        </w:rPr>
        <w:t>四、主要环境影响和保护措施</w:t>
      </w:r>
      <w:bookmarkEnd w:id="8"/>
    </w:p>
    <w:tbl>
      <w:tblPr>
        <w:tblStyle w:val="33"/>
        <w:tblW w:w="898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266"/>
        <w:gridCol w:w="8715"/>
      </w:tblGrid>
      <w:tr w14:paraId="0ACE35D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874" w:hRule="exact"/>
          <w:jc w:val="center"/>
        </w:trPr>
        <w:tc>
          <w:tcPr>
            <w:tcW w:w="266" w:type="dxa"/>
            <w:noWrap w:val="0"/>
            <w:tcMar>
              <w:left w:w="28" w:type="dxa"/>
              <w:right w:w="28" w:type="dxa"/>
            </w:tcMar>
            <w:vAlign w:val="center"/>
          </w:tcPr>
          <w:p w14:paraId="69B50419">
            <w:pPr>
              <w:pStyle w:val="30"/>
              <w:shd w:val="clear"/>
              <w:adjustRightInd w:val="0"/>
              <w:snapToGrid w:val="0"/>
              <w:spacing w:before="0" w:beforeAutospacing="0" w:after="0" w:afterAutospacing="0"/>
              <w:jc w:val="center"/>
              <w:rPr>
                <w:rFonts w:hint="default" w:ascii="Times New Roman" w:hAnsi="Times New Roman" w:eastAsia="宋体" w:cs="Times New Roman"/>
                <w:bCs/>
                <w:color w:val="auto"/>
                <w:kern w:val="2"/>
                <w:sz w:val="21"/>
                <w:szCs w:val="21"/>
                <w:highlight w:val="none"/>
              </w:rPr>
            </w:pPr>
            <w:r>
              <w:rPr>
                <w:rFonts w:hint="default" w:ascii="Times New Roman" w:hAnsi="Times New Roman" w:eastAsia="宋体" w:cs="Times New Roman"/>
                <w:color w:val="auto"/>
                <w:kern w:val="2"/>
                <w:sz w:val="21"/>
                <w:szCs w:val="21"/>
                <w:highlight w:val="none"/>
              </w:rPr>
              <w:t>施工期环境保护措施</w:t>
            </w:r>
          </w:p>
        </w:tc>
        <w:tc>
          <w:tcPr>
            <w:tcW w:w="8715" w:type="dxa"/>
            <w:noWrap w:val="0"/>
            <w:vAlign w:val="center"/>
          </w:tcPr>
          <w:p w14:paraId="22AA234E">
            <w:pPr>
              <w:shd w:val="clear"/>
              <w:adjustRightInd w:val="0"/>
              <w:snapToGrid w:val="0"/>
              <w:jc w:val="center"/>
              <w:rPr>
                <w:rFonts w:hint="default" w:ascii="Times New Roman" w:hAnsi="Times New Roman" w:eastAsia="宋体" w:cs="Times New Roman"/>
                <w:bCs/>
                <w:color w:val="auto"/>
                <w:spacing w:val="-10"/>
                <w:szCs w:val="21"/>
                <w:highlight w:val="none"/>
              </w:rPr>
            </w:pPr>
            <w:r>
              <w:rPr>
                <w:rFonts w:hint="default" w:ascii="Times New Roman" w:hAnsi="Times New Roman" w:eastAsia="宋体" w:cs="Times New Roman"/>
                <w:color w:val="auto"/>
                <w:sz w:val="21"/>
                <w:szCs w:val="21"/>
                <w:highlight w:val="none"/>
              </w:rPr>
              <w:t>项目使用已建成的厂房，</w:t>
            </w:r>
            <w:r>
              <w:rPr>
                <w:rFonts w:hint="default" w:ascii="Times New Roman" w:hAnsi="Times New Roman" w:eastAsia="宋体" w:cs="Times New Roman"/>
                <w:bCs/>
                <w:color w:val="auto"/>
                <w:spacing w:val="-10"/>
                <w:sz w:val="21"/>
                <w:szCs w:val="21"/>
                <w:highlight w:val="none"/>
              </w:rPr>
              <w:t>施工期已过，</w:t>
            </w:r>
            <w:r>
              <w:rPr>
                <w:rFonts w:hint="default" w:ascii="Times New Roman" w:hAnsi="Times New Roman" w:eastAsia="宋体" w:cs="Times New Roman"/>
                <w:color w:val="auto"/>
                <w:sz w:val="21"/>
                <w:szCs w:val="21"/>
                <w:highlight w:val="none"/>
              </w:rPr>
              <w:t>不存在施工期的环境影响</w:t>
            </w:r>
            <w:r>
              <w:rPr>
                <w:rFonts w:hint="default" w:ascii="Times New Roman" w:hAnsi="Times New Roman" w:eastAsia="宋体" w:cs="Times New Roman"/>
                <w:color w:val="auto"/>
                <w:sz w:val="21"/>
                <w:szCs w:val="21"/>
                <w:highlight w:val="none"/>
                <w:lang w:eastAsia="zh-CN"/>
              </w:rPr>
              <w:t>。</w:t>
            </w:r>
          </w:p>
        </w:tc>
      </w:tr>
      <w:tr w14:paraId="58A850F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767" w:hRule="atLeast"/>
          <w:jc w:val="center"/>
        </w:trPr>
        <w:tc>
          <w:tcPr>
            <w:tcW w:w="266" w:type="dxa"/>
            <w:noWrap w:val="0"/>
            <w:tcMar>
              <w:left w:w="28" w:type="dxa"/>
              <w:right w:w="28" w:type="dxa"/>
            </w:tcMar>
            <w:vAlign w:val="center"/>
          </w:tcPr>
          <w:p w14:paraId="49C8DDCE">
            <w:pPr>
              <w:shd w:val="clear"/>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运营期环境影响和保护措施</w:t>
            </w:r>
          </w:p>
        </w:tc>
        <w:tc>
          <w:tcPr>
            <w:tcW w:w="8715" w:type="dxa"/>
            <w:noWrap w:val="0"/>
            <w:vAlign w:val="center"/>
          </w:tcPr>
          <w:p w14:paraId="436405CD">
            <w:pPr>
              <w:keepNext w:val="0"/>
              <w:keepLines w:val="0"/>
              <w:pageBreakBefore w:val="0"/>
              <w:widowControl w:val="0"/>
              <w:shd w:val="clear"/>
              <w:kinsoku/>
              <w:wordWrap/>
              <w:overflowPunct/>
              <w:topLinePunct w:val="0"/>
              <w:autoSpaceDE/>
              <w:autoSpaceDN/>
              <w:bidi w:val="0"/>
              <w:adjustRightInd w:val="0"/>
              <w:snapToGrid w:val="0"/>
              <w:spacing w:line="360" w:lineRule="auto"/>
              <w:ind w:firstLine="442" w:firstLineChars="200"/>
              <w:jc w:val="both"/>
              <w:textAlignment w:val="auto"/>
              <w:rPr>
                <w:rFonts w:hint="default" w:ascii="Times New Roman" w:hAnsi="Times New Roman" w:eastAsia="宋体" w:cs="Times New Roman"/>
                <w:b/>
                <w:bCs w:val="0"/>
                <w:color w:val="auto"/>
                <w:spacing w:val="-10"/>
                <w:sz w:val="24"/>
                <w:szCs w:val="24"/>
                <w:highlight w:val="none"/>
                <w:lang w:val="en-US" w:eastAsia="zh-CN"/>
              </w:rPr>
            </w:pPr>
            <w:r>
              <w:rPr>
                <w:rFonts w:hint="default" w:ascii="Times New Roman" w:hAnsi="Times New Roman" w:eastAsia="宋体" w:cs="Times New Roman"/>
                <w:b/>
                <w:bCs w:val="0"/>
                <w:color w:val="auto"/>
                <w:spacing w:val="-10"/>
                <w:sz w:val="24"/>
                <w:szCs w:val="24"/>
                <w:highlight w:val="none"/>
                <w:lang w:val="en-US" w:eastAsia="zh-CN"/>
              </w:rPr>
              <w:t>（1）废气产排情况分析</w:t>
            </w:r>
          </w:p>
          <w:p w14:paraId="7F57385B">
            <w:pPr>
              <w:spacing w:line="360" w:lineRule="auto"/>
              <w:ind w:firstLine="422" w:firstLineChars="200"/>
              <w:rPr>
                <w:rFonts w:hint="default" w:ascii="Times New Roman" w:hAnsi="Times New Roman" w:eastAsia="宋体" w:cs="Times New Roman"/>
                <w:b/>
                <w:bCs/>
                <w:color w:val="auto"/>
                <w:szCs w:val="21"/>
                <w:highlight w:val="none"/>
                <w:lang w:eastAsia="zh-CN"/>
              </w:rPr>
            </w:pPr>
            <w:r>
              <w:rPr>
                <w:rFonts w:hint="eastAsia" w:cs="Times New Roman"/>
                <w:b/>
                <w:bCs/>
                <w:color w:val="auto"/>
                <w:szCs w:val="21"/>
                <w:highlight w:val="none"/>
                <w:lang w:val="en-US" w:eastAsia="zh-CN"/>
              </w:rPr>
              <w:t>①</w:t>
            </w:r>
            <w:r>
              <w:rPr>
                <w:rFonts w:hint="default" w:ascii="Times New Roman" w:hAnsi="Times New Roman" w:cs="Times New Roman"/>
                <w:b/>
                <w:bCs/>
                <w:color w:val="auto"/>
                <w:szCs w:val="21"/>
                <w:highlight w:val="none"/>
              </w:rPr>
              <w:t>酸雾废气</w:t>
            </w:r>
            <w:r>
              <w:rPr>
                <w:rFonts w:hint="default" w:ascii="Times New Roman" w:hAnsi="Times New Roman" w:cs="Times New Roman"/>
                <w:b/>
                <w:bCs/>
                <w:color w:val="auto"/>
                <w:szCs w:val="21"/>
                <w:highlight w:val="none"/>
                <w:lang w:eastAsia="zh-CN"/>
              </w:rPr>
              <w:t>（</w:t>
            </w:r>
            <w:r>
              <w:rPr>
                <w:rFonts w:hint="default" w:ascii="Times New Roman" w:hAnsi="Times New Roman" w:cs="Times New Roman"/>
                <w:color w:val="auto"/>
                <w:szCs w:val="21"/>
                <w:highlight w:val="none"/>
              </w:rPr>
              <w:t>硫酸雾、氯化氢、氮氧化物废气</w:t>
            </w:r>
            <w:r>
              <w:rPr>
                <w:rFonts w:hint="default" w:ascii="Times New Roman" w:hAnsi="Times New Roman" w:cs="Times New Roman"/>
                <w:b/>
                <w:bCs/>
                <w:color w:val="auto"/>
                <w:szCs w:val="21"/>
                <w:highlight w:val="none"/>
                <w:lang w:eastAsia="zh-CN"/>
              </w:rPr>
              <w:t>）</w:t>
            </w:r>
          </w:p>
          <w:p w14:paraId="0416C276">
            <w:pPr>
              <w:spacing w:line="360" w:lineRule="auto"/>
              <w:ind w:firstLine="420" w:firstLineChars="200"/>
              <w:rPr>
                <w:rFonts w:hint="default" w:ascii="Times New Roman" w:hAnsi="Times New Roman" w:eastAsia="宋体" w:cs="Times New Roman"/>
                <w:bCs/>
                <w:color w:val="auto"/>
                <w:szCs w:val="21"/>
                <w:highlight w:val="none"/>
                <w:lang w:val="en-US" w:eastAsia="zh-CN"/>
              </w:rPr>
            </w:pPr>
            <w:r>
              <w:rPr>
                <w:rFonts w:hint="default" w:ascii="Times New Roman" w:hAnsi="Times New Roman" w:cs="Times New Roman"/>
                <w:color w:val="auto"/>
                <w:szCs w:val="21"/>
                <w:highlight w:val="none"/>
                <w:lang w:val="en-US" w:eastAsia="zh-CN"/>
              </w:rPr>
              <w:t>项目</w:t>
            </w:r>
            <w:r>
              <w:rPr>
                <w:rFonts w:hint="eastAsia" w:ascii="Times New Roman" w:hAnsi="Times New Roman" w:cs="Times New Roman"/>
                <w:color w:val="auto"/>
                <w:szCs w:val="21"/>
                <w:highlight w:val="none"/>
                <w:lang w:val="en-US" w:eastAsia="zh-CN"/>
              </w:rPr>
              <w:t>无机</w:t>
            </w:r>
            <w:r>
              <w:rPr>
                <w:rFonts w:hint="default" w:ascii="Times New Roman" w:hAnsi="Times New Roman" w:cs="Times New Roman"/>
                <w:color w:val="auto"/>
                <w:szCs w:val="21"/>
                <w:highlight w:val="none"/>
                <w:lang w:val="en-US" w:eastAsia="zh-CN"/>
              </w:rPr>
              <w:t>区</w:t>
            </w:r>
            <w:r>
              <w:rPr>
                <w:rFonts w:hint="eastAsia" w:cs="Times New Roman"/>
                <w:color w:val="auto"/>
                <w:szCs w:val="21"/>
                <w:highlight w:val="none"/>
                <w:lang w:val="en-US" w:eastAsia="zh-CN"/>
              </w:rPr>
              <w:t>、理化室</w:t>
            </w:r>
            <w:r>
              <w:rPr>
                <w:rFonts w:hint="default" w:ascii="Times New Roman" w:hAnsi="Times New Roman" w:cs="Times New Roman"/>
                <w:color w:val="auto"/>
                <w:szCs w:val="21"/>
                <w:highlight w:val="none"/>
                <w:lang w:val="en-US" w:eastAsia="zh-CN"/>
              </w:rPr>
              <w:t>运行过程中会</w:t>
            </w:r>
            <w:r>
              <w:rPr>
                <w:rFonts w:hint="default" w:ascii="Times New Roman" w:hAnsi="Times New Roman" w:cs="Times New Roman"/>
                <w:color w:val="auto"/>
                <w:szCs w:val="21"/>
                <w:highlight w:val="none"/>
              </w:rPr>
              <w:t>产生</w:t>
            </w:r>
            <w:r>
              <w:rPr>
                <w:rFonts w:hint="eastAsia" w:ascii="Times New Roman" w:hAnsi="Times New Roman" w:cs="Times New Roman"/>
                <w:color w:val="auto"/>
                <w:szCs w:val="21"/>
                <w:highlight w:val="none"/>
                <w:lang w:val="en-US" w:eastAsia="zh-CN"/>
              </w:rPr>
              <w:t>酸雾</w:t>
            </w:r>
            <w:r>
              <w:rPr>
                <w:rFonts w:hint="default" w:ascii="Times New Roman" w:hAnsi="Times New Roman" w:cs="Times New Roman"/>
                <w:color w:val="auto"/>
                <w:szCs w:val="21"/>
                <w:highlight w:val="none"/>
              </w:rPr>
              <w:t>废气（主要污染物为硫酸雾、氯化氢、氮氧化物）</w:t>
            </w:r>
            <w:r>
              <w:rPr>
                <w:rFonts w:hint="eastAsia" w:ascii="Times New Roman" w:hAnsi="Times New Roman" w:cs="Times New Roman"/>
                <w:color w:val="auto"/>
                <w:szCs w:val="21"/>
                <w:highlight w:val="none"/>
                <w:lang w:eastAsia="zh-CN"/>
              </w:rPr>
              <w:t>。</w:t>
            </w:r>
          </w:p>
          <w:p w14:paraId="1EF05A40">
            <w:pPr>
              <w:spacing w:line="360" w:lineRule="auto"/>
              <w:ind w:firstLine="420" w:firstLineChars="200"/>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项目硫酸、盐酸、硝酸挥发损失量参考环境统计手册中的公式：</w:t>
            </w:r>
          </w:p>
          <w:p w14:paraId="3A0DD883">
            <w:pPr>
              <w:spacing w:line="360" w:lineRule="auto"/>
              <w:ind w:firstLine="420" w:firstLineChars="200"/>
              <w:jc w:val="left"/>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Gz=M(0.000352+0.000786×V)×P×F</w:t>
            </w:r>
          </w:p>
          <w:p w14:paraId="01228C21">
            <w:pPr>
              <w:spacing w:line="360" w:lineRule="auto"/>
              <w:ind w:firstLine="420" w:firstLineChars="200"/>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Gz：液体的蒸发量，kg/h；</w:t>
            </w:r>
          </w:p>
          <w:p w14:paraId="3357EB46">
            <w:pPr>
              <w:spacing w:line="360" w:lineRule="auto"/>
              <w:ind w:firstLine="420" w:firstLineChars="200"/>
              <w:jc w:val="left"/>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M：液体的分子量；</w:t>
            </w:r>
          </w:p>
          <w:p w14:paraId="278C34ED">
            <w:pPr>
              <w:spacing w:line="360" w:lineRule="auto"/>
              <w:ind w:firstLine="420" w:firstLineChars="200"/>
              <w:jc w:val="left"/>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V：蒸发液体表面上的空气流速（m/s），以实测数据为准，无条件实测时，可查表4-10，一般可取0.2-0.5；</w:t>
            </w:r>
          </w:p>
          <w:p w14:paraId="2B452AF6">
            <w:pPr>
              <w:spacing w:line="360" w:lineRule="auto"/>
              <w:ind w:firstLine="420" w:firstLineChars="200"/>
              <w:jc w:val="left"/>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P：相应于液体温度下空气的饱和蒸汽压力（mmHg），当液体重量浓度低于百分之十时，可用水溶液的</w:t>
            </w:r>
            <w:r>
              <w:rPr>
                <w:rFonts w:hint="eastAsia" w:ascii="Times New Roman" w:hAnsi="Times New Roman" w:cs="Times New Roman"/>
                <w:bCs/>
                <w:color w:val="auto"/>
                <w:szCs w:val="21"/>
                <w:highlight w:val="none"/>
                <w:lang w:eastAsia="zh-CN"/>
              </w:rPr>
              <w:t>饱和蒸汽</w:t>
            </w:r>
            <w:r>
              <w:rPr>
                <w:rFonts w:hint="default" w:ascii="Times New Roman" w:hAnsi="Times New Roman" w:cs="Times New Roman"/>
                <w:bCs/>
                <w:color w:val="auto"/>
                <w:szCs w:val="21"/>
                <w:highlight w:val="none"/>
              </w:rPr>
              <w:t>压代替，查表4-15，当液体重量浓度高于百分之十时，可查表4-11、4-12、4-13</w:t>
            </w:r>
            <w:r>
              <w:rPr>
                <w:rFonts w:hint="eastAsia" w:ascii="Times New Roman" w:hAnsi="Times New Roman" w:cs="Times New Roman"/>
                <w:bCs/>
                <w:color w:val="auto"/>
                <w:szCs w:val="21"/>
                <w:highlight w:val="none"/>
                <w:lang w:eastAsia="zh-CN"/>
              </w:rPr>
              <w:t>、</w:t>
            </w:r>
            <w:r>
              <w:rPr>
                <w:rFonts w:hint="default" w:ascii="Times New Roman" w:hAnsi="Times New Roman" w:cs="Times New Roman"/>
                <w:bCs/>
                <w:color w:val="auto"/>
                <w:szCs w:val="21"/>
                <w:highlight w:val="none"/>
              </w:rPr>
              <w:t>4-1</w:t>
            </w:r>
            <w:r>
              <w:rPr>
                <w:rFonts w:hint="eastAsia" w:ascii="Times New Roman" w:hAnsi="Times New Roman" w:cs="Times New Roman"/>
                <w:bCs/>
                <w:color w:val="auto"/>
                <w:szCs w:val="21"/>
                <w:highlight w:val="none"/>
                <w:lang w:val="en-US" w:eastAsia="zh-CN"/>
              </w:rPr>
              <w:t>4</w:t>
            </w:r>
            <w:r>
              <w:rPr>
                <w:rFonts w:hint="default" w:ascii="Times New Roman" w:hAnsi="Times New Roman" w:cs="Times New Roman"/>
                <w:bCs/>
                <w:color w:val="auto"/>
                <w:szCs w:val="21"/>
                <w:highlight w:val="none"/>
              </w:rPr>
              <w:t>；</w:t>
            </w:r>
          </w:p>
          <w:p w14:paraId="12478F58">
            <w:pPr>
              <w:spacing w:line="360" w:lineRule="auto"/>
              <w:ind w:firstLine="420" w:firstLineChars="200"/>
              <w:jc w:val="left"/>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F：溶液蒸发面的表面积，</w:t>
            </w:r>
            <w:r>
              <w:rPr>
                <w:rFonts w:hint="default" w:ascii="Times New Roman" w:hAnsi="Times New Roman" w:cs="Times New Roman"/>
                <w:bCs/>
                <w:color w:val="auto"/>
                <w:szCs w:val="21"/>
                <w:highlight w:val="none"/>
                <w:lang w:eastAsia="zh-CN"/>
              </w:rPr>
              <w:t>㎡</w:t>
            </w:r>
            <w:r>
              <w:rPr>
                <w:rFonts w:hint="default" w:ascii="Times New Roman" w:hAnsi="Times New Roman" w:cs="Times New Roman"/>
                <w:bCs/>
                <w:color w:val="auto"/>
                <w:szCs w:val="21"/>
                <w:highlight w:val="none"/>
              </w:rPr>
              <w:t>。</w:t>
            </w:r>
          </w:p>
          <w:p w14:paraId="5A61D6A6">
            <w:pPr>
              <w:adjustRightInd w:val="0"/>
              <w:snapToGrid w:val="0"/>
              <w:spacing w:line="360" w:lineRule="auto"/>
              <w:ind w:firstLine="420" w:firstLineChars="200"/>
              <w:jc w:val="left"/>
              <w:rPr>
                <w:rFonts w:hint="default" w:ascii="Times New Roman" w:hAnsi="Times New Roman" w:cs="Times New Roman"/>
                <w:bCs/>
                <w:color w:val="auto"/>
                <w:szCs w:val="21"/>
                <w:highlight w:val="none"/>
              </w:rPr>
            </w:pPr>
            <w:r>
              <w:rPr>
                <w:rFonts w:hint="default" w:ascii="Times New Roman" w:hAnsi="Times New Roman" w:cs="Times New Roman"/>
                <w:color w:val="auto"/>
                <w:szCs w:val="21"/>
                <w:highlight w:val="none"/>
              </w:rPr>
              <w:t>根据</w:t>
            </w:r>
            <w:r>
              <w:rPr>
                <w:rFonts w:hint="default" w:ascii="Times New Roman" w:hAnsi="Times New Roman" w:cs="Times New Roman"/>
                <w:bCs/>
                <w:color w:val="auto"/>
                <w:szCs w:val="21"/>
                <w:highlight w:val="none"/>
              </w:rPr>
              <w:t>环境统计手册中表4-10、4-11、4-12、4-13得出以下各酸的参数值：</w:t>
            </w:r>
          </w:p>
          <w:p w14:paraId="1030EEEF">
            <w:pPr>
              <w:adjustRightInd w:val="0"/>
              <w:snapToGrid w:val="0"/>
              <w:spacing w:line="360" w:lineRule="auto"/>
              <w:ind w:firstLine="422" w:firstLineChars="200"/>
              <w:jc w:val="center"/>
              <w:rPr>
                <w:rFonts w:hint="default" w:ascii="Times New Roman" w:hAnsi="Times New Roman" w:eastAsia="宋体" w:cs="Times New Roman"/>
                <w:b/>
                <w:bCs w:val="0"/>
                <w:color w:val="auto"/>
                <w:szCs w:val="21"/>
                <w:highlight w:val="none"/>
                <w:lang w:val="en-US" w:eastAsia="zh-CN"/>
              </w:rPr>
            </w:pPr>
            <w:r>
              <w:rPr>
                <w:rFonts w:hint="eastAsia" w:cs="Times New Roman"/>
                <w:b/>
                <w:bCs w:val="0"/>
                <w:color w:val="auto"/>
                <w:szCs w:val="21"/>
                <w:highlight w:val="none"/>
                <w:lang w:val="en-US" w:eastAsia="zh-CN"/>
              </w:rPr>
              <w:t>表19硫酸、盐酸、硝酸参数一览表</w:t>
            </w:r>
          </w:p>
          <w:tbl>
            <w:tblPr>
              <w:tblStyle w:val="33"/>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25"/>
              <w:gridCol w:w="1028"/>
              <w:gridCol w:w="977"/>
              <w:gridCol w:w="1079"/>
              <w:gridCol w:w="1279"/>
              <w:gridCol w:w="1257"/>
              <w:gridCol w:w="1028"/>
              <w:gridCol w:w="911"/>
            </w:tblGrid>
            <w:tr w14:paraId="7E1391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25" w:type="dxa"/>
                  <w:noWrap w:val="0"/>
                  <w:vAlign w:val="center"/>
                </w:tcPr>
                <w:p w14:paraId="26672940">
                  <w:pPr>
                    <w:jc w:val="center"/>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试剂名称</w:t>
                  </w:r>
                </w:p>
              </w:tc>
              <w:tc>
                <w:tcPr>
                  <w:tcW w:w="1028" w:type="dxa"/>
                  <w:noWrap w:val="0"/>
                  <w:vAlign w:val="center"/>
                </w:tcPr>
                <w:p w14:paraId="62E35CB0">
                  <w:pPr>
                    <w:jc w:val="center"/>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M（分子量）</w:t>
                  </w:r>
                </w:p>
              </w:tc>
              <w:tc>
                <w:tcPr>
                  <w:tcW w:w="977" w:type="dxa"/>
                  <w:noWrap w:val="0"/>
                  <w:vAlign w:val="center"/>
                </w:tcPr>
                <w:p w14:paraId="361FA330">
                  <w:pPr>
                    <w:jc w:val="center"/>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浓度/%</w:t>
                  </w:r>
                </w:p>
              </w:tc>
              <w:tc>
                <w:tcPr>
                  <w:tcW w:w="1079" w:type="dxa"/>
                  <w:noWrap w:val="0"/>
                  <w:vAlign w:val="center"/>
                </w:tcPr>
                <w:p w14:paraId="04F27405">
                  <w:pPr>
                    <w:jc w:val="center"/>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液体温度/℃</w:t>
                  </w:r>
                </w:p>
              </w:tc>
              <w:tc>
                <w:tcPr>
                  <w:tcW w:w="1279" w:type="dxa"/>
                  <w:noWrap w:val="0"/>
                  <w:vAlign w:val="center"/>
                </w:tcPr>
                <w:p w14:paraId="652D5FB4">
                  <w:pPr>
                    <w:jc w:val="center"/>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V（溶液表面上空气流速）/</w:t>
                  </w:r>
                  <w:r>
                    <w:rPr>
                      <w:rFonts w:hint="default" w:ascii="Times New Roman" w:hAnsi="Times New Roman" w:cs="Times New Roman"/>
                      <w:bCs/>
                      <w:color w:val="auto"/>
                      <w:szCs w:val="21"/>
                      <w:highlight w:val="none"/>
                    </w:rPr>
                    <w:t>m/s</w:t>
                  </w:r>
                </w:p>
              </w:tc>
              <w:tc>
                <w:tcPr>
                  <w:tcW w:w="1257" w:type="dxa"/>
                  <w:noWrap w:val="0"/>
                  <w:vAlign w:val="center"/>
                </w:tcPr>
                <w:p w14:paraId="3CC9333B">
                  <w:pPr>
                    <w:jc w:val="center"/>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P（饱和蒸汽压力）/</w:t>
                  </w:r>
                  <w:r>
                    <w:rPr>
                      <w:rFonts w:hint="default" w:ascii="Times New Roman" w:hAnsi="Times New Roman" w:cs="Times New Roman"/>
                      <w:bCs/>
                      <w:color w:val="auto"/>
                      <w:szCs w:val="21"/>
                      <w:highlight w:val="none"/>
                    </w:rPr>
                    <w:t>mmHg</w:t>
                  </w:r>
                </w:p>
              </w:tc>
              <w:tc>
                <w:tcPr>
                  <w:tcW w:w="1028" w:type="dxa"/>
                  <w:noWrap w:val="0"/>
                  <w:vAlign w:val="center"/>
                </w:tcPr>
                <w:p w14:paraId="0AA7EFF5">
                  <w:pPr>
                    <w:jc w:val="center"/>
                    <w:rPr>
                      <w:rFonts w:hint="default" w:ascii="Times New Roman" w:hAnsi="Times New Roman" w:eastAsia="宋体" w:cs="Times New Roman"/>
                      <w:b/>
                      <w:color w:val="auto"/>
                      <w:szCs w:val="21"/>
                      <w:highlight w:val="none"/>
                      <w:lang w:eastAsia="zh-CN"/>
                    </w:rPr>
                  </w:pPr>
                  <w:r>
                    <w:rPr>
                      <w:rFonts w:hint="default" w:ascii="Times New Roman" w:hAnsi="Times New Roman" w:cs="Times New Roman"/>
                      <w:b/>
                      <w:color w:val="auto"/>
                      <w:szCs w:val="21"/>
                      <w:highlight w:val="none"/>
                    </w:rPr>
                    <w:t>F（表面积）/</w:t>
                  </w:r>
                  <w:r>
                    <w:rPr>
                      <w:rFonts w:hint="default" w:ascii="Times New Roman" w:hAnsi="Times New Roman" w:cs="Times New Roman"/>
                      <w:bCs/>
                      <w:color w:val="auto"/>
                      <w:szCs w:val="21"/>
                      <w:highlight w:val="none"/>
                      <w:lang w:eastAsia="zh-CN"/>
                    </w:rPr>
                    <w:t>㎡</w:t>
                  </w:r>
                </w:p>
              </w:tc>
              <w:tc>
                <w:tcPr>
                  <w:tcW w:w="911" w:type="dxa"/>
                  <w:noWrap w:val="0"/>
                  <w:vAlign w:val="center"/>
                </w:tcPr>
                <w:p w14:paraId="31FF0693">
                  <w:pPr>
                    <w:jc w:val="center"/>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Gz/</w:t>
                  </w:r>
                  <w:r>
                    <w:rPr>
                      <w:rFonts w:hint="default" w:ascii="Times New Roman" w:hAnsi="Times New Roman" w:cs="Times New Roman"/>
                      <w:bCs/>
                      <w:color w:val="auto"/>
                      <w:szCs w:val="21"/>
                      <w:highlight w:val="none"/>
                    </w:rPr>
                    <w:t>kg/h</w:t>
                  </w:r>
                </w:p>
              </w:tc>
            </w:tr>
            <w:tr w14:paraId="45A996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25" w:type="dxa"/>
                  <w:noWrap w:val="0"/>
                  <w:vAlign w:val="center"/>
                </w:tcPr>
                <w:p w14:paraId="5142D74C">
                  <w:pPr>
                    <w:widowControl/>
                    <w:jc w:val="center"/>
                    <w:textAlignment w:val="center"/>
                    <w:rPr>
                      <w:rFonts w:hint="default" w:ascii="Times New Roman" w:hAnsi="Times New Roman" w:cs="Times New Roman"/>
                      <w:bCs/>
                      <w:color w:val="auto"/>
                      <w:szCs w:val="21"/>
                      <w:highlight w:val="none"/>
                    </w:rPr>
                  </w:pPr>
                  <w:r>
                    <w:rPr>
                      <w:rFonts w:hint="default" w:ascii="Times New Roman" w:hAnsi="Times New Roman" w:cs="Times New Roman"/>
                      <w:color w:val="auto"/>
                      <w:kern w:val="0"/>
                      <w:szCs w:val="21"/>
                      <w:highlight w:val="none"/>
                      <w:lang w:bidi="ar"/>
                    </w:rPr>
                    <w:t>硫酸</w:t>
                  </w:r>
                </w:p>
              </w:tc>
              <w:tc>
                <w:tcPr>
                  <w:tcW w:w="1028" w:type="dxa"/>
                  <w:noWrap w:val="0"/>
                  <w:vAlign w:val="center"/>
                </w:tcPr>
                <w:p w14:paraId="26EEEFB2">
                  <w:pPr>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98</w:t>
                  </w:r>
                </w:p>
              </w:tc>
              <w:tc>
                <w:tcPr>
                  <w:tcW w:w="977" w:type="dxa"/>
                  <w:noWrap w:val="0"/>
                  <w:vAlign w:val="center"/>
                </w:tcPr>
                <w:p w14:paraId="350DA419">
                  <w:pPr>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98</w:t>
                  </w:r>
                </w:p>
              </w:tc>
              <w:tc>
                <w:tcPr>
                  <w:tcW w:w="1079" w:type="dxa"/>
                  <w:noWrap w:val="0"/>
                  <w:vAlign w:val="center"/>
                </w:tcPr>
                <w:p w14:paraId="2DA127DD">
                  <w:pPr>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lang w:val="en-US" w:eastAsia="zh-CN"/>
                    </w:rPr>
                    <w:t>7</w:t>
                  </w:r>
                  <w:r>
                    <w:rPr>
                      <w:rFonts w:hint="default" w:ascii="Times New Roman" w:hAnsi="Times New Roman" w:cs="Times New Roman"/>
                      <w:bCs/>
                      <w:color w:val="auto"/>
                      <w:szCs w:val="21"/>
                      <w:highlight w:val="none"/>
                    </w:rPr>
                    <w:t>0</w:t>
                  </w:r>
                </w:p>
              </w:tc>
              <w:tc>
                <w:tcPr>
                  <w:tcW w:w="1279" w:type="dxa"/>
                  <w:noWrap w:val="0"/>
                  <w:vAlign w:val="center"/>
                </w:tcPr>
                <w:p w14:paraId="359C3E83">
                  <w:pPr>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0.35</w:t>
                  </w:r>
                </w:p>
              </w:tc>
              <w:tc>
                <w:tcPr>
                  <w:tcW w:w="1257" w:type="dxa"/>
                  <w:noWrap w:val="0"/>
                  <w:vAlign w:val="center"/>
                </w:tcPr>
                <w:p w14:paraId="411E5858">
                  <w:pPr>
                    <w:jc w:val="center"/>
                    <w:rPr>
                      <w:rFonts w:hint="default" w:ascii="Times New Roman" w:hAnsi="Times New Roman" w:cs="Times New Roman"/>
                      <w:bCs/>
                      <w:color w:val="auto"/>
                      <w:szCs w:val="21"/>
                      <w:highlight w:val="none"/>
                      <w:lang w:val="en-US"/>
                    </w:rPr>
                  </w:pPr>
                  <w:r>
                    <w:rPr>
                      <w:rFonts w:hint="default" w:ascii="Times New Roman" w:hAnsi="Times New Roman" w:cs="Times New Roman"/>
                      <w:bCs/>
                      <w:color w:val="auto"/>
                      <w:szCs w:val="21"/>
                      <w:highlight w:val="none"/>
                      <w:lang w:val="en-US" w:eastAsia="zh-CN"/>
                    </w:rPr>
                    <w:t>2.68</w:t>
                  </w:r>
                </w:p>
              </w:tc>
              <w:tc>
                <w:tcPr>
                  <w:tcW w:w="1028" w:type="dxa"/>
                  <w:noWrap w:val="0"/>
                  <w:vAlign w:val="center"/>
                </w:tcPr>
                <w:p w14:paraId="7DE29F7D">
                  <w:pPr>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0.00785</w:t>
                  </w:r>
                </w:p>
              </w:tc>
              <w:tc>
                <w:tcPr>
                  <w:tcW w:w="911" w:type="dxa"/>
                  <w:noWrap w:val="0"/>
                  <w:vAlign w:val="center"/>
                </w:tcPr>
                <w:p w14:paraId="5C7BE3C5">
                  <w:pPr>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0.0013</w:t>
                  </w:r>
                </w:p>
              </w:tc>
            </w:tr>
            <w:tr w14:paraId="1CDAF9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25" w:type="dxa"/>
                  <w:noWrap w:val="0"/>
                  <w:vAlign w:val="center"/>
                </w:tcPr>
                <w:p w14:paraId="1058290E">
                  <w:pPr>
                    <w:widowControl/>
                    <w:jc w:val="center"/>
                    <w:textAlignment w:val="center"/>
                    <w:rPr>
                      <w:rFonts w:hint="default" w:ascii="Times New Roman" w:hAnsi="Times New Roman" w:cs="Times New Roman"/>
                      <w:color w:val="auto"/>
                      <w:kern w:val="0"/>
                      <w:szCs w:val="21"/>
                      <w:highlight w:val="none"/>
                      <w:lang w:bidi="ar"/>
                    </w:rPr>
                  </w:pPr>
                  <w:r>
                    <w:rPr>
                      <w:rFonts w:hint="default" w:ascii="Times New Roman" w:hAnsi="Times New Roman" w:cs="Times New Roman"/>
                      <w:color w:val="auto"/>
                      <w:kern w:val="0"/>
                      <w:szCs w:val="21"/>
                      <w:highlight w:val="none"/>
                      <w:lang w:bidi="ar"/>
                    </w:rPr>
                    <w:t>盐酸</w:t>
                  </w:r>
                </w:p>
              </w:tc>
              <w:tc>
                <w:tcPr>
                  <w:tcW w:w="1028" w:type="dxa"/>
                  <w:noWrap w:val="0"/>
                  <w:vAlign w:val="center"/>
                </w:tcPr>
                <w:p w14:paraId="7DD2BA95">
                  <w:pPr>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36.5</w:t>
                  </w:r>
                </w:p>
              </w:tc>
              <w:tc>
                <w:tcPr>
                  <w:tcW w:w="977" w:type="dxa"/>
                  <w:noWrap w:val="0"/>
                  <w:vAlign w:val="center"/>
                </w:tcPr>
                <w:p w14:paraId="15870288">
                  <w:pPr>
                    <w:jc w:val="center"/>
                    <w:rPr>
                      <w:rFonts w:hint="default" w:cs="Times New Roman"/>
                      <w:bCs/>
                      <w:color w:val="auto"/>
                      <w:szCs w:val="21"/>
                      <w:highlight w:val="none"/>
                      <w:lang w:val="en-US" w:eastAsia="zh-CN"/>
                    </w:rPr>
                  </w:pPr>
                  <w:r>
                    <w:rPr>
                      <w:rFonts w:hint="eastAsia" w:cs="Times New Roman"/>
                      <w:bCs/>
                      <w:color w:val="auto"/>
                      <w:szCs w:val="21"/>
                      <w:highlight w:val="none"/>
                      <w:lang w:val="en-US" w:eastAsia="zh-CN"/>
                    </w:rPr>
                    <w:t>38</w:t>
                  </w:r>
                </w:p>
              </w:tc>
              <w:tc>
                <w:tcPr>
                  <w:tcW w:w="1079" w:type="dxa"/>
                  <w:noWrap w:val="0"/>
                  <w:vAlign w:val="center"/>
                </w:tcPr>
                <w:p w14:paraId="3CCAA0A1">
                  <w:pPr>
                    <w:jc w:val="center"/>
                    <w:rPr>
                      <w:rFonts w:hint="default" w:cs="Times New Roman"/>
                      <w:bCs/>
                      <w:color w:val="auto"/>
                      <w:szCs w:val="21"/>
                      <w:highlight w:val="none"/>
                      <w:lang w:val="en-US" w:eastAsia="zh-CN"/>
                    </w:rPr>
                  </w:pPr>
                  <w:r>
                    <w:rPr>
                      <w:rFonts w:hint="eastAsia" w:cs="Times New Roman"/>
                      <w:bCs/>
                      <w:color w:val="auto"/>
                      <w:szCs w:val="21"/>
                      <w:highlight w:val="none"/>
                      <w:lang w:val="en-US" w:eastAsia="zh-CN"/>
                    </w:rPr>
                    <w:t>30</w:t>
                  </w:r>
                </w:p>
              </w:tc>
              <w:tc>
                <w:tcPr>
                  <w:tcW w:w="1279" w:type="dxa"/>
                  <w:noWrap w:val="0"/>
                  <w:vAlign w:val="center"/>
                </w:tcPr>
                <w:p w14:paraId="0909EC26">
                  <w:pPr>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0.3</w:t>
                  </w:r>
                </w:p>
              </w:tc>
              <w:tc>
                <w:tcPr>
                  <w:tcW w:w="1257" w:type="dxa"/>
                  <w:noWrap w:val="0"/>
                  <w:vAlign w:val="center"/>
                </w:tcPr>
                <w:p w14:paraId="065F731C">
                  <w:pPr>
                    <w:jc w:val="center"/>
                    <w:rPr>
                      <w:rFonts w:hint="default" w:ascii="Times New Roman" w:hAnsi="Times New Roman" w:cs="Times New Roman"/>
                      <w:bCs/>
                      <w:color w:val="auto"/>
                      <w:szCs w:val="21"/>
                      <w:highlight w:val="none"/>
                      <w:lang w:val="en-US" w:eastAsia="zh-CN"/>
                    </w:rPr>
                  </w:pPr>
                  <w:r>
                    <w:rPr>
                      <w:rFonts w:hint="eastAsia" w:cs="Times New Roman"/>
                      <w:bCs/>
                      <w:color w:val="auto"/>
                      <w:szCs w:val="21"/>
                      <w:highlight w:val="none"/>
                      <w:lang w:val="en-US" w:eastAsia="zh-CN"/>
                    </w:rPr>
                    <w:t>360</w:t>
                  </w:r>
                </w:p>
              </w:tc>
              <w:tc>
                <w:tcPr>
                  <w:tcW w:w="1028" w:type="dxa"/>
                  <w:noWrap w:val="0"/>
                  <w:vAlign w:val="center"/>
                </w:tcPr>
                <w:p w14:paraId="171AF13E">
                  <w:pPr>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0.00785</w:t>
                  </w:r>
                </w:p>
              </w:tc>
              <w:tc>
                <w:tcPr>
                  <w:tcW w:w="911" w:type="dxa"/>
                  <w:noWrap w:val="0"/>
                  <w:vAlign w:val="center"/>
                </w:tcPr>
                <w:p w14:paraId="74B5EC16">
                  <w:pPr>
                    <w:jc w:val="center"/>
                    <w:rPr>
                      <w:rFonts w:hint="default" w:cs="Times New Roman"/>
                      <w:bCs/>
                      <w:color w:val="auto"/>
                      <w:szCs w:val="21"/>
                      <w:highlight w:val="none"/>
                      <w:lang w:val="en-US" w:eastAsia="zh-CN"/>
                    </w:rPr>
                  </w:pPr>
                  <w:r>
                    <w:rPr>
                      <w:rFonts w:hint="eastAsia" w:cs="Times New Roman"/>
                      <w:bCs/>
                      <w:color w:val="auto"/>
                      <w:szCs w:val="21"/>
                      <w:highlight w:val="none"/>
                      <w:lang w:val="en-US" w:eastAsia="zh-CN"/>
                    </w:rPr>
                    <w:t>0.061</w:t>
                  </w:r>
                </w:p>
              </w:tc>
            </w:tr>
            <w:tr w14:paraId="053B38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25" w:type="dxa"/>
                  <w:noWrap w:val="0"/>
                  <w:vAlign w:val="center"/>
                </w:tcPr>
                <w:p w14:paraId="5C1699BD">
                  <w:pPr>
                    <w:widowControl/>
                    <w:jc w:val="center"/>
                    <w:textAlignment w:val="center"/>
                    <w:rPr>
                      <w:rFonts w:hint="default" w:ascii="Times New Roman" w:hAnsi="Times New Roman" w:cs="Times New Roman"/>
                      <w:color w:val="auto"/>
                      <w:kern w:val="0"/>
                      <w:szCs w:val="21"/>
                      <w:highlight w:val="none"/>
                      <w:lang w:bidi="ar"/>
                    </w:rPr>
                  </w:pPr>
                  <w:r>
                    <w:rPr>
                      <w:rFonts w:hint="default" w:ascii="Times New Roman" w:hAnsi="Times New Roman" w:cs="Times New Roman"/>
                      <w:color w:val="auto"/>
                      <w:kern w:val="0"/>
                      <w:szCs w:val="21"/>
                      <w:highlight w:val="none"/>
                      <w:lang w:bidi="ar"/>
                    </w:rPr>
                    <w:t>硝酸</w:t>
                  </w:r>
                </w:p>
              </w:tc>
              <w:tc>
                <w:tcPr>
                  <w:tcW w:w="1028" w:type="dxa"/>
                  <w:noWrap w:val="0"/>
                  <w:vAlign w:val="center"/>
                </w:tcPr>
                <w:p w14:paraId="168077AD">
                  <w:pPr>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63</w:t>
                  </w:r>
                </w:p>
              </w:tc>
              <w:tc>
                <w:tcPr>
                  <w:tcW w:w="977" w:type="dxa"/>
                  <w:noWrap w:val="0"/>
                  <w:vAlign w:val="center"/>
                </w:tcPr>
                <w:p w14:paraId="7912FB86">
                  <w:pPr>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70</w:t>
                  </w:r>
                </w:p>
              </w:tc>
              <w:tc>
                <w:tcPr>
                  <w:tcW w:w="1079" w:type="dxa"/>
                  <w:noWrap w:val="0"/>
                  <w:vAlign w:val="center"/>
                </w:tcPr>
                <w:p w14:paraId="2F445CC0">
                  <w:pPr>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lang w:val="en-US" w:eastAsia="zh-CN"/>
                    </w:rPr>
                    <w:t>6</w:t>
                  </w:r>
                  <w:r>
                    <w:rPr>
                      <w:rFonts w:hint="default" w:ascii="Times New Roman" w:hAnsi="Times New Roman" w:cs="Times New Roman"/>
                      <w:bCs/>
                      <w:color w:val="auto"/>
                      <w:szCs w:val="21"/>
                      <w:highlight w:val="none"/>
                    </w:rPr>
                    <w:t>0</w:t>
                  </w:r>
                </w:p>
              </w:tc>
              <w:tc>
                <w:tcPr>
                  <w:tcW w:w="1279" w:type="dxa"/>
                  <w:noWrap w:val="0"/>
                  <w:vAlign w:val="center"/>
                </w:tcPr>
                <w:p w14:paraId="62CFF52B">
                  <w:pPr>
                    <w:jc w:val="center"/>
                    <w:rPr>
                      <w:rFonts w:hint="default" w:ascii="Times New Roman" w:hAnsi="Times New Roman" w:eastAsia="宋体" w:cs="Times New Roman"/>
                      <w:bCs/>
                      <w:color w:val="auto"/>
                      <w:szCs w:val="21"/>
                      <w:highlight w:val="none"/>
                      <w:lang w:eastAsia="zh-CN"/>
                    </w:rPr>
                  </w:pPr>
                  <w:r>
                    <w:rPr>
                      <w:rFonts w:hint="default" w:ascii="Times New Roman" w:hAnsi="Times New Roman" w:cs="Times New Roman"/>
                      <w:bCs/>
                      <w:color w:val="auto"/>
                      <w:szCs w:val="21"/>
                      <w:highlight w:val="none"/>
                    </w:rPr>
                    <w:t>0.</w:t>
                  </w:r>
                  <w:r>
                    <w:rPr>
                      <w:rFonts w:hint="default" w:ascii="Times New Roman" w:hAnsi="Times New Roman" w:cs="Times New Roman"/>
                      <w:bCs/>
                      <w:color w:val="auto"/>
                      <w:szCs w:val="21"/>
                      <w:highlight w:val="none"/>
                      <w:lang w:val="en-US" w:eastAsia="zh-CN"/>
                    </w:rPr>
                    <w:t>3</w:t>
                  </w:r>
                </w:p>
              </w:tc>
              <w:tc>
                <w:tcPr>
                  <w:tcW w:w="1257" w:type="dxa"/>
                  <w:noWrap w:val="0"/>
                  <w:vAlign w:val="center"/>
                </w:tcPr>
                <w:p w14:paraId="7E9E2A9F">
                  <w:pPr>
                    <w:jc w:val="center"/>
                    <w:rPr>
                      <w:rFonts w:hint="default" w:ascii="Times New Roman" w:hAnsi="Times New Roman" w:cs="Times New Roman"/>
                      <w:bCs/>
                      <w:color w:val="auto"/>
                      <w:szCs w:val="21"/>
                      <w:highlight w:val="none"/>
                      <w:lang w:val="en-US"/>
                    </w:rPr>
                  </w:pPr>
                  <w:r>
                    <w:rPr>
                      <w:rFonts w:hint="default" w:ascii="Times New Roman" w:hAnsi="Times New Roman" w:cs="Times New Roman"/>
                      <w:bCs/>
                      <w:color w:val="auto"/>
                      <w:szCs w:val="21"/>
                      <w:highlight w:val="none"/>
                      <w:lang w:val="en-US" w:eastAsia="zh-CN"/>
                    </w:rPr>
                    <w:t>16.8</w:t>
                  </w:r>
                </w:p>
              </w:tc>
              <w:tc>
                <w:tcPr>
                  <w:tcW w:w="1028" w:type="dxa"/>
                  <w:noWrap w:val="0"/>
                  <w:vAlign w:val="center"/>
                </w:tcPr>
                <w:p w14:paraId="5A041455">
                  <w:pPr>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0.00785</w:t>
                  </w:r>
                </w:p>
              </w:tc>
              <w:tc>
                <w:tcPr>
                  <w:tcW w:w="911" w:type="dxa"/>
                  <w:noWrap w:val="0"/>
                  <w:vAlign w:val="center"/>
                </w:tcPr>
                <w:p w14:paraId="55DB2C83">
                  <w:pPr>
                    <w:jc w:val="center"/>
                    <w:rPr>
                      <w:rFonts w:hint="default" w:ascii="Times New Roman" w:hAnsi="Times New Roman" w:eastAsia="宋体" w:cs="Times New Roman"/>
                      <w:bCs/>
                      <w:color w:val="auto"/>
                      <w:szCs w:val="21"/>
                      <w:highlight w:val="none"/>
                      <w:lang w:val="en-US" w:eastAsia="zh-CN"/>
                    </w:rPr>
                  </w:pPr>
                  <w:r>
                    <w:rPr>
                      <w:rFonts w:hint="default" w:ascii="Times New Roman" w:hAnsi="Times New Roman" w:cs="Times New Roman"/>
                      <w:bCs/>
                      <w:color w:val="auto"/>
                      <w:szCs w:val="21"/>
                      <w:highlight w:val="none"/>
                    </w:rPr>
                    <w:t>0.0</w:t>
                  </w:r>
                  <w:r>
                    <w:rPr>
                      <w:rFonts w:hint="default" w:ascii="Times New Roman" w:hAnsi="Times New Roman" w:cs="Times New Roman"/>
                      <w:bCs/>
                      <w:color w:val="auto"/>
                      <w:szCs w:val="21"/>
                      <w:highlight w:val="none"/>
                      <w:lang w:val="en-US" w:eastAsia="zh-CN"/>
                    </w:rPr>
                    <w:t>049</w:t>
                  </w:r>
                </w:p>
              </w:tc>
            </w:tr>
          </w:tbl>
          <w:p w14:paraId="28CFAD12">
            <w:pPr>
              <w:spacing w:line="360" w:lineRule="auto"/>
              <w:ind w:firstLine="420" w:firstLineChars="200"/>
              <w:rPr>
                <w:rFonts w:hint="default" w:ascii="Times New Roman" w:hAnsi="Times New Roman" w:cs="Times New Roman"/>
                <w:b w:val="0"/>
                <w:bCs/>
                <w:color w:val="auto"/>
                <w:szCs w:val="21"/>
                <w:highlight w:val="none"/>
              </w:rPr>
            </w:pPr>
            <w:r>
              <w:rPr>
                <w:rFonts w:hint="default" w:ascii="Times New Roman" w:hAnsi="Times New Roman" w:cs="Times New Roman"/>
                <w:b w:val="0"/>
                <w:bCs/>
                <w:color w:val="auto"/>
                <w:szCs w:val="21"/>
                <w:highlight w:val="none"/>
                <w:lang w:val="en-US" w:eastAsia="zh-CN"/>
              </w:rPr>
              <w:t>注：实验过程</w:t>
            </w:r>
            <w:r>
              <w:rPr>
                <w:rFonts w:hint="eastAsia" w:cs="Times New Roman"/>
                <w:b w:val="0"/>
                <w:bCs/>
                <w:color w:val="auto"/>
                <w:szCs w:val="21"/>
                <w:highlight w:val="none"/>
                <w:lang w:val="en-US" w:eastAsia="zh-CN"/>
              </w:rPr>
              <w:t>在</w:t>
            </w:r>
            <w:r>
              <w:rPr>
                <w:rFonts w:hint="default" w:ascii="Times New Roman" w:hAnsi="Times New Roman" w:cs="Times New Roman"/>
                <w:b w:val="0"/>
                <w:bCs/>
                <w:color w:val="auto"/>
                <w:szCs w:val="21"/>
                <w:highlight w:val="none"/>
                <w:lang w:val="en-US" w:eastAsia="zh-CN"/>
              </w:rPr>
              <w:t>常温下进行，但是硫酸、盐酸、硝酸稀释时会放热，液体温度升高，操作过程会控制加入速度及量从而控制温度，硫酸液体温度按照70℃计算，硝酸液体温度按照60℃计算，盐酸液体温度按照</w:t>
            </w:r>
            <w:r>
              <w:rPr>
                <w:rFonts w:hint="eastAsia" w:cs="Times New Roman"/>
                <w:b w:val="0"/>
                <w:bCs/>
                <w:color w:val="auto"/>
                <w:szCs w:val="21"/>
                <w:highlight w:val="none"/>
                <w:lang w:val="en-US" w:eastAsia="zh-CN"/>
              </w:rPr>
              <w:t>3</w:t>
            </w:r>
            <w:r>
              <w:rPr>
                <w:rFonts w:hint="default" w:ascii="Times New Roman" w:hAnsi="Times New Roman" w:cs="Times New Roman"/>
                <w:b w:val="0"/>
                <w:bCs/>
                <w:color w:val="auto"/>
                <w:szCs w:val="21"/>
                <w:highlight w:val="none"/>
                <w:lang w:val="en-US" w:eastAsia="zh-CN"/>
              </w:rPr>
              <w:t>0℃计算。</w:t>
            </w:r>
          </w:p>
          <w:p w14:paraId="3FC8FE1C">
            <w:pPr>
              <w:spacing w:line="360" w:lineRule="auto"/>
              <w:ind w:firstLine="420" w:firstLineChars="200"/>
              <w:rPr>
                <w:rFonts w:hint="default" w:ascii="Times New Roman" w:hAnsi="Times New Roman" w:cs="Times New Roman"/>
                <w:b w:val="0"/>
                <w:bCs/>
                <w:color w:val="auto"/>
                <w:szCs w:val="21"/>
                <w:highlight w:val="none"/>
              </w:rPr>
            </w:pPr>
            <w:r>
              <w:rPr>
                <w:rFonts w:hint="default" w:ascii="Times New Roman" w:hAnsi="Times New Roman" w:cs="Times New Roman"/>
                <w:b w:val="0"/>
                <w:bCs/>
                <w:color w:val="auto"/>
                <w:szCs w:val="21"/>
                <w:highlight w:val="none"/>
              </w:rPr>
              <w:t>注：项目使用硝酸浓度范围为50%-70%，计算废气过程使用浓度最大值进行计算；</w:t>
            </w:r>
          </w:p>
          <w:p w14:paraId="79A9C830">
            <w:pPr>
              <w:spacing w:line="360" w:lineRule="auto"/>
              <w:ind w:firstLine="420" w:firstLineChars="200"/>
              <w:rPr>
                <w:rFonts w:hint="eastAsia" w:ascii="Times New Roman" w:hAnsi="Times New Roman" w:eastAsia="宋体" w:cs="Times New Roman"/>
                <w:b w:val="0"/>
                <w:bCs/>
                <w:color w:val="auto"/>
                <w:szCs w:val="21"/>
                <w:highlight w:val="none"/>
                <w:lang w:eastAsia="zh-CN"/>
              </w:rPr>
            </w:pPr>
            <w:r>
              <w:rPr>
                <w:rFonts w:hint="default" w:ascii="Times New Roman" w:hAnsi="Times New Roman" w:cs="Times New Roman"/>
                <w:b w:val="0"/>
                <w:bCs/>
                <w:color w:val="auto"/>
                <w:szCs w:val="21"/>
                <w:highlight w:val="none"/>
              </w:rPr>
              <w:t>注：实验容器的半径按照5cm计算</w:t>
            </w:r>
            <w:r>
              <w:rPr>
                <w:rFonts w:hint="eastAsia" w:cs="Times New Roman"/>
                <w:b w:val="0"/>
                <w:bCs/>
                <w:color w:val="auto"/>
                <w:szCs w:val="21"/>
                <w:highlight w:val="none"/>
                <w:lang w:eastAsia="zh-CN"/>
              </w:rPr>
              <w:t>，</w:t>
            </w:r>
            <w:r>
              <w:rPr>
                <w:rFonts w:hint="eastAsia" w:cs="Times New Roman"/>
                <w:b w:val="0"/>
                <w:bCs/>
                <w:color w:val="auto"/>
                <w:szCs w:val="21"/>
                <w:highlight w:val="none"/>
                <w:lang w:val="en-US" w:eastAsia="zh-CN"/>
              </w:rPr>
              <w:t>溶液蒸发面表面积为5</w:t>
            </w:r>
            <w:r>
              <w:rPr>
                <w:rFonts w:hint="eastAsia" w:cs="Times New Roman"/>
                <w:b w:val="0"/>
                <w:bCs/>
                <w:color w:val="auto"/>
                <w:szCs w:val="21"/>
                <w:highlight w:val="none"/>
                <w:vertAlign w:val="superscript"/>
                <w:lang w:val="en-US" w:eastAsia="zh-CN"/>
              </w:rPr>
              <w:t>2</w:t>
            </w:r>
            <w:r>
              <w:rPr>
                <w:rFonts w:hint="eastAsia" w:cs="Times New Roman"/>
                <w:b w:val="0"/>
                <w:bCs/>
                <w:color w:val="auto"/>
                <w:szCs w:val="21"/>
                <w:highlight w:val="none"/>
                <w:lang w:val="en-US" w:eastAsia="zh-CN"/>
              </w:rPr>
              <w:t>*3.14=78.5cm</w:t>
            </w:r>
            <w:r>
              <w:rPr>
                <w:rFonts w:hint="eastAsia" w:cs="Times New Roman"/>
                <w:b w:val="0"/>
                <w:bCs/>
                <w:color w:val="auto"/>
                <w:szCs w:val="21"/>
                <w:highlight w:val="none"/>
                <w:vertAlign w:val="superscript"/>
                <w:lang w:val="en-US" w:eastAsia="zh-CN"/>
              </w:rPr>
              <w:t>2</w:t>
            </w:r>
            <w:r>
              <w:rPr>
                <w:rFonts w:hint="eastAsia" w:cs="Times New Roman"/>
                <w:b w:val="0"/>
                <w:bCs/>
                <w:color w:val="auto"/>
                <w:szCs w:val="21"/>
                <w:highlight w:val="none"/>
                <w:lang w:val="en-US" w:eastAsia="zh-CN"/>
              </w:rPr>
              <w:t>=0.00785m</w:t>
            </w:r>
            <w:r>
              <w:rPr>
                <w:rFonts w:hint="eastAsia" w:cs="Times New Roman"/>
                <w:b w:val="0"/>
                <w:bCs/>
                <w:color w:val="auto"/>
                <w:szCs w:val="21"/>
                <w:highlight w:val="none"/>
                <w:vertAlign w:val="superscript"/>
                <w:lang w:val="en-US" w:eastAsia="zh-CN"/>
              </w:rPr>
              <w:t>2</w:t>
            </w:r>
            <w:r>
              <w:rPr>
                <w:rFonts w:hint="default" w:ascii="Times New Roman" w:hAnsi="Times New Roman" w:cs="Times New Roman"/>
                <w:b w:val="0"/>
                <w:bCs/>
                <w:color w:val="auto"/>
                <w:szCs w:val="21"/>
                <w:highlight w:val="none"/>
              </w:rPr>
              <w:t>；硫酸浓度为98%高于环境统计手册中表4-11中所列硫酸浓度，因此取浓度最接近值80%对应参数；</w:t>
            </w:r>
            <w:r>
              <w:rPr>
                <w:rFonts w:hint="eastAsia" w:cs="Times New Roman"/>
                <w:b w:val="0"/>
                <w:bCs/>
                <w:color w:val="auto"/>
                <w:szCs w:val="21"/>
                <w:highlight w:val="none"/>
                <w:lang w:val="en-US" w:eastAsia="zh-CN"/>
              </w:rPr>
              <w:t>硝</w:t>
            </w:r>
            <w:r>
              <w:rPr>
                <w:rFonts w:hint="default" w:ascii="Times New Roman" w:hAnsi="Times New Roman" w:cs="Times New Roman"/>
                <w:b w:val="0"/>
                <w:bCs/>
                <w:color w:val="auto"/>
                <w:szCs w:val="21"/>
                <w:highlight w:val="none"/>
              </w:rPr>
              <w:t>酸浓度为</w:t>
            </w:r>
            <w:r>
              <w:rPr>
                <w:rFonts w:hint="eastAsia" w:cs="Times New Roman"/>
                <w:b w:val="0"/>
                <w:bCs/>
                <w:color w:val="auto"/>
                <w:szCs w:val="21"/>
                <w:highlight w:val="none"/>
                <w:lang w:val="en-US" w:eastAsia="zh-CN"/>
              </w:rPr>
              <w:t>7</w:t>
            </w:r>
            <w:r>
              <w:rPr>
                <w:rFonts w:hint="default" w:ascii="Times New Roman" w:hAnsi="Times New Roman" w:cs="Times New Roman"/>
                <w:b w:val="0"/>
                <w:bCs/>
                <w:color w:val="auto"/>
                <w:szCs w:val="21"/>
                <w:highlight w:val="none"/>
              </w:rPr>
              <w:t>0%取环境统计手册中表4-1</w:t>
            </w:r>
            <w:r>
              <w:rPr>
                <w:rFonts w:hint="eastAsia" w:cs="Times New Roman"/>
                <w:b w:val="0"/>
                <w:bCs/>
                <w:color w:val="auto"/>
                <w:szCs w:val="21"/>
                <w:highlight w:val="none"/>
                <w:lang w:val="en-US" w:eastAsia="zh-CN"/>
              </w:rPr>
              <w:t>2</w:t>
            </w:r>
            <w:r>
              <w:rPr>
                <w:rFonts w:hint="default" w:ascii="Times New Roman" w:hAnsi="Times New Roman" w:cs="Times New Roman"/>
                <w:b w:val="0"/>
                <w:bCs/>
                <w:color w:val="auto"/>
                <w:szCs w:val="21"/>
                <w:highlight w:val="none"/>
              </w:rPr>
              <w:t>中所列</w:t>
            </w:r>
            <w:r>
              <w:rPr>
                <w:rFonts w:hint="eastAsia" w:cs="Times New Roman"/>
                <w:b w:val="0"/>
                <w:bCs/>
                <w:color w:val="auto"/>
                <w:szCs w:val="21"/>
                <w:highlight w:val="none"/>
                <w:lang w:val="en-US" w:eastAsia="zh-CN"/>
              </w:rPr>
              <w:t>硝酸</w:t>
            </w:r>
            <w:r>
              <w:rPr>
                <w:rFonts w:hint="default" w:ascii="Times New Roman" w:hAnsi="Times New Roman" w:cs="Times New Roman"/>
                <w:b w:val="0"/>
                <w:bCs/>
                <w:color w:val="auto"/>
                <w:szCs w:val="21"/>
                <w:highlight w:val="none"/>
              </w:rPr>
              <w:t>浓度</w:t>
            </w:r>
            <w:r>
              <w:rPr>
                <w:rFonts w:hint="eastAsia" w:cs="Times New Roman"/>
                <w:b w:val="0"/>
                <w:bCs/>
                <w:color w:val="auto"/>
                <w:szCs w:val="21"/>
                <w:highlight w:val="none"/>
                <w:lang w:val="en-US" w:eastAsia="zh-CN"/>
              </w:rPr>
              <w:t>70</w:t>
            </w:r>
            <w:r>
              <w:rPr>
                <w:rFonts w:hint="default" w:ascii="Times New Roman" w:hAnsi="Times New Roman" w:cs="Times New Roman"/>
                <w:b w:val="0"/>
                <w:bCs/>
                <w:color w:val="auto"/>
                <w:szCs w:val="21"/>
                <w:highlight w:val="none"/>
              </w:rPr>
              <w:t>%对应参数</w:t>
            </w:r>
            <w:r>
              <w:rPr>
                <w:rFonts w:hint="eastAsia" w:cs="Times New Roman"/>
                <w:b w:val="0"/>
                <w:bCs/>
                <w:color w:val="auto"/>
                <w:szCs w:val="21"/>
                <w:highlight w:val="none"/>
                <w:lang w:eastAsia="zh-CN"/>
              </w:rPr>
              <w:t>；</w:t>
            </w:r>
            <w:r>
              <w:rPr>
                <w:rFonts w:hint="default" w:ascii="Times New Roman" w:hAnsi="Times New Roman" w:cs="Times New Roman"/>
                <w:b w:val="0"/>
                <w:bCs/>
                <w:color w:val="auto"/>
                <w:szCs w:val="21"/>
                <w:highlight w:val="none"/>
              </w:rPr>
              <w:t>盐酸浓度为</w:t>
            </w:r>
            <w:r>
              <w:rPr>
                <w:rFonts w:hint="eastAsia" w:cs="Times New Roman"/>
                <w:b w:val="0"/>
                <w:bCs/>
                <w:color w:val="auto"/>
                <w:szCs w:val="21"/>
                <w:highlight w:val="none"/>
                <w:lang w:val="en-US" w:eastAsia="zh-CN"/>
              </w:rPr>
              <w:t>38</w:t>
            </w:r>
            <w:r>
              <w:rPr>
                <w:rFonts w:hint="default" w:ascii="Times New Roman" w:hAnsi="Times New Roman" w:cs="Times New Roman"/>
                <w:b w:val="0"/>
                <w:bCs/>
                <w:color w:val="auto"/>
                <w:szCs w:val="21"/>
                <w:highlight w:val="none"/>
              </w:rPr>
              <w:t>%取环境统计手册中表4-1</w:t>
            </w:r>
            <w:r>
              <w:rPr>
                <w:rFonts w:hint="default" w:ascii="Times New Roman" w:hAnsi="Times New Roman" w:cs="Times New Roman"/>
                <w:b w:val="0"/>
                <w:bCs/>
                <w:color w:val="auto"/>
                <w:szCs w:val="21"/>
                <w:highlight w:val="none"/>
                <w:lang w:val="en-US" w:eastAsia="zh-CN"/>
              </w:rPr>
              <w:t>3</w:t>
            </w:r>
            <w:r>
              <w:rPr>
                <w:rFonts w:hint="default" w:ascii="Times New Roman" w:hAnsi="Times New Roman" w:cs="Times New Roman"/>
                <w:b w:val="0"/>
                <w:bCs/>
                <w:color w:val="auto"/>
                <w:szCs w:val="21"/>
                <w:highlight w:val="none"/>
              </w:rPr>
              <w:t>中所列</w:t>
            </w:r>
            <w:r>
              <w:rPr>
                <w:rFonts w:hint="default" w:ascii="Times New Roman" w:hAnsi="Times New Roman" w:cs="Times New Roman"/>
                <w:b w:val="0"/>
                <w:bCs/>
                <w:color w:val="auto"/>
                <w:szCs w:val="21"/>
                <w:highlight w:val="none"/>
                <w:lang w:val="en-US" w:eastAsia="zh-CN"/>
              </w:rPr>
              <w:t>盐</w:t>
            </w:r>
            <w:r>
              <w:rPr>
                <w:rFonts w:hint="default" w:ascii="Times New Roman" w:hAnsi="Times New Roman" w:cs="Times New Roman"/>
                <w:b w:val="0"/>
                <w:bCs/>
                <w:color w:val="auto"/>
                <w:szCs w:val="21"/>
                <w:highlight w:val="none"/>
              </w:rPr>
              <w:t>酸浓度</w:t>
            </w:r>
            <w:r>
              <w:rPr>
                <w:rFonts w:hint="eastAsia" w:cs="Times New Roman"/>
                <w:b w:val="0"/>
                <w:bCs/>
                <w:color w:val="auto"/>
                <w:szCs w:val="21"/>
                <w:highlight w:val="none"/>
                <w:lang w:val="en-US" w:eastAsia="zh-CN"/>
              </w:rPr>
              <w:t>38</w:t>
            </w:r>
            <w:r>
              <w:rPr>
                <w:rFonts w:hint="default" w:ascii="Times New Roman" w:hAnsi="Times New Roman" w:cs="Times New Roman"/>
                <w:b w:val="0"/>
                <w:bCs/>
                <w:color w:val="auto"/>
                <w:szCs w:val="21"/>
                <w:highlight w:val="none"/>
              </w:rPr>
              <w:t>%对应参数</w:t>
            </w:r>
            <w:r>
              <w:rPr>
                <w:rFonts w:hint="eastAsia" w:ascii="Times New Roman" w:hAnsi="Times New Roman" w:cs="Times New Roman"/>
                <w:b w:val="0"/>
                <w:bCs/>
                <w:color w:val="auto"/>
                <w:szCs w:val="21"/>
                <w:highlight w:val="none"/>
                <w:lang w:eastAsia="zh-CN"/>
              </w:rPr>
              <w:t>。</w:t>
            </w:r>
          </w:p>
          <w:p w14:paraId="534CCA70">
            <w:pPr>
              <w:adjustRightInd w:val="0"/>
              <w:snapToGrid w:val="0"/>
              <w:spacing w:line="360" w:lineRule="auto"/>
              <w:ind w:firstLine="420" w:firstLineChars="200"/>
              <w:jc w:val="left"/>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则本环评</w:t>
            </w:r>
            <w:r>
              <w:rPr>
                <w:rFonts w:hint="default" w:ascii="Times New Roman" w:hAnsi="Times New Roman" w:cs="Times New Roman"/>
                <w:color w:val="auto"/>
                <w:szCs w:val="21"/>
                <w:highlight w:val="none"/>
              </w:rPr>
              <w:t>硫酸雾、氯化氢、氮氧化物</w:t>
            </w:r>
            <w:r>
              <w:rPr>
                <w:rFonts w:hint="default" w:ascii="Times New Roman" w:hAnsi="Times New Roman" w:eastAsia="宋体" w:cs="Times New Roman"/>
                <w:color w:val="auto"/>
                <w:szCs w:val="21"/>
                <w:highlight w:val="none"/>
              </w:rPr>
              <w:t>产生</w:t>
            </w:r>
            <w:r>
              <w:rPr>
                <w:rFonts w:hint="default" w:ascii="Times New Roman" w:hAnsi="Times New Roman" w:cs="Times New Roman"/>
                <w:color w:val="auto"/>
                <w:szCs w:val="21"/>
                <w:highlight w:val="none"/>
              </w:rPr>
              <w:t>量如下表所示：</w:t>
            </w:r>
          </w:p>
          <w:p w14:paraId="26E803CB">
            <w:pPr>
              <w:widowControl/>
              <w:numPr>
                <w:ilvl w:val="0"/>
                <w:numId w:val="0"/>
              </w:numPr>
              <w:spacing w:line="360" w:lineRule="auto"/>
              <w:ind w:leftChars="0"/>
              <w:contextualSpacing/>
              <w:jc w:val="center"/>
              <w:rPr>
                <w:rFonts w:hint="default" w:ascii="Times New Roman" w:hAnsi="Times New Roman" w:eastAsia="宋体" w:cs="Times New Roman"/>
                <w:b/>
                <w:bCs/>
                <w:color w:val="auto"/>
                <w:kern w:val="2"/>
                <w:sz w:val="21"/>
                <w:szCs w:val="21"/>
                <w:highlight w:val="none"/>
                <w:lang w:val="zh-CN" w:eastAsia="zh-CN" w:bidi="ar-SA"/>
              </w:rPr>
            </w:pPr>
            <w:r>
              <w:rPr>
                <w:rFonts w:hint="eastAsia" w:cs="Times New Roman"/>
                <w:b/>
                <w:bCs/>
                <w:color w:val="auto"/>
                <w:kern w:val="2"/>
                <w:sz w:val="21"/>
                <w:szCs w:val="21"/>
                <w:highlight w:val="none"/>
                <w:lang w:val="en-US" w:eastAsia="zh-CN" w:bidi="ar-SA"/>
              </w:rPr>
              <w:t>表20</w:t>
            </w:r>
            <w:r>
              <w:rPr>
                <w:rFonts w:hint="default" w:ascii="Times New Roman" w:hAnsi="Times New Roman" w:eastAsia="宋体" w:cs="Times New Roman"/>
                <w:b/>
                <w:bCs/>
                <w:color w:val="auto"/>
                <w:kern w:val="2"/>
                <w:sz w:val="21"/>
                <w:szCs w:val="21"/>
                <w:highlight w:val="none"/>
                <w:lang w:val="zh-CN" w:eastAsia="zh-CN" w:bidi="ar-SA"/>
              </w:rPr>
              <w:t>硫酸雾、氯化氢、</w:t>
            </w:r>
            <w:r>
              <w:rPr>
                <w:rFonts w:hint="default" w:ascii="Times New Roman" w:hAnsi="Times New Roman" w:eastAsia="宋体" w:cs="Times New Roman"/>
                <w:b/>
                <w:bCs/>
                <w:color w:val="auto"/>
                <w:kern w:val="2"/>
                <w:sz w:val="21"/>
                <w:szCs w:val="21"/>
                <w:highlight w:val="none"/>
                <w:lang w:val="en-US" w:eastAsia="zh-CN" w:bidi="ar-SA"/>
              </w:rPr>
              <w:t>氮氧化物</w:t>
            </w:r>
            <w:r>
              <w:rPr>
                <w:rFonts w:hint="default" w:ascii="Times New Roman" w:hAnsi="Times New Roman" w:eastAsia="宋体" w:cs="Times New Roman"/>
                <w:b/>
                <w:bCs/>
                <w:color w:val="auto"/>
                <w:kern w:val="2"/>
                <w:sz w:val="21"/>
                <w:szCs w:val="21"/>
                <w:highlight w:val="none"/>
                <w:lang w:val="zh-CN" w:eastAsia="zh-CN" w:bidi="ar-SA"/>
              </w:rPr>
              <w:t>废气产生情况一览表</w:t>
            </w:r>
          </w:p>
          <w:tbl>
            <w:tblPr>
              <w:tblStyle w:val="33"/>
              <w:tblW w:w="80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36"/>
              <w:gridCol w:w="1336"/>
              <w:gridCol w:w="1336"/>
              <w:gridCol w:w="1337"/>
              <w:gridCol w:w="1337"/>
              <w:gridCol w:w="1337"/>
            </w:tblGrid>
            <w:tr w14:paraId="4A63D3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6" w:type="dxa"/>
                  <w:noWrap w:val="0"/>
                  <w:vAlign w:val="center"/>
                </w:tcPr>
                <w:p w14:paraId="5486EA56">
                  <w:pPr>
                    <w:jc w:val="center"/>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试剂名称</w:t>
                  </w:r>
                </w:p>
              </w:tc>
              <w:tc>
                <w:tcPr>
                  <w:tcW w:w="1336" w:type="dxa"/>
                  <w:noWrap w:val="0"/>
                  <w:vAlign w:val="center"/>
                </w:tcPr>
                <w:p w14:paraId="56DBAD82">
                  <w:pPr>
                    <w:jc w:val="center"/>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年用量</w:t>
                  </w:r>
                </w:p>
                <w:p w14:paraId="7C4118CC">
                  <w:pPr>
                    <w:jc w:val="center"/>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（kg）</w:t>
                  </w:r>
                </w:p>
              </w:tc>
              <w:tc>
                <w:tcPr>
                  <w:tcW w:w="1336" w:type="dxa"/>
                  <w:noWrap w:val="0"/>
                  <w:vAlign w:val="center"/>
                </w:tcPr>
                <w:p w14:paraId="7031E389">
                  <w:pPr>
                    <w:jc w:val="center"/>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Gz（kg/h）</w:t>
                  </w:r>
                </w:p>
              </w:tc>
              <w:tc>
                <w:tcPr>
                  <w:tcW w:w="1337" w:type="dxa"/>
                  <w:noWrap w:val="0"/>
                  <w:vAlign w:val="center"/>
                </w:tcPr>
                <w:p w14:paraId="0B4D96D3">
                  <w:pPr>
                    <w:jc w:val="center"/>
                    <w:rPr>
                      <w:rFonts w:hint="eastAsia" w:ascii="Times New Roman" w:hAnsi="Times New Roman" w:eastAsia="宋体" w:cs="Times New Roman"/>
                      <w:b/>
                      <w:color w:val="auto"/>
                      <w:szCs w:val="21"/>
                      <w:highlight w:val="none"/>
                      <w:lang w:val="en-US" w:eastAsia="zh-CN"/>
                    </w:rPr>
                  </w:pPr>
                  <w:r>
                    <w:rPr>
                      <w:rFonts w:hint="eastAsia" w:cs="Times New Roman"/>
                      <w:b/>
                      <w:color w:val="auto"/>
                      <w:szCs w:val="21"/>
                      <w:highlight w:val="none"/>
                      <w:lang w:val="en-US" w:eastAsia="zh-CN"/>
                    </w:rPr>
                    <w:t>时间（h/a）</w:t>
                  </w:r>
                </w:p>
              </w:tc>
              <w:tc>
                <w:tcPr>
                  <w:tcW w:w="1337" w:type="dxa"/>
                  <w:noWrap w:val="0"/>
                  <w:vAlign w:val="center"/>
                </w:tcPr>
                <w:p w14:paraId="573802A7">
                  <w:pPr>
                    <w:jc w:val="center"/>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产污因子</w:t>
                  </w:r>
                </w:p>
              </w:tc>
              <w:tc>
                <w:tcPr>
                  <w:tcW w:w="1337" w:type="dxa"/>
                  <w:noWrap w:val="0"/>
                  <w:vAlign w:val="center"/>
                </w:tcPr>
                <w:p w14:paraId="28567810">
                  <w:pPr>
                    <w:jc w:val="center"/>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产生量</w:t>
                  </w:r>
                </w:p>
                <w:p w14:paraId="1ACAD2A9">
                  <w:pPr>
                    <w:jc w:val="center"/>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（kg/a）</w:t>
                  </w:r>
                </w:p>
              </w:tc>
            </w:tr>
            <w:tr w14:paraId="0941F4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6" w:type="dxa"/>
                  <w:noWrap w:val="0"/>
                  <w:vAlign w:val="center"/>
                </w:tcPr>
                <w:p w14:paraId="4F07A633">
                  <w:pPr>
                    <w:widowControl/>
                    <w:jc w:val="center"/>
                    <w:textAlignment w:val="center"/>
                    <w:rPr>
                      <w:rFonts w:hint="default" w:ascii="Times New Roman" w:hAnsi="Times New Roman" w:cs="Times New Roman"/>
                      <w:bCs/>
                      <w:color w:val="auto"/>
                      <w:szCs w:val="21"/>
                      <w:highlight w:val="none"/>
                    </w:rPr>
                  </w:pPr>
                  <w:r>
                    <w:rPr>
                      <w:rFonts w:hint="default" w:ascii="Times New Roman" w:hAnsi="Times New Roman" w:cs="Times New Roman"/>
                      <w:color w:val="auto"/>
                      <w:kern w:val="0"/>
                      <w:szCs w:val="21"/>
                      <w:highlight w:val="none"/>
                      <w:lang w:bidi="ar"/>
                    </w:rPr>
                    <w:t>硫酸</w:t>
                  </w:r>
                </w:p>
              </w:tc>
              <w:tc>
                <w:tcPr>
                  <w:tcW w:w="1336" w:type="dxa"/>
                  <w:noWrap w:val="0"/>
                  <w:vAlign w:val="center"/>
                </w:tcPr>
                <w:p w14:paraId="1D0F46EC">
                  <w:pPr>
                    <w:jc w:val="center"/>
                    <w:rPr>
                      <w:rFonts w:hint="default" w:ascii="Times New Roman" w:hAnsi="Times New Roman" w:eastAsia="宋体" w:cs="Times New Roman"/>
                      <w:bCs/>
                      <w:color w:val="auto"/>
                      <w:szCs w:val="21"/>
                      <w:highlight w:val="none"/>
                      <w:lang w:val="en-US" w:eastAsia="zh-CN"/>
                    </w:rPr>
                  </w:pPr>
                  <w:r>
                    <w:rPr>
                      <w:rFonts w:hint="default" w:ascii="Times New Roman" w:hAnsi="Times New Roman" w:cs="Times New Roman"/>
                      <w:bCs/>
                      <w:color w:val="auto"/>
                      <w:szCs w:val="21"/>
                      <w:highlight w:val="none"/>
                      <w:lang w:val="en-US" w:eastAsia="zh-CN"/>
                    </w:rPr>
                    <w:t>23.5</w:t>
                  </w:r>
                </w:p>
              </w:tc>
              <w:tc>
                <w:tcPr>
                  <w:tcW w:w="1336" w:type="dxa"/>
                  <w:noWrap w:val="0"/>
                  <w:vAlign w:val="center"/>
                </w:tcPr>
                <w:p w14:paraId="5D6D4F3A">
                  <w:pPr>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0.0013</w:t>
                  </w:r>
                </w:p>
              </w:tc>
              <w:tc>
                <w:tcPr>
                  <w:tcW w:w="1337" w:type="dxa"/>
                  <w:noWrap w:val="0"/>
                  <w:vAlign w:val="center"/>
                </w:tcPr>
                <w:p w14:paraId="0D88BCAB">
                  <w:pPr>
                    <w:jc w:val="center"/>
                    <w:rPr>
                      <w:rFonts w:hint="default" w:ascii="Times New Roman" w:hAnsi="Times New Roman" w:eastAsia="宋体" w:cs="Times New Roman"/>
                      <w:bCs/>
                      <w:color w:val="auto"/>
                      <w:szCs w:val="21"/>
                      <w:highlight w:val="none"/>
                      <w:lang w:val="en-US" w:eastAsia="zh-CN"/>
                    </w:rPr>
                  </w:pPr>
                  <w:r>
                    <w:rPr>
                      <w:rFonts w:hint="eastAsia" w:cs="Times New Roman"/>
                      <w:bCs/>
                      <w:color w:val="auto"/>
                      <w:szCs w:val="21"/>
                      <w:highlight w:val="none"/>
                      <w:lang w:val="en-US" w:eastAsia="zh-CN"/>
                    </w:rPr>
                    <w:t>150</w:t>
                  </w:r>
                </w:p>
              </w:tc>
              <w:tc>
                <w:tcPr>
                  <w:tcW w:w="1337" w:type="dxa"/>
                  <w:noWrap w:val="0"/>
                  <w:vAlign w:val="center"/>
                </w:tcPr>
                <w:p w14:paraId="1D1F098F">
                  <w:pPr>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硫酸雾</w:t>
                  </w:r>
                </w:p>
              </w:tc>
              <w:tc>
                <w:tcPr>
                  <w:tcW w:w="1337" w:type="dxa"/>
                  <w:noWrap w:val="0"/>
                  <w:vAlign w:val="center"/>
                </w:tcPr>
                <w:p w14:paraId="31F68D92">
                  <w:pPr>
                    <w:keepNext w:val="0"/>
                    <w:keepLines w:val="0"/>
                    <w:widowControl/>
                    <w:suppressLineNumbers w:val="0"/>
                    <w:jc w:val="center"/>
                    <w:textAlignment w:val="center"/>
                    <w:rPr>
                      <w:rFonts w:hint="default" w:ascii="Times New Roman" w:hAnsi="Times New Roman" w:eastAsia="宋体" w:cs="Times New Roman"/>
                      <w:bCs/>
                      <w:color w:val="auto"/>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0.195</w:t>
                  </w:r>
                </w:p>
              </w:tc>
            </w:tr>
            <w:tr w14:paraId="7A65F0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6" w:type="dxa"/>
                  <w:shd w:val="clear" w:color="auto" w:fill="auto"/>
                  <w:noWrap w:val="0"/>
                  <w:vAlign w:val="center"/>
                </w:tcPr>
                <w:p w14:paraId="786932EC">
                  <w:pPr>
                    <w:widowControl/>
                    <w:jc w:val="center"/>
                    <w:textAlignment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cs="Times New Roman"/>
                      <w:color w:val="auto"/>
                      <w:kern w:val="0"/>
                      <w:szCs w:val="21"/>
                      <w:highlight w:val="none"/>
                      <w:lang w:bidi="ar"/>
                    </w:rPr>
                    <w:t>盐酸</w:t>
                  </w:r>
                </w:p>
              </w:tc>
              <w:tc>
                <w:tcPr>
                  <w:tcW w:w="1336" w:type="dxa"/>
                  <w:shd w:val="clear" w:color="auto" w:fill="auto"/>
                  <w:noWrap w:val="0"/>
                  <w:vAlign w:val="center"/>
                </w:tcPr>
                <w:p w14:paraId="2C140107">
                  <w:pPr>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cs="Times New Roman"/>
                      <w:bCs/>
                      <w:color w:val="auto"/>
                      <w:szCs w:val="21"/>
                      <w:highlight w:val="none"/>
                      <w:lang w:val="en-US" w:eastAsia="zh-CN"/>
                    </w:rPr>
                    <w:t>11</w:t>
                  </w:r>
                </w:p>
              </w:tc>
              <w:tc>
                <w:tcPr>
                  <w:tcW w:w="1336" w:type="dxa"/>
                  <w:noWrap w:val="0"/>
                  <w:vAlign w:val="center"/>
                </w:tcPr>
                <w:p w14:paraId="6FA4D9EE">
                  <w:pPr>
                    <w:jc w:val="center"/>
                    <w:rPr>
                      <w:rFonts w:hint="default" w:cs="Times New Roman"/>
                      <w:bCs/>
                      <w:color w:val="auto"/>
                      <w:szCs w:val="21"/>
                      <w:highlight w:val="none"/>
                      <w:lang w:val="en-US" w:eastAsia="zh-CN"/>
                    </w:rPr>
                  </w:pPr>
                  <w:r>
                    <w:rPr>
                      <w:rFonts w:hint="eastAsia" w:cs="Times New Roman"/>
                      <w:bCs/>
                      <w:color w:val="auto"/>
                      <w:szCs w:val="21"/>
                      <w:highlight w:val="none"/>
                      <w:lang w:val="en-US" w:eastAsia="zh-CN"/>
                    </w:rPr>
                    <w:t>0.061</w:t>
                  </w:r>
                </w:p>
              </w:tc>
              <w:tc>
                <w:tcPr>
                  <w:tcW w:w="1337" w:type="dxa"/>
                  <w:shd w:val="clear" w:color="auto" w:fill="auto"/>
                  <w:noWrap w:val="0"/>
                  <w:vAlign w:val="center"/>
                </w:tcPr>
                <w:p w14:paraId="3A9C04CD">
                  <w:pPr>
                    <w:jc w:val="center"/>
                    <w:rPr>
                      <w:rFonts w:hint="eastAsia" w:ascii="Times New Roman" w:hAnsi="Times New Roman" w:eastAsia="宋体" w:cs="Times New Roman"/>
                      <w:bCs/>
                      <w:color w:val="auto"/>
                      <w:kern w:val="2"/>
                      <w:sz w:val="21"/>
                      <w:szCs w:val="21"/>
                      <w:highlight w:val="none"/>
                      <w:lang w:val="en-US" w:eastAsia="zh-CN" w:bidi="ar-SA"/>
                    </w:rPr>
                  </w:pPr>
                  <w:r>
                    <w:rPr>
                      <w:rFonts w:hint="eastAsia" w:cs="Times New Roman"/>
                      <w:bCs/>
                      <w:color w:val="auto"/>
                      <w:szCs w:val="21"/>
                      <w:highlight w:val="none"/>
                      <w:lang w:val="en-US" w:eastAsia="zh-CN"/>
                    </w:rPr>
                    <w:t>150</w:t>
                  </w:r>
                </w:p>
              </w:tc>
              <w:tc>
                <w:tcPr>
                  <w:tcW w:w="1337" w:type="dxa"/>
                  <w:shd w:val="clear" w:color="auto" w:fill="auto"/>
                  <w:noWrap w:val="0"/>
                  <w:vAlign w:val="center"/>
                </w:tcPr>
                <w:p w14:paraId="55E1D7BC">
                  <w:pPr>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cs="Times New Roman"/>
                      <w:bCs/>
                      <w:color w:val="auto"/>
                      <w:szCs w:val="21"/>
                      <w:highlight w:val="none"/>
                    </w:rPr>
                    <w:t>氯化氢</w:t>
                  </w:r>
                </w:p>
              </w:tc>
              <w:tc>
                <w:tcPr>
                  <w:tcW w:w="1337" w:type="dxa"/>
                  <w:noWrap w:val="0"/>
                  <w:vAlign w:val="center"/>
                </w:tcPr>
                <w:p w14:paraId="3AEC50E7">
                  <w:pPr>
                    <w:keepNext w:val="0"/>
                    <w:keepLines w:val="0"/>
                    <w:widowControl/>
                    <w:suppressLineNumbers w:val="0"/>
                    <w:jc w:val="center"/>
                    <w:textAlignment w:val="center"/>
                    <w:rPr>
                      <w:rFonts w:hint="default"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9.15</w:t>
                  </w:r>
                </w:p>
              </w:tc>
            </w:tr>
            <w:tr w14:paraId="73AF2B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6" w:type="dxa"/>
                  <w:noWrap w:val="0"/>
                  <w:vAlign w:val="center"/>
                </w:tcPr>
                <w:p w14:paraId="1D2823E3">
                  <w:pPr>
                    <w:widowControl/>
                    <w:jc w:val="center"/>
                    <w:textAlignment w:val="center"/>
                    <w:rPr>
                      <w:rFonts w:hint="default" w:ascii="Times New Roman" w:hAnsi="Times New Roman" w:cs="Times New Roman"/>
                      <w:color w:val="auto"/>
                      <w:kern w:val="0"/>
                      <w:szCs w:val="21"/>
                      <w:highlight w:val="none"/>
                      <w:lang w:bidi="ar"/>
                    </w:rPr>
                  </w:pPr>
                  <w:r>
                    <w:rPr>
                      <w:rFonts w:hint="default" w:ascii="Times New Roman" w:hAnsi="Times New Roman" w:cs="Times New Roman"/>
                      <w:color w:val="auto"/>
                      <w:kern w:val="0"/>
                      <w:szCs w:val="21"/>
                      <w:highlight w:val="none"/>
                      <w:lang w:bidi="ar"/>
                    </w:rPr>
                    <w:t>硝酸</w:t>
                  </w:r>
                </w:p>
              </w:tc>
              <w:tc>
                <w:tcPr>
                  <w:tcW w:w="1336" w:type="dxa"/>
                  <w:noWrap w:val="0"/>
                  <w:vAlign w:val="center"/>
                </w:tcPr>
                <w:p w14:paraId="4107EA07">
                  <w:pPr>
                    <w:jc w:val="center"/>
                    <w:rPr>
                      <w:rFonts w:hint="default" w:ascii="Times New Roman" w:hAnsi="Times New Roman" w:eastAsia="宋体" w:cs="Times New Roman"/>
                      <w:bCs/>
                      <w:color w:val="auto"/>
                      <w:szCs w:val="21"/>
                      <w:highlight w:val="none"/>
                      <w:lang w:val="en-US" w:eastAsia="zh-CN"/>
                    </w:rPr>
                  </w:pPr>
                  <w:r>
                    <w:rPr>
                      <w:rFonts w:hint="default" w:ascii="Times New Roman" w:hAnsi="Times New Roman" w:cs="Times New Roman"/>
                      <w:bCs/>
                      <w:color w:val="auto"/>
                      <w:szCs w:val="21"/>
                      <w:highlight w:val="none"/>
                      <w:lang w:val="en-US" w:eastAsia="zh-CN"/>
                    </w:rPr>
                    <w:t>2</w:t>
                  </w:r>
                </w:p>
              </w:tc>
              <w:tc>
                <w:tcPr>
                  <w:tcW w:w="1336" w:type="dxa"/>
                  <w:noWrap w:val="0"/>
                  <w:vAlign w:val="center"/>
                </w:tcPr>
                <w:p w14:paraId="26546ED9">
                  <w:pPr>
                    <w:jc w:val="center"/>
                    <w:rPr>
                      <w:rFonts w:hint="default" w:ascii="Times New Roman" w:hAnsi="Times New Roman" w:eastAsia="宋体" w:cs="Times New Roman"/>
                      <w:bCs/>
                      <w:color w:val="auto"/>
                      <w:szCs w:val="21"/>
                      <w:highlight w:val="none"/>
                      <w:lang w:val="en-US" w:eastAsia="zh-CN"/>
                    </w:rPr>
                  </w:pPr>
                  <w:r>
                    <w:rPr>
                      <w:rFonts w:hint="default" w:ascii="Times New Roman" w:hAnsi="Times New Roman" w:cs="Times New Roman"/>
                      <w:bCs/>
                      <w:color w:val="auto"/>
                      <w:szCs w:val="21"/>
                      <w:highlight w:val="none"/>
                    </w:rPr>
                    <w:t>0.0</w:t>
                  </w:r>
                  <w:r>
                    <w:rPr>
                      <w:rFonts w:hint="default" w:ascii="Times New Roman" w:hAnsi="Times New Roman" w:cs="Times New Roman"/>
                      <w:bCs/>
                      <w:color w:val="auto"/>
                      <w:szCs w:val="21"/>
                      <w:highlight w:val="none"/>
                      <w:lang w:val="en-US" w:eastAsia="zh-CN"/>
                    </w:rPr>
                    <w:t>049</w:t>
                  </w:r>
                </w:p>
              </w:tc>
              <w:tc>
                <w:tcPr>
                  <w:tcW w:w="1337" w:type="dxa"/>
                  <w:noWrap w:val="0"/>
                  <w:vAlign w:val="center"/>
                </w:tcPr>
                <w:p w14:paraId="6F8FFB3C">
                  <w:pPr>
                    <w:jc w:val="center"/>
                    <w:rPr>
                      <w:rFonts w:hint="default" w:ascii="Times New Roman" w:hAnsi="Times New Roman" w:eastAsia="宋体" w:cs="Times New Roman"/>
                      <w:bCs/>
                      <w:color w:val="auto"/>
                      <w:szCs w:val="21"/>
                      <w:highlight w:val="none"/>
                      <w:lang w:val="en-US" w:eastAsia="zh-CN"/>
                    </w:rPr>
                  </w:pPr>
                  <w:r>
                    <w:rPr>
                      <w:rFonts w:hint="eastAsia" w:cs="Times New Roman"/>
                      <w:bCs/>
                      <w:color w:val="auto"/>
                      <w:szCs w:val="21"/>
                      <w:highlight w:val="none"/>
                      <w:lang w:val="en-US" w:eastAsia="zh-CN"/>
                    </w:rPr>
                    <w:t>150</w:t>
                  </w:r>
                </w:p>
              </w:tc>
              <w:tc>
                <w:tcPr>
                  <w:tcW w:w="1337" w:type="dxa"/>
                  <w:noWrap w:val="0"/>
                  <w:vAlign w:val="center"/>
                </w:tcPr>
                <w:p w14:paraId="1A8ED713">
                  <w:pPr>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氮氧化物</w:t>
                  </w:r>
                </w:p>
              </w:tc>
              <w:tc>
                <w:tcPr>
                  <w:tcW w:w="1337" w:type="dxa"/>
                  <w:noWrap w:val="0"/>
                  <w:vAlign w:val="center"/>
                </w:tcPr>
                <w:p w14:paraId="67B9A1F4">
                  <w:pPr>
                    <w:keepNext w:val="0"/>
                    <w:keepLines w:val="0"/>
                    <w:widowControl/>
                    <w:suppressLineNumbers w:val="0"/>
                    <w:jc w:val="center"/>
                    <w:textAlignment w:val="center"/>
                    <w:rPr>
                      <w:rFonts w:hint="default" w:ascii="Times New Roman" w:hAnsi="Times New Roman" w:eastAsia="宋体" w:cs="Times New Roman"/>
                      <w:bCs/>
                      <w:color w:val="auto"/>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0.735</w:t>
                  </w:r>
                </w:p>
              </w:tc>
            </w:tr>
          </w:tbl>
          <w:p w14:paraId="3917600E">
            <w:pPr>
              <w:spacing w:line="360" w:lineRule="auto"/>
              <w:ind w:firstLine="422" w:firstLineChars="200"/>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注：</w:t>
            </w:r>
            <w:r>
              <w:rPr>
                <w:rFonts w:hint="eastAsia" w:cs="Times New Roman"/>
                <w:b/>
                <w:color w:val="auto"/>
                <w:szCs w:val="21"/>
                <w:highlight w:val="none"/>
                <w:lang w:val="en-US" w:eastAsia="zh-CN"/>
              </w:rPr>
              <w:t>根据企业提供的资料，</w:t>
            </w:r>
            <w:r>
              <w:rPr>
                <w:rFonts w:hint="default" w:ascii="Times New Roman" w:hAnsi="Times New Roman" w:cs="Times New Roman"/>
                <w:b/>
                <w:color w:val="auto"/>
                <w:szCs w:val="21"/>
                <w:highlight w:val="none"/>
              </w:rPr>
              <w:t>实验敞开时间按照</w:t>
            </w:r>
            <w:r>
              <w:rPr>
                <w:rFonts w:hint="default" w:ascii="Times New Roman" w:hAnsi="Times New Roman" w:cs="Times New Roman"/>
                <w:b/>
                <w:color w:val="auto"/>
                <w:szCs w:val="21"/>
                <w:highlight w:val="none"/>
                <w:lang w:val="en-US" w:eastAsia="zh-CN"/>
              </w:rPr>
              <w:t>30min</w:t>
            </w:r>
            <w:r>
              <w:rPr>
                <w:rFonts w:hint="default" w:ascii="Times New Roman" w:hAnsi="Times New Roman" w:cs="Times New Roman"/>
                <w:b/>
                <w:color w:val="auto"/>
                <w:szCs w:val="21"/>
                <w:highlight w:val="none"/>
              </w:rPr>
              <w:t>/d计算，年工作</w:t>
            </w:r>
            <w:r>
              <w:rPr>
                <w:rFonts w:hint="default" w:ascii="Times New Roman" w:hAnsi="Times New Roman" w:cs="Times New Roman"/>
                <w:b/>
                <w:color w:val="auto"/>
                <w:szCs w:val="21"/>
                <w:highlight w:val="none"/>
                <w:lang w:val="en-US" w:eastAsia="zh-CN"/>
              </w:rPr>
              <w:t>30</w:t>
            </w:r>
            <w:r>
              <w:rPr>
                <w:rFonts w:hint="default" w:ascii="Times New Roman" w:hAnsi="Times New Roman" w:cs="Times New Roman"/>
                <w:b/>
                <w:color w:val="auto"/>
                <w:szCs w:val="21"/>
                <w:highlight w:val="none"/>
              </w:rPr>
              <w:t>0天，每年实验敞开时间为</w:t>
            </w:r>
            <w:r>
              <w:rPr>
                <w:rFonts w:hint="default" w:ascii="Times New Roman" w:hAnsi="Times New Roman" w:cs="Times New Roman"/>
                <w:b/>
                <w:color w:val="auto"/>
                <w:szCs w:val="21"/>
                <w:highlight w:val="none"/>
                <w:lang w:val="en-US" w:eastAsia="zh-CN"/>
              </w:rPr>
              <w:t>150</w:t>
            </w:r>
            <w:r>
              <w:rPr>
                <w:rFonts w:hint="default" w:ascii="Times New Roman" w:hAnsi="Times New Roman" w:cs="Times New Roman"/>
                <w:b/>
                <w:color w:val="auto"/>
                <w:szCs w:val="21"/>
                <w:highlight w:val="none"/>
              </w:rPr>
              <w:t>h。</w:t>
            </w:r>
          </w:p>
          <w:p w14:paraId="5FFFBF18">
            <w:pPr>
              <w:widowControl/>
              <w:autoSpaceDE w:val="0"/>
              <w:autoSpaceDN w:val="0"/>
              <w:adjustRightInd w:val="0"/>
              <w:snapToGrid w:val="0"/>
              <w:spacing w:line="360" w:lineRule="auto"/>
              <w:ind w:firstLine="420" w:firstLineChars="200"/>
              <w:jc w:val="left"/>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酸雾废气经</w:t>
            </w:r>
            <w:r>
              <w:rPr>
                <w:rFonts w:hint="default" w:ascii="Times New Roman" w:hAnsi="Times New Roman" w:cs="Times New Roman"/>
                <w:color w:val="auto"/>
                <w:szCs w:val="21"/>
                <w:highlight w:val="none"/>
                <w:lang w:eastAsia="zh-CN"/>
              </w:rPr>
              <w:t>通风柜</w:t>
            </w:r>
            <w:r>
              <w:rPr>
                <w:rFonts w:hint="default" w:ascii="Times New Roman" w:hAnsi="Times New Roman" w:cs="Times New Roman"/>
                <w:color w:val="auto"/>
                <w:szCs w:val="21"/>
                <w:highlight w:val="none"/>
              </w:rPr>
              <w:t>方式进行收集，实验过程为常温下进行，风量设计参考《三废处理工程技术手册》（废气卷），按以下公式进行计算：</w:t>
            </w:r>
          </w:p>
          <w:p w14:paraId="3DE3D16D">
            <w:pPr>
              <w:adjustRightInd w:val="0"/>
              <w:snapToGrid w:val="0"/>
              <w:spacing w:line="360" w:lineRule="auto"/>
              <w:ind w:firstLine="420" w:firstLineChars="200"/>
              <w:jc w:val="left"/>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Q=Fv</w:t>
            </w:r>
          </w:p>
          <w:p w14:paraId="100137EC">
            <w:pPr>
              <w:adjustRightInd w:val="0"/>
              <w:snapToGrid w:val="0"/>
              <w:spacing w:line="360" w:lineRule="auto"/>
              <w:ind w:firstLine="420" w:firstLineChars="200"/>
              <w:jc w:val="left"/>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式中：Q：排气量，m</w:t>
            </w:r>
            <w:r>
              <w:rPr>
                <w:rFonts w:hint="default" w:ascii="Times New Roman" w:hAnsi="Times New Roman" w:cs="Times New Roman"/>
                <w:color w:val="auto"/>
                <w:szCs w:val="21"/>
                <w:highlight w:val="none"/>
                <w:vertAlign w:val="superscript"/>
              </w:rPr>
              <w:t>3</w:t>
            </w:r>
            <w:r>
              <w:rPr>
                <w:rFonts w:hint="default" w:ascii="Times New Roman" w:hAnsi="Times New Roman" w:cs="Times New Roman"/>
                <w:color w:val="auto"/>
                <w:szCs w:val="21"/>
                <w:highlight w:val="none"/>
              </w:rPr>
              <w:t>/s；</w:t>
            </w:r>
          </w:p>
          <w:p w14:paraId="04FA2199">
            <w:pPr>
              <w:adjustRightInd w:val="0"/>
              <w:snapToGrid w:val="0"/>
              <w:spacing w:line="360" w:lineRule="auto"/>
              <w:ind w:firstLine="420" w:firstLineChars="200"/>
              <w:jc w:val="left"/>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F：操作口面积，项目取</w:t>
            </w:r>
            <w:r>
              <w:rPr>
                <w:rFonts w:hint="eastAsia" w:cs="Times New Roman"/>
                <w:color w:val="auto"/>
                <w:szCs w:val="21"/>
                <w:highlight w:val="none"/>
                <w:lang w:val="en-US" w:eastAsia="zh-CN"/>
              </w:rPr>
              <w:t>1.7</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rPr>
              <w:t>；</w:t>
            </w:r>
          </w:p>
          <w:p w14:paraId="1A3AEF83">
            <w:pPr>
              <w:adjustRightInd w:val="0"/>
              <w:snapToGrid w:val="0"/>
              <w:spacing w:line="360" w:lineRule="auto"/>
              <w:ind w:firstLine="420" w:firstLineChars="200"/>
              <w:jc w:val="left"/>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V：操作口平均速度，m/s，0.5-1.5m/s，本项目风速按</w:t>
            </w:r>
            <w:r>
              <w:rPr>
                <w:rFonts w:hint="default" w:ascii="Times New Roman" w:hAnsi="Times New Roman" w:cs="Times New Roman"/>
                <w:color w:val="auto"/>
                <w:szCs w:val="21"/>
                <w:highlight w:val="none"/>
                <w:lang w:val="en-US" w:eastAsia="zh-CN"/>
              </w:rPr>
              <w:t>1</w:t>
            </w:r>
            <w:r>
              <w:rPr>
                <w:rFonts w:hint="default" w:ascii="Times New Roman" w:hAnsi="Times New Roman" w:cs="Times New Roman"/>
                <w:color w:val="auto"/>
                <w:szCs w:val="21"/>
                <w:highlight w:val="none"/>
              </w:rPr>
              <w:t>m/s；</w:t>
            </w:r>
          </w:p>
          <w:p w14:paraId="1B0043AF">
            <w:pPr>
              <w:adjustRightInd w:val="0"/>
              <w:spacing w:line="360" w:lineRule="auto"/>
              <w:ind w:firstLine="420" w:firstLineChars="200"/>
              <w:jc w:val="left"/>
              <w:textAlignment w:val="baseline"/>
              <w:rPr>
                <w:rFonts w:hint="default" w:ascii="Times New Roman" w:hAnsi="Times New Roman" w:cs="Times New Roman"/>
                <w:color w:val="auto"/>
                <w:szCs w:val="21"/>
                <w:highlight w:val="none"/>
              </w:rPr>
            </w:pPr>
            <w:r>
              <w:rPr>
                <w:rFonts w:hint="eastAsia" w:cs="Times New Roman"/>
                <w:color w:val="auto"/>
                <w:szCs w:val="21"/>
                <w:highlight w:val="none"/>
                <w:lang w:val="en-US" w:eastAsia="zh-CN"/>
              </w:rPr>
              <w:t>设置2个通风柜，</w:t>
            </w:r>
            <w:r>
              <w:rPr>
                <w:rFonts w:hint="default" w:ascii="Times New Roman" w:hAnsi="Times New Roman" w:cs="Times New Roman"/>
                <w:color w:val="auto"/>
                <w:szCs w:val="21"/>
                <w:highlight w:val="none"/>
              </w:rPr>
              <w:t>计算得：Q=</w:t>
            </w:r>
            <w:r>
              <w:rPr>
                <w:rFonts w:hint="eastAsia" w:cs="Times New Roman"/>
                <w:color w:val="auto"/>
                <w:szCs w:val="21"/>
                <w:highlight w:val="none"/>
                <w:lang w:val="en-US" w:eastAsia="zh-CN"/>
              </w:rPr>
              <w:t>1.7</w:t>
            </w:r>
            <w:r>
              <w:rPr>
                <w:rFonts w:hint="default" w:ascii="Times New Roman" w:hAnsi="Times New Roman" w:cs="Times New Roman"/>
                <w:color w:val="auto"/>
                <w:szCs w:val="21"/>
                <w:highlight w:val="none"/>
              </w:rPr>
              <w:t>*</w:t>
            </w:r>
            <w:r>
              <w:rPr>
                <w:rFonts w:hint="default" w:ascii="Times New Roman" w:hAnsi="Times New Roman" w:cs="Times New Roman"/>
                <w:color w:val="auto"/>
                <w:szCs w:val="21"/>
                <w:highlight w:val="none"/>
                <w:lang w:val="en-US" w:eastAsia="zh-CN"/>
              </w:rPr>
              <w:t>1</w:t>
            </w:r>
            <w:r>
              <w:rPr>
                <w:rFonts w:hint="default" w:ascii="Times New Roman" w:hAnsi="Times New Roman" w:cs="Times New Roman"/>
                <w:color w:val="auto"/>
                <w:szCs w:val="21"/>
                <w:highlight w:val="none"/>
              </w:rPr>
              <w:t>×3600</w:t>
            </w:r>
            <w:r>
              <w:rPr>
                <w:rFonts w:hint="eastAsia" w:cs="Times New Roman"/>
                <w:color w:val="auto"/>
                <w:szCs w:val="21"/>
                <w:highlight w:val="none"/>
                <w:lang w:val="en-US" w:eastAsia="zh-CN"/>
              </w:rPr>
              <w:t>×2</w:t>
            </w:r>
            <w:r>
              <w:rPr>
                <w:rFonts w:hint="default" w:ascii="Times New Roman" w:hAnsi="Times New Roman" w:cs="Times New Roman"/>
                <w:color w:val="auto"/>
                <w:szCs w:val="21"/>
                <w:highlight w:val="none"/>
              </w:rPr>
              <w:t>=</w:t>
            </w:r>
            <w:r>
              <w:rPr>
                <w:rFonts w:hint="default" w:ascii="Times New Roman" w:hAnsi="Times New Roman" w:cs="Times New Roman"/>
                <w:color w:val="auto"/>
                <w:szCs w:val="21"/>
                <w:highlight w:val="none"/>
                <w:lang w:val="en-US" w:eastAsia="zh-CN"/>
              </w:rPr>
              <w:t>1</w:t>
            </w:r>
            <w:r>
              <w:rPr>
                <w:rFonts w:hint="eastAsia" w:cs="Times New Roman"/>
                <w:color w:val="auto"/>
                <w:szCs w:val="21"/>
                <w:highlight w:val="none"/>
                <w:lang w:val="en-US" w:eastAsia="zh-CN"/>
              </w:rPr>
              <w:t>2240</w:t>
            </w:r>
            <w:r>
              <w:rPr>
                <w:rFonts w:hint="default" w:ascii="Times New Roman" w:hAnsi="Times New Roman" w:cs="Times New Roman"/>
                <w:color w:val="auto"/>
                <w:szCs w:val="21"/>
                <w:highlight w:val="none"/>
              </w:rPr>
              <w:t>m</w:t>
            </w:r>
            <w:r>
              <w:rPr>
                <w:rFonts w:hint="default" w:ascii="Times New Roman" w:hAnsi="Times New Roman" w:cs="Times New Roman"/>
                <w:color w:val="auto"/>
                <w:szCs w:val="21"/>
                <w:highlight w:val="none"/>
                <w:vertAlign w:val="superscript"/>
              </w:rPr>
              <w:t>3</w:t>
            </w:r>
            <w:r>
              <w:rPr>
                <w:rFonts w:hint="default" w:ascii="Times New Roman" w:hAnsi="Times New Roman" w:cs="Times New Roman"/>
                <w:color w:val="auto"/>
                <w:szCs w:val="21"/>
                <w:highlight w:val="none"/>
              </w:rPr>
              <w:t>/h</w:t>
            </w:r>
          </w:p>
          <w:p w14:paraId="32382957">
            <w:pPr>
              <w:spacing w:line="360" w:lineRule="auto"/>
              <w:ind w:firstLine="420" w:firstLineChars="200"/>
              <w:jc w:val="left"/>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项目收集实验废气所需风量为</w:t>
            </w:r>
            <w:r>
              <w:rPr>
                <w:rFonts w:hint="default" w:ascii="Times New Roman" w:hAnsi="Times New Roman" w:cs="Times New Roman"/>
                <w:color w:val="auto"/>
                <w:szCs w:val="21"/>
                <w:highlight w:val="none"/>
                <w:lang w:val="en-US" w:eastAsia="zh-CN"/>
              </w:rPr>
              <w:t>1</w:t>
            </w:r>
            <w:r>
              <w:rPr>
                <w:rFonts w:hint="eastAsia" w:cs="Times New Roman"/>
                <w:color w:val="auto"/>
                <w:szCs w:val="21"/>
                <w:highlight w:val="none"/>
                <w:lang w:val="en-US" w:eastAsia="zh-CN"/>
              </w:rPr>
              <w:t>2240</w:t>
            </w:r>
            <w:r>
              <w:rPr>
                <w:rFonts w:hint="default" w:ascii="Times New Roman" w:hAnsi="Times New Roman" w:cs="Times New Roman"/>
                <w:color w:val="auto"/>
                <w:szCs w:val="21"/>
                <w:highlight w:val="none"/>
              </w:rPr>
              <w:t>m</w:t>
            </w:r>
            <w:r>
              <w:rPr>
                <w:rFonts w:hint="default" w:ascii="Times New Roman" w:hAnsi="Times New Roman" w:cs="Times New Roman"/>
                <w:color w:val="auto"/>
                <w:szCs w:val="21"/>
                <w:highlight w:val="none"/>
                <w:vertAlign w:val="superscript"/>
              </w:rPr>
              <w:t>3</w:t>
            </w:r>
            <w:r>
              <w:rPr>
                <w:rFonts w:hint="default" w:ascii="Times New Roman" w:hAnsi="Times New Roman" w:cs="Times New Roman"/>
                <w:color w:val="auto"/>
                <w:szCs w:val="21"/>
                <w:highlight w:val="none"/>
              </w:rPr>
              <w:t>/h。</w:t>
            </w:r>
          </w:p>
          <w:p w14:paraId="592BCB6F">
            <w:pPr>
              <w:pStyle w:val="32"/>
              <w:spacing w:after="0" w:line="360" w:lineRule="auto"/>
              <w:ind w:left="0" w:left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项目废气治理设施设计风量为</w:t>
            </w:r>
            <w:r>
              <w:rPr>
                <w:rFonts w:hint="default" w:ascii="Times New Roman" w:hAnsi="Times New Roman" w:cs="Times New Roman"/>
                <w:color w:val="auto"/>
                <w:sz w:val="21"/>
                <w:szCs w:val="21"/>
                <w:highlight w:val="none"/>
                <w:lang w:val="en-US" w:eastAsia="zh-CN"/>
              </w:rPr>
              <w:t>1</w:t>
            </w:r>
            <w:r>
              <w:rPr>
                <w:rFonts w:hint="eastAsia" w:ascii="Times New Roman" w:hAnsi="Times New Roman" w:cs="Times New Roman"/>
                <w:color w:val="auto"/>
                <w:sz w:val="21"/>
                <w:szCs w:val="21"/>
                <w:highlight w:val="none"/>
                <w:lang w:val="en-US" w:eastAsia="zh-CN"/>
              </w:rPr>
              <w:t>4</w:t>
            </w:r>
            <w:r>
              <w:rPr>
                <w:rFonts w:hint="default" w:ascii="Times New Roman" w:hAnsi="Times New Roman" w:cs="Times New Roman"/>
                <w:color w:val="auto"/>
                <w:sz w:val="21"/>
                <w:szCs w:val="21"/>
                <w:highlight w:val="none"/>
                <w:lang w:val="en-US" w:eastAsia="zh-CN"/>
              </w:rPr>
              <w:t>000</w:t>
            </w:r>
            <w:r>
              <w:rPr>
                <w:rFonts w:hint="default" w:ascii="Times New Roman" w:hAnsi="Times New Roman" w:cs="Times New Roman"/>
                <w:color w:val="auto"/>
                <w:sz w:val="21"/>
                <w:szCs w:val="21"/>
                <w:highlight w:val="none"/>
              </w:rPr>
              <w:t>m</w:t>
            </w:r>
            <w:r>
              <w:rPr>
                <w:rFonts w:hint="default" w:ascii="Times New Roman" w:hAnsi="Times New Roman" w:cs="Times New Roman"/>
                <w:color w:val="auto"/>
                <w:sz w:val="21"/>
                <w:szCs w:val="21"/>
                <w:highlight w:val="none"/>
                <w:vertAlign w:val="superscript"/>
              </w:rPr>
              <w:t>3</w:t>
            </w:r>
            <w:r>
              <w:rPr>
                <w:rFonts w:hint="default" w:ascii="Times New Roman" w:hAnsi="Times New Roman" w:cs="Times New Roman"/>
                <w:color w:val="auto"/>
                <w:sz w:val="21"/>
                <w:szCs w:val="21"/>
                <w:highlight w:val="none"/>
              </w:rPr>
              <w:t>/h，能满足风量需求。</w:t>
            </w:r>
          </w:p>
          <w:p w14:paraId="5811D05C">
            <w:pPr>
              <w:pStyle w:val="32"/>
              <w:spacing w:after="0" w:line="360" w:lineRule="auto"/>
              <w:ind w:left="0" w:left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参考《</w:t>
            </w:r>
            <w:r>
              <w:rPr>
                <w:rFonts w:hint="default" w:ascii="Times New Roman" w:hAnsi="Times New Roman" w:cs="Times New Roman"/>
                <w:color w:val="auto"/>
                <w:sz w:val="21"/>
                <w:szCs w:val="21"/>
                <w:highlight w:val="none"/>
                <w:lang w:val="en-US" w:eastAsia="zh-CN"/>
              </w:rPr>
              <w:t>广东省工业源挥发性有机物减排量核算方法</w:t>
            </w:r>
            <w:r>
              <w:rPr>
                <w:rFonts w:hint="eastAsia" w:ascii="宋体" w:hAnsi="宋体" w:eastAsia="宋体" w:cs="宋体"/>
                <w:color w:val="auto"/>
                <w:sz w:val="21"/>
                <w:szCs w:val="21"/>
                <w:highlight w:val="none"/>
                <w:lang w:val="en-US" w:eastAsia="zh-CN"/>
              </w:rPr>
              <w:t>（2023年修订版）</w:t>
            </w:r>
            <w:r>
              <w:rPr>
                <w:rFonts w:hint="default" w:ascii="Times New Roman" w:hAnsi="Times New Roman" w:cs="Times New Roman"/>
                <w:color w:val="auto"/>
                <w:sz w:val="21"/>
                <w:szCs w:val="21"/>
                <w:highlight w:val="none"/>
              </w:rPr>
              <w:t>》中表</w:t>
            </w:r>
            <w:r>
              <w:rPr>
                <w:rFonts w:hint="eastAsia" w:hAnsi="Times New Roman" w:cs="Times New Roman"/>
                <w:color w:val="auto"/>
                <w:sz w:val="21"/>
                <w:szCs w:val="21"/>
                <w:highlight w:val="none"/>
                <w:lang w:val="en-US" w:eastAsia="zh-CN"/>
              </w:rPr>
              <w:t>3.2</w:t>
            </w:r>
            <w:r>
              <w:rPr>
                <w:rFonts w:hint="default" w:ascii="Times New Roman" w:hAnsi="Times New Roman" w:cs="Times New Roman"/>
                <w:color w:val="auto"/>
                <w:sz w:val="21"/>
                <w:szCs w:val="21"/>
                <w:highlight w:val="none"/>
                <w:lang w:val="en-US" w:eastAsia="zh-CN"/>
              </w:rPr>
              <w:t>-</w:t>
            </w:r>
            <w:r>
              <w:rPr>
                <w:rFonts w:hint="eastAsia" w:hAnsi="Times New Roman" w:cs="Times New Roman"/>
                <w:color w:val="auto"/>
                <w:sz w:val="21"/>
                <w:szCs w:val="21"/>
                <w:highlight w:val="none"/>
                <w:lang w:val="en-US" w:eastAsia="zh-CN"/>
              </w:rPr>
              <w:t>2</w:t>
            </w:r>
            <w:r>
              <w:rPr>
                <w:rFonts w:hint="default" w:ascii="Times New Roman" w:hAnsi="Times New Roman" w:cs="Times New Roman"/>
                <w:color w:val="auto"/>
                <w:sz w:val="21"/>
                <w:szCs w:val="21"/>
                <w:highlight w:val="none"/>
                <w:lang w:val="en-US" w:eastAsia="zh-CN"/>
              </w:rPr>
              <w:t>废气收集集气效率参考值</w:t>
            </w:r>
            <w:r>
              <w:rPr>
                <w:rFonts w:hint="default" w:ascii="Times New Roman" w:hAnsi="Times New Roman" w:cs="Times New Roman"/>
                <w:color w:val="auto"/>
                <w:sz w:val="21"/>
                <w:szCs w:val="21"/>
                <w:highlight w:val="none"/>
              </w:rPr>
              <w:t>，</w:t>
            </w:r>
            <w:r>
              <w:rPr>
                <w:rFonts w:hint="default" w:ascii="Times New Roman" w:hAnsi="Times New Roman" w:cs="Times New Roman"/>
                <w:color w:val="auto"/>
                <w:sz w:val="21"/>
                <w:szCs w:val="21"/>
                <w:highlight w:val="none"/>
              </w:rPr>
              <w:t>收集方式为</w:t>
            </w:r>
            <w:r>
              <w:rPr>
                <w:rFonts w:hint="default" w:ascii="Times New Roman" w:hAnsi="Times New Roman" w:cs="Times New Roman"/>
                <w:color w:val="auto"/>
                <w:sz w:val="21"/>
                <w:szCs w:val="21"/>
                <w:highlight w:val="none"/>
                <w:lang w:val="en-US" w:eastAsia="zh-CN"/>
              </w:rPr>
              <w:t>半密闭型集气设备（含排气柜），敞开面控制风速不小于0.3m/s</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收集效率为</w:t>
            </w:r>
            <w:r>
              <w:rPr>
                <w:rFonts w:hint="eastAsia" w:hAnsi="Times New Roman" w:cs="Times New Roman"/>
                <w:color w:val="auto"/>
                <w:sz w:val="21"/>
                <w:szCs w:val="21"/>
                <w:highlight w:val="none"/>
                <w:lang w:val="en-US" w:eastAsia="zh-CN"/>
              </w:rPr>
              <w:t>65</w:t>
            </w:r>
            <w:r>
              <w:rPr>
                <w:rFonts w:hint="default" w:ascii="Times New Roman" w:hAnsi="Times New Roman" w:cs="Times New Roman"/>
                <w:color w:val="auto"/>
                <w:sz w:val="21"/>
                <w:szCs w:val="21"/>
                <w:highlight w:val="none"/>
              </w:rPr>
              <w:t>%，项目</w:t>
            </w:r>
            <w:r>
              <w:rPr>
                <w:rFonts w:hint="eastAsia" w:hAnsi="Times New Roman" w:cs="Times New Roman"/>
                <w:color w:val="auto"/>
                <w:sz w:val="21"/>
                <w:szCs w:val="21"/>
                <w:highlight w:val="none"/>
                <w:lang w:val="en-US" w:eastAsia="zh-CN"/>
              </w:rPr>
              <w:t>通风柜</w:t>
            </w:r>
            <w:r>
              <w:rPr>
                <w:rFonts w:hint="default" w:ascii="Times New Roman" w:hAnsi="Times New Roman" w:cs="Times New Roman"/>
                <w:color w:val="auto"/>
                <w:sz w:val="21"/>
                <w:szCs w:val="21"/>
                <w:highlight w:val="none"/>
              </w:rPr>
              <w:t>收集效率</w:t>
            </w:r>
            <w:r>
              <w:rPr>
                <w:rFonts w:hint="default" w:ascii="Times New Roman" w:hAnsi="Times New Roman" w:cs="Times New Roman"/>
                <w:color w:val="auto"/>
                <w:sz w:val="21"/>
                <w:szCs w:val="21"/>
                <w:highlight w:val="none"/>
                <w:lang w:val="en-US" w:eastAsia="zh-CN"/>
              </w:rPr>
              <w:t>按照</w:t>
            </w:r>
            <w:r>
              <w:rPr>
                <w:rFonts w:hint="eastAsia" w:hAnsi="Times New Roman" w:cs="Times New Roman"/>
                <w:color w:val="auto"/>
                <w:sz w:val="21"/>
                <w:szCs w:val="21"/>
                <w:highlight w:val="none"/>
                <w:lang w:val="en-US" w:eastAsia="zh-CN"/>
              </w:rPr>
              <w:t>65</w:t>
            </w:r>
            <w:r>
              <w:rPr>
                <w:rFonts w:hint="default" w:ascii="Times New Roman" w:hAnsi="Times New Roman" w:cs="Times New Roman"/>
                <w:color w:val="auto"/>
                <w:sz w:val="21"/>
                <w:szCs w:val="21"/>
                <w:highlight w:val="none"/>
              </w:rPr>
              <w:t>%</w:t>
            </w:r>
            <w:r>
              <w:rPr>
                <w:rFonts w:hint="default" w:ascii="Times New Roman" w:hAnsi="Times New Roman" w:cs="Times New Roman"/>
                <w:color w:val="auto"/>
                <w:sz w:val="21"/>
                <w:szCs w:val="21"/>
                <w:highlight w:val="none"/>
                <w:lang w:val="en-US" w:eastAsia="zh-CN"/>
              </w:rPr>
              <w:t>计算</w:t>
            </w:r>
            <w:r>
              <w:rPr>
                <w:rFonts w:hint="default" w:ascii="Times New Roman" w:hAnsi="Times New Roman" w:cs="Times New Roman"/>
                <w:color w:val="auto"/>
                <w:sz w:val="21"/>
                <w:szCs w:val="21"/>
                <w:highlight w:val="none"/>
              </w:rPr>
              <w:t>，项目酸雾废气经</w:t>
            </w:r>
            <w:r>
              <w:rPr>
                <w:rFonts w:hint="default" w:ascii="Times New Roman" w:hAnsi="Times New Roman" w:cs="Times New Roman"/>
                <w:color w:val="auto"/>
                <w:sz w:val="21"/>
                <w:szCs w:val="21"/>
                <w:highlight w:val="none"/>
                <w:lang w:eastAsia="zh-CN"/>
              </w:rPr>
              <w:t>通风柜</w:t>
            </w:r>
            <w:r>
              <w:rPr>
                <w:rFonts w:hint="default" w:ascii="Times New Roman" w:hAnsi="Times New Roman" w:cs="Times New Roman"/>
                <w:color w:val="auto"/>
                <w:sz w:val="21"/>
                <w:szCs w:val="21"/>
                <w:highlight w:val="none"/>
              </w:rPr>
              <w:t>收集后经碱液喷淋塔处理后</w:t>
            </w:r>
            <w:r>
              <w:rPr>
                <w:rFonts w:hint="eastAsia" w:ascii="Times New Roman" w:hAnsi="Times New Roman" w:cs="Times New Roman"/>
                <w:color w:val="auto"/>
                <w:sz w:val="21"/>
                <w:szCs w:val="21"/>
                <w:highlight w:val="none"/>
                <w:lang w:val="en-US" w:eastAsia="zh-CN"/>
              </w:rPr>
              <w:t>通过G1</w:t>
            </w:r>
            <w:r>
              <w:rPr>
                <w:rFonts w:hint="default" w:ascii="Times New Roman" w:hAnsi="Times New Roman" w:cs="Times New Roman"/>
                <w:color w:val="auto"/>
                <w:sz w:val="21"/>
                <w:szCs w:val="21"/>
                <w:highlight w:val="none"/>
              </w:rPr>
              <w:t>排气筒排放，对硫酸雾</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氯化氢处理效率可达到70%，对氮氧化物处理效率可达到</w:t>
            </w:r>
            <w:r>
              <w:rPr>
                <w:rFonts w:hint="default" w:ascii="Times New Roman" w:hAnsi="Times New Roman" w:cs="Times New Roman"/>
                <w:color w:val="auto"/>
                <w:sz w:val="21"/>
                <w:szCs w:val="21"/>
                <w:highlight w:val="none"/>
                <w:lang w:val="en-US" w:eastAsia="zh-CN"/>
              </w:rPr>
              <w:t>3</w:t>
            </w:r>
            <w:r>
              <w:rPr>
                <w:rFonts w:hint="default" w:ascii="Times New Roman" w:hAnsi="Times New Roman" w:cs="Times New Roman"/>
                <w:color w:val="auto"/>
                <w:sz w:val="21"/>
                <w:szCs w:val="21"/>
                <w:highlight w:val="none"/>
              </w:rPr>
              <w:t>0%。</w:t>
            </w:r>
          </w:p>
          <w:p w14:paraId="0E51ECB5">
            <w:pPr>
              <w:widowControl/>
              <w:numPr>
                <w:ilvl w:val="0"/>
                <w:numId w:val="0"/>
              </w:numPr>
              <w:spacing w:line="360" w:lineRule="auto"/>
              <w:ind w:leftChars="0"/>
              <w:contextualSpacing/>
              <w:jc w:val="center"/>
              <w:rPr>
                <w:rFonts w:hint="default" w:ascii="Times New Roman" w:hAnsi="Times New Roman" w:eastAsia="宋体" w:cs="Times New Roman"/>
                <w:b/>
                <w:bCs/>
                <w:color w:val="auto"/>
                <w:kern w:val="2"/>
                <w:sz w:val="21"/>
                <w:szCs w:val="21"/>
                <w:highlight w:val="none"/>
                <w:lang w:val="zh-CN" w:eastAsia="zh-CN" w:bidi="ar-SA"/>
              </w:rPr>
            </w:pPr>
            <w:r>
              <w:rPr>
                <w:rFonts w:hint="eastAsia" w:cs="Times New Roman"/>
                <w:b/>
                <w:bCs/>
                <w:color w:val="auto"/>
                <w:kern w:val="2"/>
                <w:sz w:val="21"/>
                <w:szCs w:val="21"/>
                <w:highlight w:val="none"/>
                <w:lang w:val="en-US" w:eastAsia="zh-CN" w:bidi="ar-SA"/>
              </w:rPr>
              <w:t>表21</w:t>
            </w:r>
            <w:r>
              <w:rPr>
                <w:rFonts w:hint="default" w:ascii="Times New Roman" w:hAnsi="Times New Roman" w:eastAsia="宋体" w:cs="Times New Roman"/>
                <w:b/>
                <w:bCs/>
                <w:color w:val="auto"/>
                <w:kern w:val="2"/>
                <w:sz w:val="21"/>
                <w:szCs w:val="21"/>
                <w:highlight w:val="none"/>
                <w:lang w:val="zh-CN" w:eastAsia="zh-CN" w:bidi="ar-SA"/>
              </w:rPr>
              <w:t>酸雾废气产排情况一览表（</w:t>
            </w:r>
            <w:r>
              <w:rPr>
                <w:rFonts w:hint="default" w:ascii="Times New Roman" w:hAnsi="Times New Roman" w:eastAsia="宋体" w:cs="Times New Roman"/>
                <w:b/>
                <w:bCs/>
                <w:color w:val="auto"/>
                <w:kern w:val="2"/>
                <w:sz w:val="21"/>
                <w:szCs w:val="21"/>
                <w:highlight w:val="none"/>
                <w:lang w:val="en-US" w:eastAsia="zh-CN" w:bidi="ar-SA"/>
              </w:rPr>
              <w:t>G1排气筒</w:t>
            </w:r>
            <w:r>
              <w:rPr>
                <w:rFonts w:hint="default" w:ascii="Times New Roman" w:hAnsi="Times New Roman" w:eastAsia="宋体" w:cs="Times New Roman"/>
                <w:b/>
                <w:bCs/>
                <w:color w:val="auto"/>
                <w:kern w:val="2"/>
                <w:sz w:val="21"/>
                <w:szCs w:val="21"/>
                <w:highlight w:val="none"/>
                <w:lang w:val="zh-CN" w:eastAsia="zh-CN" w:bidi="ar-SA"/>
              </w:rPr>
              <w:t>）</w:t>
            </w:r>
          </w:p>
          <w:tbl>
            <w:tblPr>
              <w:tblStyle w:val="33"/>
              <w:tblW w:w="80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22"/>
              <w:gridCol w:w="2283"/>
              <w:gridCol w:w="1423"/>
              <w:gridCol w:w="1367"/>
              <w:gridCol w:w="1824"/>
            </w:tblGrid>
            <w:tr w14:paraId="665220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23" w:type="pct"/>
                  <w:gridSpan w:val="2"/>
                  <w:noWrap w:val="0"/>
                  <w:vAlign w:val="center"/>
                </w:tcPr>
                <w:p w14:paraId="1B34A247">
                  <w:pPr>
                    <w:widowControl/>
                    <w:jc w:val="center"/>
                    <w:textAlignment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污染物</w:t>
                  </w:r>
                </w:p>
              </w:tc>
              <w:tc>
                <w:tcPr>
                  <w:tcW w:w="887" w:type="pct"/>
                  <w:noWrap w:val="0"/>
                  <w:vAlign w:val="center"/>
                </w:tcPr>
                <w:p w14:paraId="32BF277D">
                  <w:pPr>
                    <w:widowControl/>
                    <w:jc w:val="center"/>
                    <w:textAlignment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kern w:val="0"/>
                      <w:szCs w:val="21"/>
                      <w:highlight w:val="none"/>
                      <w:lang w:bidi="ar"/>
                    </w:rPr>
                    <w:t>硫酸雾</w:t>
                  </w:r>
                </w:p>
              </w:tc>
              <w:tc>
                <w:tcPr>
                  <w:tcW w:w="852" w:type="pct"/>
                  <w:noWrap w:val="0"/>
                  <w:vAlign w:val="center"/>
                </w:tcPr>
                <w:p w14:paraId="69EB2BF6">
                  <w:pPr>
                    <w:widowControl/>
                    <w:jc w:val="center"/>
                    <w:textAlignment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kern w:val="0"/>
                      <w:szCs w:val="21"/>
                      <w:highlight w:val="none"/>
                      <w:lang w:bidi="ar"/>
                    </w:rPr>
                    <w:t>氯化氢</w:t>
                  </w:r>
                </w:p>
              </w:tc>
              <w:tc>
                <w:tcPr>
                  <w:tcW w:w="1137" w:type="pct"/>
                  <w:noWrap w:val="0"/>
                  <w:vAlign w:val="center"/>
                </w:tcPr>
                <w:p w14:paraId="42B6DE67">
                  <w:pPr>
                    <w:widowControl/>
                    <w:jc w:val="center"/>
                    <w:textAlignment w:val="center"/>
                    <w:rPr>
                      <w:rFonts w:hint="default" w:ascii="Times New Roman" w:hAnsi="Times New Roman" w:eastAsia="宋体" w:cs="Times New Roman"/>
                      <w:b/>
                      <w:bCs/>
                      <w:color w:val="auto"/>
                      <w:kern w:val="0"/>
                      <w:szCs w:val="21"/>
                      <w:highlight w:val="none"/>
                      <w:lang w:val="en-US" w:eastAsia="zh-CN" w:bidi="ar"/>
                    </w:rPr>
                  </w:pPr>
                  <w:r>
                    <w:rPr>
                      <w:rFonts w:hint="default" w:ascii="Times New Roman" w:hAnsi="Times New Roman" w:cs="Times New Roman"/>
                      <w:b/>
                      <w:bCs/>
                      <w:color w:val="auto"/>
                      <w:kern w:val="0"/>
                      <w:szCs w:val="21"/>
                      <w:highlight w:val="none"/>
                      <w:lang w:bidi="ar"/>
                    </w:rPr>
                    <w:t>氮氧化物</w:t>
                  </w:r>
                </w:p>
              </w:tc>
            </w:tr>
            <w:tr w14:paraId="7BCB32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23" w:type="pct"/>
                  <w:gridSpan w:val="2"/>
                  <w:noWrap w:val="0"/>
                  <w:vAlign w:val="center"/>
                </w:tcPr>
                <w:p w14:paraId="137FF14E">
                  <w:pPr>
                    <w:jc w:val="center"/>
                    <w:rPr>
                      <w:rFonts w:hint="default" w:ascii="Times New Roman" w:hAnsi="Times New Roman" w:cs="Times New Roman"/>
                      <w:color w:val="auto"/>
                      <w:szCs w:val="21"/>
                      <w:highlight w:val="none"/>
                    </w:rPr>
                  </w:pPr>
                  <w:r>
                    <w:rPr>
                      <w:rFonts w:hint="default" w:ascii="Times New Roman" w:hAnsi="Times New Roman" w:cs="Times New Roman"/>
                      <w:bCs/>
                      <w:color w:val="auto"/>
                      <w:szCs w:val="21"/>
                      <w:highlight w:val="none"/>
                    </w:rPr>
                    <w:t>收集率</w:t>
                  </w:r>
                </w:p>
              </w:tc>
              <w:tc>
                <w:tcPr>
                  <w:tcW w:w="887" w:type="pct"/>
                  <w:noWrap w:val="0"/>
                  <w:vAlign w:val="center"/>
                </w:tcPr>
                <w:p w14:paraId="27E4D9E3">
                  <w:pPr>
                    <w:widowControl/>
                    <w:jc w:val="center"/>
                    <w:textAlignment w:val="center"/>
                    <w:rPr>
                      <w:rFonts w:hint="default" w:ascii="Times New Roman" w:hAnsi="Times New Roman" w:cs="Times New Roman"/>
                      <w:color w:val="auto"/>
                      <w:szCs w:val="21"/>
                      <w:highlight w:val="none"/>
                    </w:rPr>
                  </w:pPr>
                  <w:r>
                    <w:rPr>
                      <w:rFonts w:hint="eastAsia" w:cs="Times New Roman"/>
                      <w:color w:val="auto"/>
                      <w:kern w:val="0"/>
                      <w:szCs w:val="21"/>
                      <w:highlight w:val="none"/>
                      <w:lang w:val="en-US" w:eastAsia="zh-CN" w:bidi="ar"/>
                    </w:rPr>
                    <w:t>65</w:t>
                  </w:r>
                  <w:r>
                    <w:rPr>
                      <w:rFonts w:hint="default" w:ascii="Times New Roman" w:hAnsi="Times New Roman" w:cs="Times New Roman"/>
                      <w:color w:val="auto"/>
                      <w:kern w:val="0"/>
                      <w:szCs w:val="21"/>
                      <w:highlight w:val="none"/>
                      <w:lang w:bidi="ar"/>
                    </w:rPr>
                    <w:t>%</w:t>
                  </w:r>
                </w:p>
              </w:tc>
              <w:tc>
                <w:tcPr>
                  <w:tcW w:w="852" w:type="pct"/>
                  <w:noWrap w:val="0"/>
                  <w:vAlign w:val="center"/>
                </w:tcPr>
                <w:p w14:paraId="04D68398">
                  <w:pPr>
                    <w:widowControl/>
                    <w:jc w:val="center"/>
                    <w:textAlignment w:val="center"/>
                    <w:rPr>
                      <w:rFonts w:hint="default" w:ascii="Times New Roman" w:hAnsi="Times New Roman" w:cs="Times New Roman"/>
                      <w:color w:val="auto"/>
                      <w:szCs w:val="21"/>
                      <w:highlight w:val="none"/>
                    </w:rPr>
                  </w:pPr>
                  <w:r>
                    <w:rPr>
                      <w:rFonts w:hint="eastAsia" w:cs="Times New Roman"/>
                      <w:color w:val="auto"/>
                      <w:kern w:val="0"/>
                      <w:szCs w:val="21"/>
                      <w:highlight w:val="none"/>
                      <w:lang w:val="en-US" w:eastAsia="zh-CN" w:bidi="ar"/>
                    </w:rPr>
                    <w:t>65</w:t>
                  </w:r>
                  <w:r>
                    <w:rPr>
                      <w:rFonts w:hint="default" w:ascii="Times New Roman" w:hAnsi="Times New Roman" w:cs="Times New Roman"/>
                      <w:color w:val="auto"/>
                      <w:kern w:val="0"/>
                      <w:szCs w:val="21"/>
                      <w:highlight w:val="none"/>
                      <w:lang w:bidi="ar"/>
                    </w:rPr>
                    <w:t>%</w:t>
                  </w:r>
                </w:p>
              </w:tc>
              <w:tc>
                <w:tcPr>
                  <w:tcW w:w="1137" w:type="pct"/>
                  <w:noWrap w:val="0"/>
                  <w:vAlign w:val="center"/>
                </w:tcPr>
                <w:p w14:paraId="1B01487A">
                  <w:pPr>
                    <w:widowControl/>
                    <w:jc w:val="center"/>
                    <w:textAlignment w:val="center"/>
                    <w:rPr>
                      <w:rFonts w:hint="default" w:ascii="Times New Roman" w:hAnsi="Times New Roman" w:cs="Times New Roman"/>
                      <w:color w:val="auto"/>
                      <w:kern w:val="0"/>
                      <w:szCs w:val="21"/>
                      <w:highlight w:val="none"/>
                      <w:lang w:bidi="ar"/>
                    </w:rPr>
                  </w:pPr>
                  <w:r>
                    <w:rPr>
                      <w:rFonts w:hint="eastAsia" w:cs="Times New Roman"/>
                      <w:color w:val="auto"/>
                      <w:kern w:val="0"/>
                      <w:szCs w:val="21"/>
                      <w:highlight w:val="none"/>
                      <w:lang w:val="en-US" w:eastAsia="zh-CN" w:bidi="ar"/>
                    </w:rPr>
                    <w:t>65</w:t>
                  </w:r>
                  <w:r>
                    <w:rPr>
                      <w:rFonts w:hint="default" w:ascii="Times New Roman" w:hAnsi="Times New Roman" w:cs="Times New Roman"/>
                      <w:color w:val="auto"/>
                      <w:kern w:val="0"/>
                      <w:szCs w:val="21"/>
                      <w:highlight w:val="none"/>
                      <w:lang w:bidi="ar"/>
                    </w:rPr>
                    <w:t>%</w:t>
                  </w:r>
                </w:p>
              </w:tc>
            </w:tr>
            <w:tr w14:paraId="34A435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23" w:type="pct"/>
                  <w:gridSpan w:val="2"/>
                  <w:noWrap w:val="0"/>
                  <w:vAlign w:val="center"/>
                </w:tcPr>
                <w:p w14:paraId="549A11D3">
                  <w:pPr>
                    <w:jc w:val="center"/>
                    <w:rPr>
                      <w:rFonts w:hint="default" w:ascii="Times New Roman" w:hAnsi="Times New Roman" w:cs="Times New Roman"/>
                      <w:color w:val="auto"/>
                      <w:szCs w:val="21"/>
                      <w:highlight w:val="none"/>
                    </w:rPr>
                  </w:pPr>
                  <w:r>
                    <w:rPr>
                      <w:rFonts w:hint="default" w:ascii="Times New Roman" w:hAnsi="Times New Roman" w:cs="Times New Roman"/>
                      <w:bCs/>
                      <w:color w:val="auto"/>
                      <w:szCs w:val="21"/>
                      <w:highlight w:val="none"/>
                    </w:rPr>
                    <w:t>去除率</w:t>
                  </w:r>
                </w:p>
              </w:tc>
              <w:tc>
                <w:tcPr>
                  <w:tcW w:w="887" w:type="pct"/>
                  <w:noWrap w:val="0"/>
                  <w:vAlign w:val="center"/>
                </w:tcPr>
                <w:p w14:paraId="0CFF4079">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70%</w:t>
                  </w:r>
                </w:p>
              </w:tc>
              <w:tc>
                <w:tcPr>
                  <w:tcW w:w="852" w:type="pct"/>
                  <w:noWrap w:val="0"/>
                  <w:vAlign w:val="center"/>
                </w:tcPr>
                <w:p w14:paraId="3FE6C494">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70%</w:t>
                  </w:r>
                </w:p>
              </w:tc>
              <w:tc>
                <w:tcPr>
                  <w:tcW w:w="1137" w:type="pct"/>
                  <w:noWrap w:val="0"/>
                  <w:vAlign w:val="center"/>
                </w:tcPr>
                <w:p w14:paraId="592DAEEC">
                  <w:pPr>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3</w:t>
                  </w:r>
                  <w:r>
                    <w:rPr>
                      <w:rFonts w:hint="default" w:ascii="Times New Roman" w:hAnsi="Times New Roman" w:cs="Times New Roman"/>
                      <w:color w:val="auto"/>
                      <w:szCs w:val="21"/>
                      <w:highlight w:val="none"/>
                    </w:rPr>
                    <w:t>0%</w:t>
                  </w:r>
                </w:p>
              </w:tc>
            </w:tr>
            <w:tr w14:paraId="634BB9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23" w:type="pct"/>
                  <w:gridSpan w:val="2"/>
                  <w:noWrap w:val="0"/>
                  <w:vAlign w:val="center"/>
                </w:tcPr>
                <w:p w14:paraId="566AFE5A">
                  <w:pPr>
                    <w:widowControl/>
                    <w:jc w:val="center"/>
                    <w:textAlignment w:val="center"/>
                    <w:rPr>
                      <w:rFonts w:hint="default" w:ascii="Times New Roman" w:hAnsi="Times New Roman" w:cs="Times New Roman"/>
                      <w:bCs/>
                      <w:color w:val="auto"/>
                      <w:szCs w:val="21"/>
                      <w:highlight w:val="none"/>
                    </w:rPr>
                  </w:pPr>
                  <w:r>
                    <w:rPr>
                      <w:rFonts w:hint="default" w:ascii="Times New Roman" w:hAnsi="Times New Roman" w:cs="Times New Roman"/>
                      <w:color w:val="auto"/>
                      <w:kern w:val="0"/>
                      <w:szCs w:val="21"/>
                      <w:highlight w:val="none"/>
                      <w:lang w:bidi="ar"/>
                    </w:rPr>
                    <w:t>总产生量（kg/a）</w:t>
                  </w:r>
                </w:p>
              </w:tc>
              <w:tc>
                <w:tcPr>
                  <w:tcW w:w="887" w:type="pct"/>
                  <w:noWrap w:val="0"/>
                  <w:vAlign w:val="center"/>
                </w:tcPr>
                <w:p w14:paraId="21518009">
                  <w:pPr>
                    <w:keepNext w:val="0"/>
                    <w:keepLines w:val="0"/>
                    <w:widowControl/>
                    <w:suppressLineNumbers w:val="0"/>
                    <w:jc w:val="center"/>
                    <w:textAlignment w:val="center"/>
                    <w:rPr>
                      <w:rFonts w:hint="default" w:ascii="Times New Roman" w:hAnsi="Times New Roman" w:cs="Times New Roman"/>
                      <w:color w:val="auto"/>
                      <w:szCs w:val="21"/>
                      <w:highlight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0.195</w:t>
                  </w:r>
                </w:p>
              </w:tc>
              <w:tc>
                <w:tcPr>
                  <w:tcW w:w="852" w:type="pct"/>
                  <w:noWrap w:val="0"/>
                  <w:vAlign w:val="center"/>
                </w:tcPr>
                <w:p w14:paraId="3F6A94AD">
                  <w:pPr>
                    <w:keepNext w:val="0"/>
                    <w:keepLines w:val="0"/>
                    <w:widowControl/>
                    <w:suppressLineNumbers w:val="0"/>
                    <w:jc w:val="center"/>
                    <w:textAlignment w:val="center"/>
                    <w:rPr>
                      <w:rFonts w:hint="default" w:ascii="Times New Roman" w:hAnsi="Times New Roman" w:cs="Times New Roman"/>
                      <w:color w:val="auto"/>
                      <w:szCs w:val="21"/>
                      <w:highlight w:val="none"/>
                      <w:lang w:val="en-US"/>
                    </w:rPr>
                  </w:pPr>
                  <w:r>
                    <w:rPr>
                      <w:rFonts w:hint="eastAsia" w:cs="Times New Roman"/>
                      <w:i w:val="0"/>
                      <w:iCs w:val="0"/>
                      <w:color w:val="auto"/>
                      <w:kern w:val="0"/>
                      <w:sz w:val="21"/>
                      <w:szCs w:val="21"/>
                      <w:highlight w:val="none"/>
                      <w:u w:val="none"/>
                      <w:lang w:val="en-US" w:eastAsia="zh-CN" w:bidi="ar"/>
                    </w:rPr>
                    <w:t>9.15</w:t>
                  </w:r>
                </w:p>
              </w:tc>
              <w:tc>
                <w:tcPr>
                  <w:tcW w:w="1137" w:type="pct"/>
                  <w:noWrap w:val="0"/>
                  <w:vAlign w:val="center"/>
                </w:tcPr>
                <w:p w14:paraId="1379963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w:t>
                  </w:r>
                  <w:r>
                    <w:rPr>
                      <w:rFonts w:hint="eastAsia" w:cs="Times New Roman"/>
                      <w:i w:val="0"/>
                      <w:iCs w:val="0"/>
                      <w:color w:val="auto"/>
                      <w:kern w:val="0"/>
                      <w:sz w:val="21"/>
                      <w:szCs w:val="21"/>
                      <w:highlight w:val="none"/>
                      <w:u w:val="none"/>
                      <w:lang w:val="en-US" w:eastAsia="zh-CN" w:bidi="ar"/>
                    </w:rPr>
                    <w:t>735</w:t>
                  </w:r>
                </w:p>
              </w:tc>
            </w:tr>
            <w:tr w14:paraId="4939C7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2123" w:type="pct"/>
                  <w:gridSpan w:val="2"/>
                  <w:noWrap w:val="0"/>
                  <w:vAlign w:val="center"/>
                </w:tcPr>
                <w:p w14:paraId="2344F78F">
                  <w:pPr>
                    <w:widowControl/>
                    <w:jc w:val="center"/>
                    <w:textAlignment w:val="center"/>
                    <w:rPr>
                      <w:rFonts w:hint="default" w:ascii="Times New Roman" w:hAnsi="Times New Roman" w:cs="Times New Roman"/>
                      <w:color w:val="auto"/>
                      <w:kern w:val="0"/>
                      <w:szCs w:val="21"/>
                      <w:highlight w:val="none"/>
                      <w:lang w:bidi="ar"/>
                    </w:rPr>
                  </w:pPr>
                  <w:r>
                    <w:rPr>
                      <w:rFonts w:hint="default" w:ascii="Times New Roman" w:hAnsi="Times New Roman" w:cs="Times New Roman"/>
                      <w:color w:val="auto"/>
                      <w:kern w:val="0"/>
                      <w:szCs w:val="21"/>
                      <w:highlight w:val="none"/>
                      <w:lang w:bidi="ar"/>
                    </w:rPr>
                    <w:t>风量（m</w:t>
                  </w:r>
                  <w:r>
                    <w:rPr>
                      <w:rFonts w:hint="default" w:ascii="Times New Roman" w:hAnsi="Times New Roman" w:cs="Times New Roman"/>
                      <w:color w:val="auto"/>
                      <w:kern w:val="0"/>
                      <w:szCs w:val="21"/>
                      <w:highlight w:val="none"/>
                      <w:vertAlign w:val="superscript"/>
                      <w:lang w:bidi="ar"/>
                    </w:rPr>
                    <w:t>3</w:t>
                  </w:r>
                  <w:r>
                    <w:rPr>
                      <w:rFonts w:hint="default" w:ascii="Times New Roman" w:hAnsi="Times New Roman" w:cs="Times New Roman"/>
                      <w:color w:val="auto"/>
                      <w:kern w:val="0"/>
                      <w:szCs w:val="21"/>
                      <w:highlight w:val="none"/>
                      <w:lang w:bidi="ar"/>
                    </w:rPr>
                    <w:t>/h）</w:t>
                  </w:r>
                </w:p>
              </w:tc>
              <w:tc>
                <w:tcPr>
                  <w:tcW w:w="2876" w:type="pct"/>
                  <w:gridSpan w:val="3"/>
                  <w:noWrap w:val="0"/>
                  <w:vAlign w:val="center"/>
                </w:tcPr>
                <w:p w14:paraId="3B3B0691">
                  <w:pPr>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1</w:t>
                  </w:r>
                  <w:r>
                    <w:rPr>
                      <w:rFonts w:hint="eastAsia" w:cs="Times New Roman"/>
                      <w:bCs/>
                      <w:color w:val="auto"/>
                      <w:szCs w:val="21"/>
                      <w:highlight w:val="none"/>
                      <w:lang w:val="en-US" w:eastAsia="zh-CN"/>
                    </w:rPr>
                    <w:t>4</w:t>
                  </w:r>
                  <w:r>
                    <w:rPr>
                      <w:rFonts w:hint="default" w:ascii="Times New Roman" w:hAnsi="Times New Roman" w:cs="Times New Roman"/>
                      <w:bCs/>
                      <w:color w:val="auto"/>
                      <w:szCs w:val="21"/>
                      <w:highlight w:val="none"/>
                    </w:rPr>
                    <w:t>000</w:t>
                  </w:r>
                </w:p>
              </w:tc>
            </w:tr>
            <w:tr w14:paraId="0CDB54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2123" w:type="pct"/>
                  <w:gridSpan w:val="2"/>
                  <w:noWrap w:val="0"/>
                  <w:vAlign w:val="center"/>
                </w:tcPr>
                <w:p w14:paraId="0571A635">
                  <w:pPr>
                    <w:jc w:val="center"/>
                    <w:rPr>
                      <w:rFonts w:hint="default" w:ascii="Times New Roman" w:hAnsi="Times New Roman" w:cs="Times New Roman"/>
                      <w:color w:val="auto"/>
                      <w:kern w:val="0"/>
                      <w:szCs w:val="21"/>
                      <w:highlight w:val="none"/>
                      <w:lang w:bidi="ar"/>
                    </w:rPr>
                  </w:pPr>
                  <w:r>
                    <w:rPr>
                      <w:rFonts w:hint="default" w:ascii="Times New Roman" w:hAnsi="Times New Roman" w:cs="Times New Roman"/>
                      <w:bCs/>
                      <w:color w:val="auto"/>
                      <w:szCs w:val="21"/>
                      <w:highlight w:val="none"/>
                    </w:rPr>
                    <w:t>工作时间（h）</w:t>
                  </w:r>
                </w:p>
              </w:tc>
              <w:tc>
                <w:tcPr>
                  <w:tcW w:w="2876" w:type="pct"/>
                  <w:gridSpan w:val="3"/>
                  <w:noWrap w:val="0"/>
                  <w:vAlign w:val="center"/>
                </w:tcPr>
                <w:p w14:paraId="038F84CA">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w:t>
                  </w:r>
                  <w:r>
                    <w:rPr>
                      <w:rFonts w:hint="default" w:ascii="Times New Roman" w:hAnsi="Times New Roman" w:cs="Times New Roman"/>
                      <w:color w:val="auto"/>
                      <w:szCs w:val="21"/>
                      <w:highlight w:val="none"/>
                      <w:lang w:val="en-US" w:eastAsia="zh-CN"/>
                    </w:rPr>
                    <w:t>40</w:t>
                  </w:r>
                  <w:r>
                    <w:rPr>
                      <w:rFonts w:hint="default" w:ascii="Times New Roman" w:hAnsi="Times New Roman" w:cs="Times New Roman"/>
                      <w:color w:val="auto"/>
                      <w:szCs w:val="21"/>
                      <w:highlight w:val="none"/>
                    </w:rPr>
                    <w:t>0</w:t>
                  </w:r>
                </w:p>
              </w:tc>
            </w:tr>
            <w:tr w14:paraId="582038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0" w:type="pct"/>
                  <w:vMerge w:val="restart"/>
                  <w:noWrap w:val="0"/>
                  <w:vAlign w:val="center"/>
                </w:tcPr>
                <w:p w14:paraId="2BA2F71E">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有组织排放</w:t>
                  </w:r>
                </w:p>
              </w:tc>
              <w:tc>
                <w:tcPr>
                  <w:tcW w:w="1422" w:type="pct"/>
                  <w:noWrap w:val="0"/>
                  <w:vAlign w:val="center"/>
                </w:tcPr>
                <w:p w14:paraId="19FCBA2F">
                  <w:pPr>
                    <w:widowControl/>
                    <w:jc w:val="center"/>
                    <w:textAlignment w:val="center"/>
                    <w:rPr>
                      <w:rFonts w:hint="default" w:ascii="Times New Roman" w:hAnsi="Times New Roman" w:cs="Times New Roman"/>
                      <w:color w:val="auto"/>
                      <w:szCs w:val="21"/>
                      <w:highlight w:val="none"/>
                    </w:rPr>
                  </w:pPr>
                  <w:r>
                    <w:rPr>
                      <w:rFonts w:hint="eastAsia" w:cs="Times New Roman"/>
                      <w:color w:val="auto"/>
                      <w:kern w:val="0"/>
                      <w:szCs w:val="21"/>
                      <w:highlight w:val="none"/>
                      <w:lang w:val="en-US" w:eastAsia="zh-CN" w:bidi="ar"/>
                    </w:rPr>
                    <w:t>收集</w:t>
                  </w:r>
                  <w:r>
                    <w:rPr>
                      <w:rFonts w:hint="default" w:ascii="Times New Roman" w:hAnsi="Times New Roman" w:cs="Times New Roman"/>
                      <w:color w:val="auto"/>
                      <w:kern w:val="0"/>
                      <w:szCs w:val="21"/>
                      <w:highlight w:val="none"/>
                      <w:lang w:bidi="ar"/>
                    </w:rPr>
                    <w:t>量（kg/a）</w:t>
                  </w:r>
                </w:p>
              </w:tc>
              <w:tc>
                <w:tcPr>
                  <w:tcW w:w="1423" w:type="dxa"/>
                  <w:noWrap w:val="0"/>
                  <w:vAlign w:val="center"/>
                </w:tcPr>
                <w:p w14:paraId="65E1D7BC">
                  <w:pPr>
                    <w:keepNext w:val="0"/>
                    <w:keepLines w:val="0"/>
                    <w:widowControl/>
                    <w:suppressLineNumbers w:val="0"/>
                    <w:jc w:val="center"/>
                    <w:textAlignment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0.12675</w:t>
                  </w:r>
                </w:p>
              </w:tc>
              <w:tc>
                <w:tcPr>
                  <w:tcW w:w="1367" w:type="dxa"/>
                  <w:noWrap w:val="0"/>
                  <w:vAlign w:val="center"/>
                </w:tcPr>
                <w:p w14:paraId="4EC06AD6">
                  <w:pPr>
                    <w:keepNext w:val="0"/>
                    <w:keepLines w:val="0"/>
                    <w:widowControl/>
                    <w:suppressLineNumbers w:val="0"/>
                    <w:jc w:val="center"/>
                    <w:textAlignment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5.9475</w:t>
                  </w:r>
                </w:p>
              </w:tc>
              <w:tc>
                <w:tcPr>
                  <w:tcW w:w="1824" w:type="dxa"/>
                  <w:noWrap w:val="0"/>
                  <w:vAlign w:val="center"/>
                </w:tcPr>
                <w:p w14:paraId="072E6E14">
                  <w:pPr>
                    <w:keepNext w:val="0"/>
                    <w:keepLines w:val="0"/>
                    <w:widowControl/>
                    <w:suppressLineNumbers w:val="0"/>
                    <w:jc w:val="center"/>
                    <w:textAlignment w:val="center"/>
                    <w:rPr>
                      <w:rFonts w:hint="default" w:ascii="Times New Roman" w:hAnsi="Times New Roman" w:cs="Times New Roman"/>
                      <w:bCs/>
                      <w:color w:val="auto"/>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0.4778</w:t>
                  </w:r>
                </w:p>
              </w:tc>
            </w:tr>
            <w:tr w14:paraId="1686D3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00" w:type="pct"/>
                  <w:vMerge w:val="continue"/>
                  <w:noWrap w:val="0"/>
                  <w:vAlign w:val="center"/>
                </w:tcPr>
                <w:p w14:paraId="075C2DA3">
                  <w:pPr>
                    <w:jc w:val="center"/>
                    <w:rPr>
                      <w:rFonts w:hint="default" w:ascii="Times New Roman" w:hAnsi="Times New Roman" w:cs="Times New Roman"/>
                      <w:color w:val="auto"/>
                      <w:szCs w:val="21"/>
                      <w:highlight w:val="none"/>
                    </w:rPr>
                  </w:pPr>
                </w:p>
              </w:tc>
              <w:tc>
                <w:tcPr>
                  <w:tcW w:w="1422" w:type="pct"/>
                  <w:noWrap w:val="0"/>
                  <w:vAlign w:val="center"/>
                </w:tcPr>
                <w:p w14:paraId="5643A886">
                  <w:pPr>
                    <w:widowControl/>
                    <w:jc w:val="center"/>
                    <w:textAlignment w:val="center"/>
                    <w:rPr>
                      <w:rFonts w:hint="default" w:ascii="Times New Roman" w:hAnsi="Times New Roman" w:cs="Times New Roman"/>
                      <w:color w:val="auto"/>
                      <w:kern w:val="0"/>
                      <w:szCs w:val="21"/>
                      <w:highlight w:val="none"/>
                      <w:lang w:bidi="ar"/>
                    </w:rPr>
                  </w:pPr>
                  <w:r>
                    <w:rPr>
                      <w:rFonts w:hint="default" w:ascii="Times New Roman" w:hAnsi="Times New Roman" w:cs="Times New Roman"/>
                      <w:color w:val="auto"/>
                      <w:kern w:val="0"/>
                      <w:szCs w:val="21"/>
                      <w:highlight w:val="none"/>
                      <w:lang w:bidi="ar"/>
                    </w:rPr>
                    <w:t>产生速率（kg/h）</w:t>
                  </w:r>
                </w:p>
              </w:tc>
              <w:tc>
                <w:tcPr>
                  <w:tcW w:w="1423" w:type="dxa"/>
                  <w:noWrap w:val="0"/>
                  <w:vAlign w:val="center"/>
                </w:tcPr>
                <w:p w14:paraId="25D53F1F">
                  <w:pPr>
                    <w:keepNext w:val="0"/>
                    <w:keepLines w:val="0"/>
                    <w:widowControl/>
                    <w:suppressLineNumbers w:val="0"/>
                    <w:jc w:val="center"/>
                    <w:textAlignment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0.00005</w:t>
                  </w:r>
                </w:p>
              </w:tc>
              <w:tc>
                <w:tcPr>
                  <w:tcW w:w="1367" w:type="dxa"/>
                  <w:noWrap w:val="0"/>
                  <w:vAlign w:val="center"/>
                </w:tcPr>
                <w:p w14:paraId="755AF1EA">
                  <w:pPr>
                    <w:keepNext w:val="0"/>
                    <w:keepLines w:val="0"/>
                    <w:widowControl/>
                    <w:suppressLineNumbers w:val="0"/>
                    <w:jc w:val="center"/>
                    <w:textAlignment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0.0025</w:t>
                  </w:r>
                </w:p>
              </w:tc>
              <w:tc>
                <w:tcPr>
                  <w:tcW w:w="1824" w:type="dxa"/>
                  <w:noWrap w:val="0"/>
                  <w:vAlign w:val="center"/>
                </w:tcPr>
                <w:p w14:paraId="35BABB56">
                  <w:pPr>
                    <w:keepNext w:val="0"/>
                    <w:keepLines w:val="0"/>
                    <w:widowControl/>
                    <w:suppressLineNumbers w:val="0"/>
                    <w:jc w:val="center"/>
                    <w:textAlignment w:val="center"/>
                    <w:rPr>
                      <w:rFonts w:hint="default" w:ascii="Times New Roman" w:hAnsi="Times New Roman" w:cs="Times New Roman"/>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0.0002</w:t>
                  </w:r>
                </w:p>
              </w:tc>
            </w:tr>
            <w:tr w14:paraId="12B32D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0" w:type="pct"/>
                  <w:vMerge w:val="continue"/>
                  <w:noWrap w:val="0"/>
                  <w:vAlign w:val="center"/>
                </w:tcPr>
                <w:p w14:paraId="07DDE23F">
                  <w:pPr>
                    <w:jc w:val="center"/>
                    <w:rPr>
                      <w:rFonts w:hint="default" w:ascii="Times New Roman" w:hAnsi="Times New Roman" w:cs="Times New Roman"/>
                      <w:color w:val="auto"/>
                      <w:szCs w:val="21"/>
                      <w:highlight w:val="none"/>
                    </w:rPr>
                  </w:pPr>
                </w:p>
              </w:tc>
              <w:tc>
                <w:tcPr>
                  <w:tcW w:w="1422" w:type="pct"/>
                  <w:noWrap w:val="0"/>
                  <w:vAlign w:val="center"/>
                </w:tcPr>
                <w:p w14:paraId="0F5DAA67">
                  <w:pPr>
                    <w:widowControl/>
                    <w:jc w:val="center"/>
                    <w:textAlignment w:val="center"/>
                    <w:rPr>
                      <w:rFonts w:hint="default" w:ascii="Times New Roman" w:hAnsi="Times New Roman" w:cs="Times New Roman"/>
                      <w:color w:val="auto"/>
                      <w:kern w:val="0"/>
                      <w:szCs w:val="21"/>
                      <w:highlight w:val="none"/>
                      <w:lang w:bidi="ar"/>
                    </w:rPr>
                  </w:pPr>
                  <w:r>
                    <w:rPr>
                      <w:rFonts w:hint="default" w:ascii="Times New Roman" w:hAnsi="Times New Roman" w:cs="Times New Roman"/>
                      <w:color w:val="auto"/>
                      <w:kern w:val="0"/>
                      <w:szCs w:val="21"/>
                      <w:highlight w:val="none"/>
                      <w:lang w:bidi="ar"/>
                    </w:rPr>
                    <w:t>产生浓度（mg/m</w:t>
                  </w:r>
                  <w:r>
                    <w:rPr>
                      <w:rFonts w:hint="default" w:ascii="Times New Roman" w:hAnsi="Times New Roman" w:cs="Times New Roman"/>
                      <w:color w:val="auto"/>
                      <w:kern w:val="0"/>
                      <w:szCs w:val="21"/>
                      <w:highlight w:val="none"/>
                      <w:vertAlign w:val="superscript"/>
                      <w:lang w:bidi="ar"/>
                    </w:rPr>
                    <w:t>3</w:t>
                  </w:r>
                  <w:r>
                    <w:rPr>
                      <w:rFonts w:hint="default" w:ascii="Times New Roman" w:hAnsi="Times New Roman" w:cs="Times New Roman"/>
                      <w:color w:val="auto"/>
                      <w:kern w:val="0"/>
                      <w:szCs w:val="21"/>
                      <w:highlight w:val="none"/>
                      <w:lang w:bidi="ar"/>
                    </w:rPr>
                    <w:t>）</w:t>
                  </w:r>
                </w:p>
              </w:tc>
              <w:tc>
                <w:tcPr>
                  <w:tcW w:w="1423" w:type="dxa"/>
                  <w:noWrap w:val="0"/>
                  <w:vAlign w:val="center"/>
                </w:tcPr>
                <w:p w14:paraId="7FE98756">
                  <w:pPr>
                    <w:keepNext w:val="0"/>
                    <w:keepLines w:val="0"/>
                    <w:widowControl/>
                    <w:suppressLineNumbers w:val="0"/>
                    <w:jc w:val="center"/>
                    <w:textAlignment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0.0036</w:t>
                  </w:r>
                </w:p>
              </w:tc>
              <w:tc>
                <w:tcPr>
                  <w:tcW w:w="1367" w:type="dxa"/>
                  <w:noWrap w:val="0"/>
                  <w:vAlign w:val="center"/>
                </w:tcPr>
                <w:p w14:paraId="09D8FB2B">
                  <w:pPr>
                    <w:keepNext w:val="0"/>
                    <w:keepLines w:val="0"/>
                    <w:widowControl/>
                    <w:suppressLineNumbers w:val="0"/>
                    <w:jc w:val="center"/>
                    <w:textAlignment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0.179</w:t>
                  </w:r>
                </w:p>
              </w:tc>
              <w:tc>
                <w:tcPr>
                  <w:tcW w:w="1824" w:type="dxa"/>
                  <w:noWrap w:val="0"/>
                  <w:vAlign w:val="center"/>
                </w:tcPr>
                <w:p w14:paraId="733C8F4F">
                  <w:pPr>
                    <w:keepNext w:val="0"/>
                    <w:keepLines w:val="0"/>
                    <w:widowControl/>
                    <w:suppressLineNumbers w:val="0"/>
                    <w:jc w:val="center"/>
                    <w:textAlignment w:val="center"/>
                    <w:rPr>
                      <w:rFonts w:hint="default" w:ascii="Times New Roman" w:hAnsi="Times New Roman" w:cs="Times New Roman"/>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0.014</w:t>
                  </w:r>
                </w:p>
              </w:tc>
            </w:tr>
            <w:tr w14:paraId="0B6852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0" w:type="pct"/>
                  <w:vMerge w:val="continue"/>
                  <w:noWrap w:val="0"/>
                  <w:vAlign w:val="center"/>
                </w:tcPr>
                <w:p w14:paraId="17B7447E">
                  <w:pPr>
                    <w:jc w:val="center"/>
                    <w:rPr>
                      <w:rFonts w:hint="default" w:ascii="Times New Roman" w:hAnsi="Times New Roman" w:cs="Times New Roman"/>
                      <w:color w:val="auto"/>
                      <w:szCs w:val="21"/>
                      <w:highlight w:val="none"/>
                    </w:rPr>
                  </w:pPr>
                </w:p>
              </w:tc>
              <w:tc>
                <w:tcPr>
                  <w:tcW w:w="1422" w:type="pct"/>
                  <w:noWrap w:val="0"/>
                  <w:vAlign w:val="center"/>
                </w:tcPr>
                <w:p w14:paraId="44C77069">
                  <w:pPr>
                    <w:widowControl/>
                    <w:jc w:val="center"/>
                    <w:textAlignment w:val="center"/>
                    <w:rPr>
                      <w:rFonts w:hint="default" w:ascii="Times New Roman" w:hAnsi="Times New Roman" w:cs="Times New Roman"/>
                      <w:color w:val="auto"/>
                      <w:kern w:val="0"/>
                      <w:szCs w:val="21"/>
                      <w:highlight w:val="none"/>
                      <w:lang w:bidi="ar"/>
                    </w:rPr>
                  </w:pPr>
                  <w:r>
                    <w:rPr>
                      <w:rFonts w:hint="default" w:ascii="Times New Roman" w:hAnsi="Times New Roman" w:cs="Times New Roman"/>
                      <w:color w:val="auto"/>
                      <w:kern w:val="0"/>
                      <w:szCs w:val="21"/>
                      <w:highlight w:val="none"/>
                      <w:lang w:bidi="ar"/>
                    </w:rPr>
                    <w:t>排放量（kg/a）</w:t>
                  </w:r>
                </w:p>
              </w:tc>
              <w:tc>
                <w:tcPr>
                  <w:tcW w:w="1423" w:type="dxa"/>
                  <w:noWrap w:val="0"/>
                  <w:vAlign w:val="center"/>
                </w:tcPr>
                <w:p w14:paraId="1D2AE8B7">
                  <w:pPr>
                    <w:keepNext w:val="0"/>
                    <w:keepLines w:val="0"/>
                    <w:widowControl/>
                    <w:suppressLineNumbers w:val="0"/>
                    <w:jc w:val="center"/>
                    <w:textAlignment w:val="center"/>
                    <w:rPr>
                      <w:rFonts w:hint="default" w:ascii="Times New Roman" w:hAnsi="Times New Roman" w:cs="Times New Roman"/>
                      <w:color w:val="auto"/>
                      <w:szCs w:val="21"/>
                      <w:highlight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0.03803</w:t>
                  </w:r>
                </w:p>
              </w:tc>
              <w:tc>
                <w:tcPr>
                  <w:tcW w:w="1367" w:type="dxa"/>
                  <w:noWrap w:val="0"/>
                  <w:vAlign w:val="center"/>
                </w:tcPr>
                <w:p w14:paraId="24F3DEFB">
                  <w:pPr>
                    <w:keepNext w:val="0"/>
                    <w:keepLines w:val="0"/>
                    <w:widowControl/>
                    <w:suppressLineNumbers w:val="0"/>
                    <w:jc w:val="center"/>
                    <w:textAlignment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1.78425</w:t>
                  </w:r>
                </w:p>
              </w:tc>
              <w:tc>
                <w:tcPr>
                  <w:tcW w:w="1824" w:type="dxa"/>
                  <w:noWrap w:val="0"/>
                  <w:vAlign w:val="center"/>
                </w:tcPr>
                <w:p w14:paraId="11D6C3CF">
                  <w:pPr>
                    <w:keepNext w:val="0"/>
                    <w:keepLines w:val="0"/>
                    <w:widowControl/>
                    <w:suppressLineNumbers w:val="0"/>
                    <w:jc w:val="center"/>
                    <w:textAlignment w:val="center"/>
                    <w:rPr>
                      <w:rFonts w:hint="default" w:ascii="Times New Roman" w:hAnsi="Times New Roman" w:cs="Times New Roman"/>
                      <w:color w:val="auto"/>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0.3345</w:t>
                  </w:r>
                </w:p>
              </w:tc>
            </w:tr>
            <w:tr w14:paraId="3255B5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0" w:type="pct"/>
                  <w:vMerge w:val="continue"/>
                  <w:noWrap w:val="0"/>
                  <w:vAlign w:val="center"/>
                </w:tcPr>
                <w:p w14:paraId="65CEACBA">
                  <w:pPr>
                    <w:jc w:val="center"/>
                    <w:rPr>
                      <w:rFonts w:hint="default" w:ascii="Times New Roman" w:hAnsi="Times New Roman" w:cs="Times New Roman"/>
                      <w:color w:val="auto"/>
                      <w:szCs w:val="21"/>
                      <w:highlight w:val="none"/>
                    </w:rPr>
                  </w:pPr>
                </w:p>
              </w:tc>
              <w:tc>
                <w:tcPr>
                  <w:tcW w:w="1422" w:type="pct"/>
                  <w:noWrap w:val="0"/>
                  <w:vAlign w:val="center"/>
                </w:tcPr>
                <w:p w14:paraId="60AEF136">
                  <w:pPr>
                    <w:widowControl/>
                    <w:jc w:val="center"/>
                    <w:textAlignment w:val="center"/>
                    <w:rPr>
                      <w:rFonts w:hint="default" w:ascii="Times New Roman" w:hAnsi="Times New Roman" w:cs="Times New Roman"/>
                      <w:color w:val="auto"/>
                      <w:kern w:val="0"/>
                      <w:szCs w:val="21"/>
                      <w:highlight w:val="none"/>
                      <w:lang w:bidi="ar"/>
                    </w:rPr>
                  </w:pPr>
                  <w:r>
                    <w:rPr>
                      <w:rFonts w:hint="default" w:ascii="Times New Roman" w:hAnsi="Times New Roman" w:cs="Times New Roman"/>
                      <w:color w:val="auto"/>
                      <w:kern w:val="0"/>
                      <w:szCs w:val="21"/>
                      <w:highlight w:val="none"/>
                      <w:lang w:bidi="ar"/>
                    </w:rPr>
                    <w:t>排放速率（kg/h）</w:t>
                  </w:r>
                </w:p>
              </w:tc>
              <w:tc>
                <w:tcPr>
                  <w:tcW w:w="1423" w:type="dxa"/>
                  <w:noWrap w:val="0"/>
                  <w:vAlign w:val="center"/>
                </w:tcPr>
                <w:p w14:paraId="74CC53F8">
                  <w:pPr>
                    <w:keepNext w:val="0"/>
                    <w:keepLines w:val="0"/>
                    <w:widowControl/>
                    <w:suppressLineNumbers w:val="0"/>
                    <w:jc w:val="center"/>
                    <w:textAlignment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0.00002</w:t>
                  </w:r>
                </w:p>
              </w:tc>
              <w:tc>
                <w:tcPr>
                  <w:tcW w:w="1367" w:type="dxa"/>
                  <w:noWrap w:val="0"/>
                  <w:vAlign w:val="center"/>
                </w:tcPr>
                <w:p w14:paraId="7EC19A85">
                  <w:pPr>
                    <w:keepNext w:val="0"/>
                    <w:keepLines w:val="0"/>
                    <w:widowControl/>
                    <w:suppressLineNumbers w:val="0"/>
                    <w:jc w:val="center"/>
                    <w:textAlignment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0.0007</w:t>
                  </w:r>
                </w:p>
              </w:tc>
              <w:tc>
                <w:tcPr>
                  <w:tcW w:w="1824" w:type="dxa"/>
                  <w:noWrap w:val="0"/>
                  <w:vAlign w:val="center"/>
                </w:tcPr>
                <w:p w14:paraId="08CF817B">
                  <w:pPr>
                    <w:keepNext w:val="0"/>
                    <w:keepLines w:val="0"/>
                    <w:widowControl/>
                    <w:suppressLineNumbers w:val="0"/>
                    <w:jc w:val="center"/>
                    <w:textAlignment w:val="center"/>
                    <w:rPr>
                      <w:rFonts w:hint="default" w:ascii="Times New Roman" w:hAnsi="Times New Roman" w:cs="Times New Roman"/>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0.00014</w:t>
                  </w:r>
                </w:p>
              </w:tc>
            </w:tr>
            <w:tr w14:paraId="6EE936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0" w:type="pct"/>
                  <w:vMerge w:val="continue"/>
                  <w:noWrap w:val="0"/>
                  <w:vAlign w:val="center"/>
                </w:tcPr>
                <w:p w14:paraId="3C772114">
                  <w:pPr>
                    <w:jc w:val="center"/>
                    <w:rPr>
                      <w:rFonts w:hint="default" w:ascii="Times New Roman" w:hAnsi="Times New Roman" w:cs="Times New Roman"/>
                      <w:color w:val="auto"/>
                      <w:szCs w:val="21"/>
                      <w:highlight w:val="none"/>
                    </w:rPr>
                  </w:pPr>
                </w:p>
              </w:tc>
              <w:tc>
                <w:tcPr>
                  <w:tcW w:w="1422" w:type="pct"/>
                  <w:noWrap w:val="0"/>
                  <w:vAlign w:val="center"/>
                </w:tcPr>
                <w:p w14:paraId="5AF1334E">
                  <w:pPr>
                    <w:widowControl/>
                    <w:jc w:val="center"/>
                    <w:textAlignment w:val="center"/>
                    <w:rPr>
                      <w:rFonts w:hint="default" w:ascii="Times New Roman" w:hAnsi="Times New Roman" w:cs="Times New Roman"/>
                      <w:color w:val="auto"/>
                      <w:szCs w:val="21"/>
                      <w:highlight w:val="none"/>
                    </w:rPr>
                  </w:pPr>
                  <w:r>
                    <w:rPr>
                      <w:rFonts w:hint="default" w:ascii="Times New Roman" w:hAnsi="Times New Roman" w:cs="Times New Roman"/>
                      <w:color w:val="auto"/>
                      <w:kern w:val="0"/>
                      <w:szCs w:val="21"/>
                      <w:highlight w:val="none"/>
                      <w:lang w:bidi="ar"/>
                    </w:rPr>
                    <w:t>排放浓度（mg/m</w:t>
                  </w:r>
                  <w:r>
                    <w:rPr>
                      <w:rFonts w:hint="default" w:ascii="Times New Roman" w:hAnsi="Times New Roman" w:cs="Times New Roman"/>
                      <w:color w:val="auto"/>
                      <w:kern w:val="0"/>
                      <w:szCs w:val="21"/>
                      <w:highlight w:val="none"/>
                      <w:vertAlign w:val="superscript"/>
                      <w:lang w:bidi="ar"/>
                    </w:rPr>
                    <w:t>3</w:t>
                  </w:r>
                  <w:r>
                    <w:rPr>
                      <w:rFonts w:hint="default" w:ascii="Times New Roman" w:hAnsi="Times New Roman" w:cs="Times New Roman"/>
                      <w:color w:val="auto"/>
                      <w:kern w:val="0"/>
                      <w:szCs w:val="21"/>
                      <w:highlight w:val="none"/>
                      <w:lang w:bidi="ar"/>
                    </w:rPr>
                    <w:t>）</w:t>
                  </w:r>
                </w:p>
              </w:tc>
              <w:tc>
                <w:tcPr>
                  <w:tcW w:w="1423" w:type="dxa"/>
                  <w:noWrap w:val="0"/>
                  <w:vAlign w:val="center"/>
                </w:tcPr>
                <w:p w14:paraId="01DD7CB8">
                  <w:pPr>
                    <w:keepNext w:val="0"/>
                    <w:keepLines w:val="0"/>
                    <w:widowControl/>
                    <w:suppressLineNumbers w:val="0"/>
                    <w:jc w:val="center"/>
                    <w:textAlignment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0.00143</w:t>
                  </w:r>
                </w:p>
              </w:tc>
              <w:tc>
                <w:tcPr>
                  <w:tcW w:w="1367" w:type="dxa"/>
                  <w:noWrap w:val="0"/>
                  <w:vAlign w:val="center"/>
                </w:tcPr>
                <w:p w14:paraId="13B15837">
                  <w:pPr>
                    <w:keepNext w:val="0"/>
                    <w:keepLines w:val="0"/>
                    <w:widowControl/>
                    <w:suppressLineNumbers w:val="0"/>
                    <w:jc w:val="center"/>
                    <w:textAlignment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0.05</w:t>
                  </w:r>
                </w:p>
              </w:tc>
              <w:tc>
                <w:tcPr>
                  <w:tcW w:w="1824" w:type="dxa"/>
                  <w:noWrap w:val="0"/>
                  <w:vAlign w:val="center"/>
                </w:tcPr>
                <w:p w14:paraId="0462E0B0">
                  <w:pPr>
                    <w:keepNext w:val="0"/>
                    <w:keepLines w:val="0"/>
                    <w:widowControl/>
                    <w:suppressLineNumbers w:val="0"/>
                    <w:jc w:val="center"/>
                    <w:textAlignment w:val="center"/>
                    <w:rPr>
                      <w:rFonts w:hint="default" w:ascii="Times New Roman" w:hAnsi="Times New Roman" w:cs="Times New Roman"/>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0.01</w:t>
                  </w:r>
                </w:p>
              </w:tc>
            </w:tr>
            <w:tr w14:paraId="54CABD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0" w:type="pct"/>
                  <w:vMerge w:val="restart"/>
                  <w:noWrap w:val="0"/>
                  <w:vAlign w:val="center"/>
                </w:tcPr>
                <w:p w14:paraId="01C37943">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无组织排放</w:t>
                  </w:r>
                </w:p>
              </w:tc>
              <w:tc>
                <w:tcPr>
                  <w:tcW w:w="1422" w:type="pct"/>
                  <w:noWrap w:val="0"/>
                  <w:vAlign w:val="center"/>
                </w:tcPr>
                <w:p w14:paraId="363C18CD">
                  <w:pPr>
                    <w:widowControl/>
                    <w:jc w:val="center"/>
                    <w:textAlignment w:val="center"/>
                    <w:rPr>
                      <w:rFonts w:hint="default" w:ascii="Times New Roman" w:hAnsi="Times New Roman" w:cs="Times New Roman"/>
                      <w:color w:val="auto"/>
                      <w:szCs w:val="21"/>
                      <w:highlight w:val="none"/>
                    </w:rPr>
                  </w:pPr>
                  <w:r>
                    <w:rPr>
                      <w:rFonts w:hint="default" w:ascii="Times New Roman" w:hAnsi="Times New Roman" w:cs="Times New Roman"/>
                      <w:color w:val="auto"/>
                      <w:kern w:val="0"/>
                      <w:szCs w:val="21"/>
                      <w:highlight w:val="none"/>
                      <w:lang w:bidi="ar"/>
                    </w:rPr>
                    <w:t>排放量（kg/a）</w:t>
                  </w:r>
                </w:p>
              </w:tc>
              <w:tc>
                <w:tcPr>
                  <w:tcW w:w="1423" w:type="dxa"/>
                  <w:noWrap w:val="0"/>
                  <w:vAlign w:val="center"/>
                </w:tcPr>
                <w:p w14:paraId="34C9FA59">
                  <w:pPr>
                    <w:keepNext w:val="0"/>
                    <w:keepLines w:val="0"/>
                    <w:widowControl/>
                    <w:suppressLineNumbers w:val="0"/>
                    <w:jc w:val="center"/>
                    <w:textAlignment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0.06825</w:t>
                  </w:r>
                </w:p>
              </w:tc>
              <w:tc>
                <w:tcPr>
                  <w:tcW w:w="1367" w:type="dxa"/>
                  <w:noWrap w:val="0"/>
                  <w:vAlign w:val="center"/>
                </w:tcPr>
                <w:p w14:paraId="7B6B850E">
                  <w:pPr>
                    <w:keepNext w:val="0"/>
                    <w:keepLines w:val="0"/>
                    <w:widowControl/>
                    <w:suppressLineNumbers w:val="0"/>
                    <w:jc w:val="center"/>
                    <w:textAlignment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3.2025</w:t>
                  </w:r>
                </w:p>
              </w:tc>
              <w:tc>
                <w:tcPr>
                  <w:tcW w:w="1824" w:type="dxa"/>
                  <w:noWrap w:val="0"/>
                  <w:vAlign w:val="center"/>
                </w:tcPr>
                <w:p w14:paraId="1998D217">
                  <w:pPr>
                    <w:keepNext w:val="0"/>
                    <w:keepLines w:val="0"/>
                    <w:widowControl/>
                    <w:suppressLineNumbers w:val="0"/>
                    <w:jc w:val="center"/>
                    <w:textAlignment w:val="center"/>
                    <w:rPr>
                      <w:rFonts w:hint="default" w:ascii="Times New Roman" w:hAnsi="Times New Roman" w:cs="Times New Roman"/>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0.2572</w:t>
                  </w:r>
                </w:p>
              </w:tc>
            </w:tr>
            <w:tr w14:paraId="2ADA3A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0" w:type="pct"/>
                  <w:vMerge w:val="continue"/>
                  <w:noWrap w:val="0"/>
                  <w:vAlign w:val="center"/>
                </w:tcPr>
                <w:p w14:paraId="6FB7EE42">
                  <w:pPr>
                    <w:jc w:val="center"/>
                    <w:rPr>
                      <w:rFonts w:hint="default" w:ascii="Times New Roman" w:hAnsi="Times New Roman" w:cs="Times New Roman"/>
                      <w:color w:val="auto"/>
                      <w:szCs w:val="21"/>
                      <w:highlight w:val="none"/>
                    </w:rPr>
                  </w:pPr>
                </w:p>
              </w:tc>
              <w:tc>
                <w:tcPr>
                  <w:tcW w:w="1422" w:type="pct"/>
                  <w:noWrap w:val="0"/>
                  <w:vAlign w:val="center"/>
                </w:tcPr>
                <w:p w14:paraId="5D4A8543">
                  <w:pPr>
                    <w:widowControl/>
                    <w:jc w:val="center"/>
                    <w:textAlignment w:val="center"/>
                    <w:rPr>
                      <w:rFonts w:hint="default" w:ascii="Times New Roman" w:hAnsi="Times New Roman" w:cs="Times New Roman"/>
                      <w:color w:val="auto"/>
                      <w:szCs w:val="21"/>
                      <w:highlight w:val="none"/>
                    </w:rPr>
                  </w:pPr>
                  <w:r>
                    <w:rPr>
                      <w:rFonts w:hint="default" w:ascii="Times New Roman" w:hAnsi="Times New Roman" w:cs="Times New Roman"/>
                      <w:color w:val="auto"/>
                      <w:kern w:val="0"/>
                      <w:szCs w:val="21"/>
                      <w:highlight w:val="none"/>
                      <w:lang w:bidi="ar"/>
                    </w:rPr>
                    <w:t>排放速率（kg/h）</w:t>
                  </w:r>
                </w:p>
              </w:tc>
              <w:tc>
                <w:tcPr>
                  <w:tcW w:w="1423" w:type="dxa"/>
                  <w:noWrap w:val="0"/>
                  <w:vAlign w:val="center"/>
                </w:tcPr>
                <w:p w14:paraId="782E188D">
                  <w:pPr>
                    <w:keepNext w:val="0"/>
                    <w:keepLines w:val="0"/>
                    <w:widowControl/>
                    <w:suppressLineNumbers w:val="0"/>
                    <w:jc w:val="center"/>
                    <w:textAlignment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0.00003</w:t>
                  </w:r>
                </w:p>
              </w:tc>
              <w:tc>
                <w:tcPr>
                  <w:tcW w:w="1367" w:type="dxa"/>
                  <w:noWrap w:val="0"/>
                  <w:vAlign w:val="center"/>
                </w:tcPr>
                <w:p w14:paraId="16E8B6EA">
                  <w:pPr>
                    <w:keepNext w:val="0"/>
                    <w:keepLines w:val="0"/>
                    <w:widowControl/>
                    <w:suppressLineNumbers w:val="0"/>
                    <w:jc w:val="center"/>
                    <w:textAlignment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0.00133</w:t>
                  </w:r>
                </w:p>
              </w:tc>
              <w:tc>
                <w:tcPr>
                  <w:tcW w:w="1824" w:type="dxa"/>
                  <w:noWrap w:val="0"/>
                  <w:vAlign w:val="center"/>
                </w:tcPr>
                <w:p w14:paraId="148128EC">
                  <w:pPr>
                    <w:keepNext w:val="0"/>
                    <w:keepLines w:val="0"/>
                    <w:widowControl/>
                    <w:suppressLineNumbers w:val="0"/>
                    <w:jc w:val="center"/>
                    <w:textAlignment w:val="center"/>
                    <w:rPr>
                      <w:rFonts w:hint="default" w:ascii="Times New Roman" w:hAnsi="Times New Roman" w:cs="Times New Roman"/>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0.00011</w:t>
                  </w:r>
                </w:p>
              </w:tc>
            </w:tr>
            <w:tr w14:paraId="371D5D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23" w:type="pct"/>
                  <w:gridSpan w:val="2"/>
                  <w:noWrap w:val="0"/>
                  <w:vAlign w:val="center"/>
                </w:tcPr>
                <w:p w14:paraId="6995A135">
                  <w:pPr>
                    <w:widowControl/>
                    <w:jc w:val="center"/>
                    <w:textAlignment w:val="center"/>
                    <w:rPr>
                      <w:rFonts w:hint="default" w:ascii="Times New Roman" w:hAnsi="Times New Roman" w:cs="Times New Roman"/>
                      <w:color w:val="auto"/>
                      <w:kern w:val="0"/>
                      <w:szCs w:val="21"/>
                      <w:highlight w:val="none"/>
                      <w:lang w:bidi="ar"/>
                    </w:rPr>
                  </w:pPr>
                  <w:r>
                    <w:rPr>
                      <w:rFonts w:hint="default" w:ascii="Times New Roman" w:hAnsi="Times New Roman" w:cs="Times New Roman"/>
                      <w:color w:val="auto"/>
                      <w:szCs w:val="21"/>
                      <w:highlight w:val="none"/>
                    </w:rPr>
                    <w:t>总排放量（</w:t>
                  </w:r>
                  <w:r>
                    <w:rPr>
                      <w:rFonts w:hint="default" w:ascii="Times New Roman" w:hAnsi="Times New Roman" w:cs="Times New Roman"/>
                      <w:color w:val="auto"/>
                      <w:kern w:val="0"/>
                      <w:szCs w:val="21"/>
                      <w:highlight w:val="none"/>
                      <w:lang w:bidi="ar"/>
                    </w:rPr>
                    <w:t>kg/a</w:t>
                  </w:r>
                  <w:r>
                    <w:rPr>
                      <w:rFonts w:hint="default" w:ascii="Times New Roman" w:hAnsi="Times New Roman" w:cs="Times New Roman"/>
                      <w:color w:val="auto"/>
                      <w:szCs w:val="21"/>
                      <w:highlight w:val="none"/>
                    </w:rPr>
                    <w:t>）</w:t>
                  </w:r>
                </w:p>
              </w:tc>
              <w:tc>
                <w:tcPr>
                  <w:tcW w:w="1423" w:type="dxa"/>
                  <w:noWrap w:val="0"/>
                  <w:vAlign w:val="center"/>
                </w:tcPr>
                <w:p w14:paraId="73945D37">
                  <w:pPr>
                    <w:keepNext w:val="0"/>
                    <w:keepLines w:val="0"/>
                    <w:widowControl/>
                    <w:suppressLineNumbers w:val="0"/>
                    <w:jc w:val="center"/>
                    <w:textAlignment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0.1063</w:t>
                  </w:r>
                </w:p>
              </w:tc>
              <w:tc>
                <w:tcPr>
                  <w:tcW w:w="1367" w:type="dxa"/>
                  <w:noWrap w:val="0"/>
                  <w:vAlign w:val="center"/>
                </w:tcPr>
                <w:p w14:paraId="064AB563">
                  <w:pPr>
                    <w:keepNext w:val="0"/>
                    <w:keepLines w:val="0"/>
                    <w:widowControl/>
                    <w:suppressLineNumbers w:val="0"/>
                    <w:jc w:val="center"/>
                    <w:textAlignment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4.98675</w:t>
                  </w:r>
                </w:p>
              </w:tc>
              <w:tc>
                <w:tcPr>
                  <w:tcW w:w="1824" w:type="dxa"/>
                  <w:noWrap w:val="0"/>
                  <w:vAlign w:val="center"/>
                </w:tcPr>
                <w:p w14:paraId="6AC16B4C">
                  <w:pPr>
                    <w:keepNext w:val="0"/>
                    <w:keepLines w:val="0"/>
                    <w:widowControl/>
                    <w:suppressLineNumbers w:val="0"/>
                    <w:jc w:val="center"/>
                    <w:textAlignment w:val="center"/>
                    <w:rPr>
                      <w:rFonts w:hint="default" w:ascii="Times New Roman" w:hAnsi="Times New Roman" w:cs="Times New Roman"/>
                      <w:color w:val="auto"/>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0.5917</w:t>
                  </w:r>
                </w:p>
              </w:tc>
            </w:tr>
          </w:tbl>
          <w:p w14:paraId="1F12B8A8">
            <w:pPr>
              <w:pStyle w:val="42"/>
              <w:ind w:firstLine="315"/>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注：项目碱液喷淋塔处理酸雾废气过程使用碱液为氢氧化钠，可与氮氧化物发生化学反应产生硝酸根、亚硝酸根及水分子，对氮氧化物有一定的治理效率，特此说明。</w:t>
            </w:r>
          </w:p>
          <w:p w14:paraId="1E540C89">
            <w:pPr>
              <w:spacing w:line="360" w:lineRule="auto"/>
              <w:ind w:firstLine="422" w:firstLineChars="200"/>
              <w:rPr>
                <w:rFonts w:hint="default" w:ascii="Times New Roman" w:hAnsi="Times New Roman" w:cs="Times New Roman"/>
                <w:b/>
                <w:bCs/>
                <w:color w:val="auto"/>
                <w:szCs w:val="21"/>
                <w:highlight w:val="none"/>
              </w:rPr>
            </w:pPr>
            <w:r>
              <w:rPr>
                <w:rFonts w:hint="eastAsia" w:ascii="Times New Roman" w:hAnsi="Times New Roman" w:eastAsia="宋体" w:cs="Times New Roman"/>
                <w:b/>
                <w:bCs w:val="0"/>
                <w:color w:val="auto"/>
                <w:kern w:val="0"/>
                <w:sz w:val="21"/>
                <w:szCs w:val="21"/>
                <w:highlight w:val="none"/>
                <w:lang w:val="en-US" w:eastAsia="zh-CN" w:bidi="ar-SA"/>
              </w:rPr>
              <w:t>②</w:t>
            </w:r>
            <w:r>
              <w:rPr>
                <w:rFonts w:hint="default" w:ascii="Times New Roman" w:hAnsi="Times New Roman" w:cs="Times New Roman"/>
                <w:b/>
                <w:bCs w:val="0"/>
                <w:color w:val="auto"/>
                <w:szCs w:val="21"/>
                <w:highlight w:val="none"/>
              </w:rPr>
              <w:t>有</w:t>
            </w:r>
            <w:r>
              <w:rPr>
                <w:rFonts w:hint="default" w:ascii="Times New Roman" w:hAnsi="Times New Roman" w:cs="Times New Roman"/>
                <w:b/>
                <w:bCs/>
                <w:color w:val="auto"/>
                <w:szCs w:val="21"/>
                <w:highlight w:val="none"/>
              </w:rPr>
              <w:t>机废气</w:t>
            </w:r>
          </w:p>
          <w:p w14:paraId="1730EBBE">
            <w:pPr>
              <w:spacing w:line="360" w:lineRule="auto"/>
              <w:ind w:firstLine="420" w:firstLineChars="20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项目样品</w:t>
            </w:r>
            <w:r>
              <w:rPr>
                <w:rFonts w:hint="eastAsia" w:cs="Times New Roman"/>
                <w:color w:val="auto"/>
                <w:szCs w:val="21"/>
                <w:highlight w:val="none"/>
                <w:lang w:val="en-US" w:eastAsia="zh-CN"/>
              </w:rPr>
              <w:t>制备</w:t>
            </w:r>
            <w:r>
              <w:rPr>
                <w:rFonts w:hint="default" w:ascii="Times New Roman" w:hAnsi="Times New Roman" w:cs="Times New Roman"/>
                <w:color w:val="auto"/>
                <w:szCs w:val="21"/>
                <w:highlight w:val="none"/>
                <w:lang w:val="en-US" w:eastAsia="zh-CN"/>
              </w:rPr>
              <w:t>室、有机前处理</w:t>
            </w:r>
            <w:r>
              <w:rPr>
                <w:rFonts w:hint="eastAsia" w:cs="Times New Roman"/>
                <w:color w:val="auto"/>
                <w:szCs w:val="21"/>
                <w:highlight w:val="none"/>
                <w:lang w:val="en-US" w:eastAsia="zh-CN"/>
              </w:rPr>
              <w:t>区</w:t>
            </w:r>
            <w:r>
              <w:rPr>
                <w:rFonts w:hint="default" w:ascii="Times New Roman" w:hAnsi="Times New Roman" w:cs="Times New Roman"/>
                <w:color w:val="auto"/>
                <w:szCs w:val="21"/>
                <w:highlight w:val="none"/>
                <w:lang w:val="en-US" w:eastAsia="zh-CN"/>
              </w:rPr>
              <w:t>、危废</w:t>
            </w:r>
            <w:r>
              <w:rPr>
                <w:rFonts w:hint="eastAsia" w:cs="Times New Roman"/>
                <w:color w:val="auto"/>
                <w:szCs w:val="21"/>
                <w:highlight w:val="none"/>
                <w:lang w:val="en-US" w:eastAsia="zh-CN"/>
              </w:rPr>
              <w:t>间</w:t>
            </w:r>
            <w:r>
              <w:rPr>
                <w:rFonts w:hint="default" w:ascii="Times New Roman" w:hAnsi="Times New Roman" w:cs="Times New Roman"/>
                <w:color w:val="auto"/>
                <w:szCs w:val="21"/>
                <w:highlight w:val="none"/>
                <w:lang w:val="en-US" w:eastAsia="zh-CN"/>
              </w:rPr>
              <w:t>、</w:t>
            </w:r>
            <w:r>
              <w:rPr>
                <w:rFonts w:hint="eastAsia" w:cs="Times New Roman"/>
                <w:color w:val="auto"/>
                <w:szCs w:val="21"/>
                <w:highlight w:val="none"/>
                <w:lang w:val="en-US" w:eastAsia="zh-CN"/>
              </w:rPr>
              <w:t>测油室、</w:t>
            </w:r>
            <w:r>
              <w:rPr>
                <w:rFonts w:hint="default" w:ascii="Times New Roman" w:hAnsi="Times New Roman" w:cs="Times New Roman"/>
                <w:color w:val="auto"/>
                <w:szCs w:val="21"/>
                <w:highlight w:val="none"/>
                <w:lang w:val="en-US" w:eastAsia="zh-CN"/>
              </w:rPr>
              <w:t>仪器室等区域运行过程中会</w:t>
            </w:r>
            <w:r>
              <w:rPr>
                <w:rFonts w:hint="default" w:ascii="Times New Roman" w:hAnsi="Times New Roman" w:cs="Times New Roman"/>
                <w:color w:val="auto"/>
                <w:szCs w:val="21"/>
                <w:highlight w:val="none"/>
              </w:rPr>
              <w:t>产生有机废气（主要污染物为非甲烷总烃</w:t>
            </w:r>
            <w:r>
              <w:rPr>
                <w:rFonts w:hint="eastAsia" w:cs="Times New Roman"/>
                <w:color w:val="auto"/>
                <w:szCs w:val="21"/>
                <w:highlight w:val="none"/>
                <w:lang w:eastAsia="zh-CN"/>
              </w:rPr>
              <w:t>（</w:t>
            </w:r>
            <w:r>
              <w:rPr>
                <w:rFonts w:hint="default" w:ascii="Times New Roman" w:hAnsi="Times New Roman" w:cs="Times New Roman"/>
                <w:color w:val="auto"/>
                <w:szCs w:val="21"/>
                <w:highlight w:val="none"/>
                <w:lang w:val="en-US" w:eastAsia="zh-CN"/>
              </w:rPr>
              <w:t>TVOC</w:t>
            </w:r>
            <w:r>
              <w:rPr>
                <w:rFonts w:hint="eastAsia" w:cs="Times New Roman"/>
                <w:color w:val="auto"/>
                <w:szCs w:val="21"/>
                <w:highlight w:val="none"/>
                <w:lang w:val="en-US" w:eastAsia="zh-CN"/>
              </w:rPr>
              <w:t>）</w:t>
            </w:r>
            <w:r>
              <w:rPr>
                <w:rFonts w:hint="eastAsia" w:ascii="Times New Roman" w:hAnsi="Times New Roman" w:cs="Times New Roman"/>
                <w:color w:val="auto"/>
                <w:szCs w:val="21"/>
                <w:highlight w:val="none"/>
                <w:lang w:val="en-US" w:eastAsia="zh-CN"/>
              </w:rPr>
              <w:t>、</w:t>
            </w:r>
            <w:r>
              <w:rPr>
                <w:rFonts w:hint="default" w:ascii="Times New Roman" w:hAnsi="Times New Roman" w:cs="Times New Roman"/>
                <w:color w:val="auto"/>
                <w:szCs w:val="21"/>
                <w:highlight w:val="none"/>
              </w:rPr>
              <w:t>甲醇、</w:t>
            </w:r>
            <w:r>
              <w:rPr>
                <w:rFonts w:hint="eastAsia" w:cs="Times New Roman"/>
                <w:color w:val="auto"/>
                <w:szCs w:val="21"/>
                <w:highlight w:val="none"/>
                <w:lang w:val="en-US" w:eastAsia="zh-CN"/>
              </w:rPr>
              <w:t>甲苯、</w:t>
            </w:r>
            <w:r>
              <w:rPr>
                <w:rFonts w:hint="eastAsia" w:ascii="Times New Roman" w:hAnsi="Times New Roman" w:cs="Times New Roman"/>
                <w:color w:val="auto"/>
                <w:szCs w:val="21"/>
                <w:highlight w:val="none"/>
                <w:lang w:eastAsia="zh-CN"/>
              </w:rPr>
              <w:t>氨</w:t>
            </w:r>
            <w:r>
              <w:rPr>
                <w:rFonts w:hint="default" w:ascii="Times New Roman" w:hAnsi="Times New Roman" w:cs="Times New Roman"/>
                <w:color w:val="auto"/>
                <w:szCs w:val="21"/>
                <w:highlight w:val="none"/>
              </w:rPr>
              <w:t>及臭气浓度）；</w:t>
            </w:r>
          </w:p>
          <w:p w14:paraId="6B3AE42C">
            <w:pPr>
              <w:pStyle w:val="40"/>
              <w:keepNext w:val="0"/>
              <w:keepLines w:val="0"/>
              <w:pageBreakBefore w:val="0"/>
              <w:widowControl w:val="0"/>
              <w:kinsoku/>
              <w:bidi w:val="0"/>
              <w:snapToGrid/>
              <w:spacing w:line="360" w:lineRule="auto"/>
              <w:ind w:firstLine="420" w:firstLineChars="200"/>
              <w:jc w:val="left"/>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项目样品制备室、有机前处理</w:t>
            </w:r>
            <w:r>
              <w:rPr>
                <w:rFonts w:hint="eastAsia" w:ascii="Times New Roman" w:cs="Times New Roman"/>
                <w:color w:val="auto"/>
                <w:kern w:val="2"/>
                <w:sz w:val="21"/>
                <w:szCs w:val="21"/>
                <w:highlight w:val="none"/>
                <w:lang w:val="en-US" w:eastAsia="zh-CN" w:bidi="ar-SA"/>
              </w:rPr>
              <w:t>区</w:t>
            </w:r>
            <w:r>
              <w:rPr>
                <w:rFonts w:hint="default" w:ascii="Times New Roman" w:hAnsi="Times New Roman" w:eastAsia="宋体" w:cs="Times New Roman"/>
                <w:color w:val="auto"/>
                <w:kern w:val="2"/>
                <w:sz w:val="21"/>
                <w:szCs w:val="21"/>
                <w:highlight w:val="none"/>
                <w:lang w:val="en-US" w:eastAsia="zh-CN" w:bidi="ar-SA"/>
              </w:rPr>
              <w:t>、危废</w:t>
            </w:r>
            <w:r>
              <w:rPr>
                <w:rFonts w:hint="eastAsia" w:ascii="Times New Roman" w:cs="Times New Roman"/>
                <w:color w:val="auto"/>
                <w:kern w:val="2"/>
                <w:sz w:val="21"/>
                <w:szCs w:val="21"/>
                <w:highlight w:val="none"/>
                <w:lang w:val="en-US" w:eastAsia="zh-CN" w:bidi="ar-SA"/>
              </w:rPr>
              <w:t>间</w:t>
            </w:r>
            <w:r>
              <w:rPr>
                <w:rFonts w:hint="default" w:ascii="Times New Roman" w:hAnsi="Times New Roman" w:eastAsia="宋体" w:cs="Times New Roman"/>
                <w:color w:val="auto"/>
                <w:kern w:val="2"/>
                <w:sz w:val="21"/>
                <w:szCs w:val="21"/>
                <w:highlight w:val="none"/>
                <w:lang w:val="en-US" w:eastAsia="zh-CN" w:bidi="ar-SA"/>
              </w:rPr>
              <w:t>、</w:t>
            </w:r>
            <w:r>
              <w:rPr>
                <w:rFonts w:hint="eastAsia" w:ascii="Times New Roman" w:cs="Times New Roman"/>
                <w:color w:val="auto"/>
                <w:kern w:val="2"/>
                <w:sz w:val="21"/>
                <w:szCs w:val="21"/>
                <w:highlight w:val="none"/>
                <w:lang w:val="en-US" w:eastAsia="zh-CN" w:bidi="ar-SA"/>
              </w:rPr>
              <w:t>测油室、</w:t>
            </w:r>
            <w:r>
              <w:rPr>
                <w:rFonts w:hint="default" w:ascii="Times New Roman" w:hAnsi="Times New Roman" w:eastAsia="宋体" w:cs="Times New Roman"/>
                <w:color w:val="auto"/>
                <w:kern w:val="2"/>
                <w:sz w:val="21"/>
                <w:szCs w:val="21"/>
                <w:highlight w:val="none"/>
                <w:lang w:val="en-US" w:eastAsia="zh-CN" w:bidi="ar-SA"/>
              </w:rPr>
              <w:t>仪器室中的有机废气收集后汇入到1套</w:t>
            </w:r>
            <w:r>
              <w:rPr>
                <w:rFonts w:hint="eastAsia" w:ascii="Times New Roman" w:cs="Times New Roman"/>
                <w:color w:val="auto"/>
                <w:kern w:val="2"/>
                <w:sz w:val="21"/>
                <w:szCs w:val="21"/>
                <w:highlight w:val="none"/>
                <w:lang w:val="en-US" w:eastAsia="zh-CN" w:bidi="ar-SA"/>
              </w:rPr>
              <w:t>单级</w:t>
            </w:r>
            <w:r>
              <w:rPr>
                <w:rFonts w:hint="default" w:ascii="Times New Roman" w:hAnsi="Times New Roman" w:eastAsia="宋体" w:cs="Times New Roman"/>
                <w:color w:val="auto"/>
                <w:kern w:val="2"/>
                <w:sz w:val="21"/>
                <w:szCs w:val="21"/>
                <w:highlight w:val="none"/>
                <w:lang w:val="en-US" w:eastAsia="zh-CN" w:bidi="ar-SA"/>
              </w:rPr>
              <w:t>活性炭吸附装置进行处理后经排气筒</w:t>
            </w:r>
            <w:r>
              <w:rPr>
                <w:rFonts w:hint="eastAsia" w:ascii="Times New Roman" w:eastAsia="宋体" w:cs="Times New Roman"/>
                <w:color w:val="auto"/>
                <w:kern w:val="2"/>
                <w:sz w:val="21"/>
                <w:szCs w:val="21"/>
                <w:highlight w:val="none"/>
                <w:lang w:val="en-US" w:eastAsia="zh-CN" w:bidi="ar-SA"/>
              </w:rPr>
              <w:t>有组织</w:t>
            </w:r>
            <w:r>
              <w:rPr>
                <w:rFonts w:hint="default" w:ascii="Times New Roman" w:hAnsi="Times New Roman" w:eastAsia="宋体" w:cs="Times New Roman"/>
                <w:color w:val="auto"/>
                <w:kern w:val="2"/>
                <w:sz w:val="21"/>
                <w:szCs w:val="21"/>
                <w:highlight w:val="none"/>
                <w:lang w:val="en-US" w:eastAsia="zh-CN" w:bidi="ar-SA"/>
              </w:rPr>
              <w:t>排放。</w:t>
            </w:r>
          </w:p>
          <w:p w14:paraId="6731E38F">
            <w:pPr>
              <w:keepNext w:val="0"/>
              <w:keepLines w:val="0"/>
              <w:pageBreakBefore w:val="0"/>
              <w:widowControl w:val="0"/>
              <w:kinsoku/>
              <w:bidi w:val="0"/>
              <w:snapToGrid/>
              <w:spacing w:line="360" w:lineRule="auto"/>
              <w:ind w:firstLine="420" w:firstLineChars="200"/>
              <w:jc w:val="left"/>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其中项目样品制备室及危废</w:t>
            </w:r>
            <w:r>
              <w:rPr>
                <w:rFonts w:hint="eastAsia" w:cs="Times New Roman"/>
                <w:color w:val="auto"/>
                <w:sz w:val="21"/>
                <w:szCs w:val="21"/>
                <w:highlight w:val="none"/>
                <w:lang w:val="en-US" w:eastAsia="zh-CN"/>
              </w:rPr>
              <w:t>间</w:t>
            </w:r>
            <w:r>
              <w:rPr>
                <w:rFonts w:hint="default" w:ascii="Times New Roman" w:hAnsi="Times New Roman" w:cs="Times New Roman"/>
                <w:color w:val="auto"/>
                <w:sz w:val="21"/>
                <w:szCs w:val="21"/>
                <w:highlight w:val="none"/>
                <w:lang w:val="en-US" w:eastAsia="zh-CN"/>
              </w:rPr>
              <w:t>中的样品及危废均使用密闭容器储存，废气产生量较少，因此不进行定量分析，仅进行定性分析，特此说明。</w:t>
            </w:r>
          </w:p>
          <w:p w14:paraId="285F24D4">
            <w:pPr>
              <w:spacing w:line="360" w:lineRule="auto"/>
              <w:ind w:firstLine="420" w:firstLineChars="20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项目实验检测过程中，</w:t>
            </w:r>
            <w:r>
              <w:rPr>
                <w:rFonts w:hint="eastAsia" w:cs="Times New Roman"/>
                <w:color w:val="auto"/>
                <w:szCs w:val="21"/>
                <w:highlight w:val="none"/>
                <w:lang w:val="en-US" w:eastAsia="zh-CN"/>
              </w:rPr>
              <w:t>原料</w:t>
            </w:r>
            <w:r>
              <w:rPr>
                <w:rFonts w:hint="default" w:ascii="Times New Roman" w:hAnsi="Times New Roman" w:eastAsia="宋体" w:cs="Times New Roman"/>
                <w:color w:val="auto"/>
                <w:kern w:val="0"/>
                <w:sz w:val="21"/>
                <w:szCs w:val="21"/>
                <w:highlight w:val="none"/>
                <w:lang w:bidi="ar"/>
              </w:rPr>
              <w:t>溴百里香酚蓝（BTB）、百里香酚蓝、水杨酸、甲醇、无水乙醇、丙酮、苯酚、亚硫酸氢钠、盐酸、双氧水、氨水、硝酸、甲苯、正己烷有特殊性气味</w:t>
            </w:r>
            <w:r>
              <w:rPr>
                <w:rFonts w:hint="eastAsia" w:ascii="Times New Roman" w:hAnsi="Times New Roman" w:cs="Times New Roman"/>
                <w:color w:val="auto"/>
                <w:kern w:val="0"/>
                <w:sz w:val="21"/>
                <w:szCs w:val="21"/>
                <w:highlight w:val="none"/>
                <w:lang w:eastAsia="zh-CN" w:bidi="ar"/>
              </w:rPr>
              <w:t>，</w:t>
            </w:r>
            <w:r>
              <w:rPr>
                <w:rFonts w:hint="eastAsia" w:ascii="Times New Roman" w:hAnsi="Times New Roman" w:cs="Times New Roman"/>
                <w:color w:val="auto"/>
                <w:kern w:val="0"/>
                <w:sz w:val="21"/>
                <w:szCs w:val="21"/>
                <w:highlight w:val="none"/>
                <w:lang w:val="en-US" w:eastAsia="zh-CN" w:bidi="ar"/>
              </w:rPr>
              <w:t>产生臭气浓度；</w:t>
            </w:r>
            <w:r>
              <w:rPr>
                <w:rFonts w:hint="default" w:ascii="Times New Roman" w:hAnsi="Times New Roman" w:cs="Times New Roman"/>
                <w:color w:val="auto"/>
                <w:szCs w:val="21"/>
                <w:highlight w:val="none"/>
              </w:rPr>
              <w:t>有机溶剂</w:t>
            </w:r>
            <w:r>
              <w:rPr>
                <w:rFonts w:hint="eastAsia" w:ascii="Times New Roman" w:hAnsi="Times New Roman" w:cs="Times New Roman"/>
                <w:color w:val="auto"/>
                <w:szCs w:val="21"/>
                <w:highlight w:val="none"/>
                <w:lang w:val="en-US" w:eastAsia="zh-CN"/>
              </w:rPr>
              <w:t>大部分（约70%）以废液的形态损耗，小部分（约30%）以有机废气的形态损耗</w:t>
            </w:r>
            <w:r>
              <w:rPr>
                <w:rFonts w:hint="default" w:ascii="Times New Roman" w:hAnsi="Times New Roman" w:cs="Times New Roman"/>
                <w:color w:val="auto"/>
                <w:szCs w:val="21"/>
                <w:highlight w:val="none"/>
              </w:rPr>
              <w:t>，产生有机废气污染物包括非甲烷总烃</w:t>
            </w:r>
            <w:r>
              <w:rPr>
                <w:rFonts w:hint="eastAsia" w:cs="Times New Roman"/>
                <w:color w:val="auto"/>
                <w:szCs w:val="21"/>
                <w:highlight w:val="none"/>
                <w:lang w:eastAsia="zh-CN"/>
              </w:rPr>
              <w:t>（</w:t>
            </w:r>
            <w:r>
              <w:rPr>
                <w:rFonts w:hint="eastAsia" w:cs="Times New Roman"/>
                <w:color w:val="auto"/>
                <w:szCs w:val="21"/>
                <w:highlight w:val="none"/>
                <w:lang w:val="en-US" w:eastAsia="zh-CN"/>
              </w:rPr>
              <w:t>TVOC</w:t>
            </w:r>
            <w:r>
              <w:rPr>
                <w:rFonts w:hint="eastAsia" w:cs="Times New Roman"/>
                <w:color w:val="auto"/>
                <w:szCs w:val="21"/>
                <w:highlight w:val="none"/>
                <w:lang w:eastAsia="zh-CN"/>
              </w:rPr>
              <w:t>）</w:t>
            </w:r>
            <w:r>
              <w:rPr>
                <w:rFonts w:hint="default" w:ascii="Times New Roman" w:hAnsi="Times New Roman" w:cs="Times New Roman"/>
                <w:color w:val="auto"/>
                <w:szCs w:val="21"/>
                <w:highlight w:val="none"/>
              </w:rPr>
              <w:t>、</w:t>
            </w:r>
            <w:r>
              <w:rPr>
                <w:rFonts w:hint="eastAsia" w:cs="Times New Roman"/>
                <w:color w:val="auto"/>
                <w:szCs w:val="21"/>
                <w:highlight w:val="none"/>
                <w:lang w:val="en-US" w:eastAsia="zh-CN"/>
              </w:rPr>
              <w:t>甲苯、</w:t>
            </w:r>
            <w:r>
              <w:rPr>
                <w:rFonts w:hint="default" w:ascii="Times New Roman" w:hAnsi="Times New Roman" w:cs="Times New Roman"/>
                <w:color w:val="auto"/>
                <w:szCs w:val="21"/>
                <w:highlight w:val="none"/>
              </w:rPr>
              <w:t>甲醇，则项目有机废气产生情况详见下表：</w:t>
            </w:r>
          </w:p>
          <w:p w14:paraId="4A6A09D2">
            <w:pPr>
              <w:pStyle w:val="40"/>
              <w:spacing w:line="360" w:lineRule="auto"/>
              <w:ind w:firstLine="420" w:firstLineChars="200"/>
              <w:jc w:val="left"/>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注：因氨水年使用量为</w:t>
            </w:r>
            <w:r>
              <w:rPr>
                <w:rFonts w:hint="default" w:ascii="Times New Roman" w:hAnsi="Times New Roman" w:cs="Times New Roman"/>
                <w:color w:val="auto"/>
                <w:sz w:val="21"/>
                <w:szCs w:val="21"/>
                <w:highlight w:val="none"/>
                <w:lang w:val="en-US" w:eastAsia="zh-CN"/>
              </w:rPr>
              <w:t>4.5</w:t>
            </w:r>
            <w:r>
              <w:rPr>
                <w:rFonts w:hint="eastAsia" w:ascii="Times New Roman" w:cs="Times New Roman"/>
                <w:color w:val="auto"/>
                <w:sz w:val="21"/>
                <w:szCs w:val="21"/>
                <w:highlight w:val="none"/>
                <w:lang w:val="en-US" w:eastAsia="zh-CN"/>
              </w:rPr>
              <w:t>kg</w:t>
            </w:r>
            <w:r>
              <w:rPr>
                <w:rFonts w:hint="default" w:ascii="Times New Roman" w:hAnsi="Times New Roman" w:cs="Times New Roman"/>
                <w:color w:val="auto"/>
                <w:sz w:val="21"/>
                <w:szCs w:val="21"/>
                <w:highlight w:val="none"/>
              </w:rPr>
              <w:t>/a，产生</w:t>
            </w:r>
            <w:r>
              <w:rPr>
                <w:rFonts w:hint="eastAsia" w:ascii="Times New Roman" w:cs="Times New Roman"/>
                <w:color w:val="auto"/>
                <w:sz w:val="21"/>
                <w:szCs w:val="21"/>
                <w:highlight w:val="none"/>
                <w:lang w:eastAsia="zh-CN"/>
              </w:rPr>
              <w:t>氨</w:t>
            </w:r>
            <w:r>
              <w:rPr>
                <w:rFonts w:hint="default" w:ascii="Times New Roman" w:hAnsi="Times New Roman" w:cs="Times New Roman"/>
                <w:color w:val="auto"/>
                <w:sz w:val="21"/>
                <w:szCs w:val="21"/>
                <w:highlight w:val="none"/>
              </w:rPr>
              <w:t>量较少，因此仅进行定性分析，不进行定量分析，特此说明。</w:t>
            </w:r>
          </w:p>
          <w:p w14:paraId="78D16F0E">
            <w:pPr>
              <w:widowControl/>
              <w:numPr>
                <w:ilvl w:val="0"/>
                <w:numId w:val="0"/>
              </w:numPr>
              <w:spacing w:line="360" w:lineRule="auto"/>
              <w:ind w:leftChars="0"/>
              <w:contextualSpacing/>
              <w:jc w:val="center"/>
              <w:rPr>
                <w:rFonts w:hint="default" w:ascii="Times New Roman" w:hAnsi="Times New Roman" w:eastAsia="宋体" w:cs="Times New Roman"/>
                <w:b/>
                <w:bCs/>
                <w:color w:val="auto"/>
                <w:kern w:val="2"/>
                <w:sz w:val="21"/>
                <w:szCs w:val="21"/>
                <w:highlight w:val="none"/>
                <w:lang w:val="zh-CN" w:eastAsia="zh-CN" w:bidi="ar-SA"/>
              </w:rPr>
            </w:pPr>
            <w:r>
              <w:rPr>
                <w:rFonts w:hint="eastAsia" w:cs="Times New Roman"/>
                <w:b/>
                <w:bCs/>
                <w:color w:val="auto"/>
                <w:kern w:val="2"/>
                <w:sz w:val="21"/>
                <w:szCs w:val="21"/>
                <w:highlight w:val="none"/>
                <w:lang w:val="en-US" w:eastAsia="zh-CN" w:bidi="ar-SA"/>
              </w:rPr>
              <w:t>表22</w:t>
            </w:r>
            <w:r>
              <w:rPr>
                <w:rFonts w:hint="default" w:ascii="Times New Roman" w:hAnsi="Times New Roman" w:eastAsia="宋体" w:cs="Times New Roman"/>
                <w:b/>
                <w:bCs/>
                <w:color w:val="auto"/>
                <w:kern w:val="2"/>
                <w:sz w:val="21"/>
                <w:szCs w:val="21"/>
                <w:highlight w:val="none"/>
                <w:lang w:val="zh-CN" w:eastAsia="zh-CN" w:bidi="ar-SA"/>
              </w:rPr>
              <w:t>有机废气产生情况一览表</w:t>
            </w:r>
          </w:p>
          <w:tbl>
            <w:tblPr>
              <w:tblStyle w:val="33"/>
              <w:tblW w:w="490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08"/>
              <w:gridCol w:w="1271"/>
              <w:gridCol w:w="1776"/>
              <w:gridCol w:w="2124"/>
              <w:gridCol w:w="832"/>
              <w:gridCol w:w="924"/>
            </w:tblGrid>
            <w:tr w14:paraId="3327AC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45" w:type="pct"/>
                  <w:vMerge w:val="restart"/>
                  <w:noWrap w:val="0"/>
                  <w:vAlign w:val="center"/>
                </w:tcPr>
                <w:p w14:paraId="1293E7C6">
                  <w:pPr>
                    <w:jc w:val="center"/>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试剂名称</w:t>
                  </w:r>
                </w:p>
              </w:tc>
              <w:tc>
                <w:tcPr>
                  <w:tcW w:w="762" w:type="pct"/>
                  <w:vMerge w:val="restart"/>
                  <w:noWrap w:val="0"/>
                  <w:vAlign w:val="center"/>
                </w:tcPr>
                <w:p w14:paraId="3CAD960D">
                  <w:pPr>
                    <w:jc w:val="center"/>
                    <w:rPr>
                      <w:rFonts w:hint="eastAsia" w:ascii="Times New Roman" w:hAnsi="Times New Roman" w:eastAsia="宋体" w:cs="Times New Roman"/>
                      <w:b/>
                      <w:color w:val="auto"/>
                      <w:szCs w:val="21"/>
                      <w:highlight w:val="none"/>
                      <w:lang w:eastAsia="zh-CN"/>
                    </w:rPr>
                  </w:pPr>
                  <w:r>
                    <w:rPr>
                      <w:rFonts w:hint="default" w:ascii="Times New Roman" w:hAnsi="Times New Roman" w:cs="Times New Roman"/>
                      <w:b/>
                      <w:color w:val="auto"/>
                      <w:szCs w:val="21"/>
                      <w:highlight w:val="none"/>
                    </w:rPr>
                    <w:t>年用量</w:t>
                  </w:r>
                </w:p>
              </w:tc>
              <w:tc>
                <w:tcPr>
                  <w:tcW w:w="1064" w:type="pct"/>
                  <w:vMerge w:val="restart"/>
                  <w:noWrap w:val="0"/>
                  <w:vAlign w:val="center"/>
                </w:tcPr>
                <w:p w14:paraId="72BDFD1C">
                  <w:pPr>
                    <w:jc w:val="center"/>
                    <w:rPr>
                      <w:rFonts w:hint="default" w:ascii="Times New Roman" w:hAnsi="Times New Roman" w:eastAsia="宋体" w:cs="Times New Roman"/>
                      <w:b/>
                      <w:color w:val="auto"/>
                      <w:szCs w:val="21"/>
                      <w:highlight w:val="none"/>
                      <w:lang w:val="en-US" w:eastAsia="zh-CN"/>
                    </w:rPr>
                  </w:pPr>
                  <w:r>
                    <w:rPr>
                      <w:rFonts w:hint="eastAsia" w:cs="Times New Roman"/>
                      <w:b/>
                      <w:color w:val="auto"/>
                      <w:szCs w:val="21"/>
                      <w:highlight w:val="none"/>
                      <w:lang w:val="en-US" w:eastAsia="zh-CN"/>
                    </w:rPr>
                    <w:t>浓度</w:t>
                  </w:r>
                </w:p>
              </w:tc>
              <w:tc>
                <w:tcPr>
                  <w:tcW w:w="2327" w:type="pct"/>
                  <w:gridSpan w:val="3"/>
                  <w:noWrap w:val="0"/>
                  <w:vAlign w:val="center"/>
                </w:tcPr>
                <w:p w14:paraId="6EC21FA6">
                  <w:pPr>
                    <w:jc w:val="center"/>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产污因子产生量（kg/a）</w:t>
                  </w:r>
                </w:p>
              </w:tc>
            </w:tr>
            <w:tr w14:paraId="30A733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45" w:type="pct"/>
                  <w:vMerge w:val="continue"/>
                  <w:noWrap w:val="0"/>
                  <w:vAlign w:val="center"/>
                </w:tcPr>
                <w:p w14:paraId="06A2FEF4">
                  <w:pPr>
                    <w:jc w:val="center"/>
                    <w:rPr>
                      <w:rFonts w:hint="default" w:ascii="Times New Roman" w:hAnsi="Times New Roman" w:cs="Times New Roman"/>
                      <w:b/>
                      <w:color w:val="auto"/>
                      <w:szCs w:val="21"/>
                      <w:highlight w:val="none"/>
                    </w:rPr>
                  </w:pPr>
                </w:p>
              </w:tc>
              <w:tc>
                <w:tcPr>
                  <w:tcW w:w="762" w:type="pct"/>
                  <w:vMerge w:val="continue"/>
                  <w:noWrap w:val="0"/>
                  <w:vAlign w:val="center"/>
                </w:tcPr>
                <w:p w14:paraId="00DEA857">
                  <w:pPr>
                    <w:jc w:val="center"/>
                    <w:rPr>
                      <w:rFonts w:hint="default" w:ascii="Times New Roman" w:hAnsi="Times New Roman" w:cs="Times New Roman"/>
                      <w:b/>
                      <w:color w:val="auto"/>
                      <w:szCs w:val="21"/>
                      <w:highlight w:val="none"/>
                    </w:rPr>
                  </w:pPr>
                </w:p>
              </w:tc>
              <w:tc>
                <w:tcPr>
                  <w:tcW w:w="1064" w:type="pct"/>
                  <w:vMerge w:val="continue"/>
                  <w:noWrap w:val="0"/>
                  <w:vAlign w:val="center"/>
                </w:tcPr>
                <w:p w14:paraId="2C9877E6">
                  <w:pPr>
                    <w:jc w:val="center"/>
                    <w:rPr>
                      <w:rFonts w:hint="default" w:ascii="Times New Roman" w:hAnsi="Times New Roman" w:cs="Times New Roman"/>
                      <w:b/>
                      <w:color w:val="auto"/>
                      <w:szCs w:val="21"/>
                      <w:highlight w:val="none"/>
                    </w:rPr>
                  </w:pPr>
                </w:p>
              </w:tc>
              <w:tc>
                <w:tcPr>
                  <w:tcW w:w="1274" w:type="pct"/>
                  <w:noWrap w:val="0"/>
                  <w:vAlign w:val="center"/>
                </w:tcPr>
                <w:p w14:paraId="038555B5">
                  <w:pPr>
                    <w:jc w:val="center"/>
                    <w:rPr>
                      <w:rFonts w:hint="default" w:ascii="Times New Roman" w:hAnsi="Times New Roman" w:eastAsia="宋体" w:cs="Times New Roman"/>
                      <w:b/>
                      <w:bCs/>
                      <w:color w:val="auto"/>
                      <w:szCs w:val="21"/>
                      <w:highlight w:val="none"/>
                      <w:lang w:val="en-US" w:eastAsia="zh-CN"/>
                    </w:rPr>
                  </w:pPr>
                  <w:r>
                    <w:rPr>
                      <w:rFonts w:hint="default" w:ascii="Times New Roman" w:hAnsi="Times New Roman" w:cs="Times New Roman"/>
                      <w:b/>
                      <w:bCs/>
                      <w:color w:val="auto"/>
                      <w:szCs w:val="21"/>
                      <w:highlight w:val="none"/>
                    </w:rPr>
                    <w:t>非甲烷总烃</w:t>
                  </w:r>
                  <w:r>
                    <w:rPr>
                      <w:rFonts w:hint="eastAsia" w:cs="Times New Roman"/>
                      <w:b/>
                      <w:bCs/>
                      <w:color w:val="auto"/>
                      <w:szCs w:val="21"/>
                      <w:highlight w:val="none"/>
                      <w:lang w:eastAsia="zh-CN"/>
                    </w:rPr>
                    <w:t>（</w:t>
                  </w:r>
                  <w:r>
                    <w:rPr>
                      <w:rFonts w:hint="default" w:ascii="Times New Roman" w:hAnsi="Times New Roman" w:cs="Times New Roman"/>
                      <w:b/>
                      <w:bCs/>
                      <w:color w:val="auto"/>
                      <w:szCs w:val="21"/>
                      <w:highlight w:val="none"/>
                      <w:lang w:val="en-US" w:eastAsia="zh-CN"/>
                    </w:rPr>
                    <w:t>TVOC</w:t>
                  </w:r>
                  <w:r>
                    <w:rPr>
                      <w:rFonts w:hint="eastAsia" w:cs="Times New Roman"/>
                      <w:b/>
                      <w:bCs/>
                      <w:color w:val="auto"/>
                      <w:szCs w:val="21"/>
                      <w:highlight w:val="none"/>
                      <w:lang w:val="en-US" w:eastAsia="zh-CN"/>
                    </w:rPr>
                    <w:t>）</w:t>
                  </w:r>
                </w:p>
              </w:tc>
              <w:tc>
                <w:tcPr>
                  <w:tcW w:w="499" w:type="pct"/>
                  <w:noWrap w:val="0"/>
                  <w:vAlign w:val="center"/>
                </w:tcPr>
                <w:p w14:paraId="09CD105B">
                  <w:pPr>
                    <w:jc w:val="center"/>
                    <w:rPr>
                      <w:rFonts w:hint="default" w:ascii="Times New Roman" w:hAnsi="Times New Roman" w:cs="Times New Roman"/>
                      <w:b/>
                      <w:color w:val="auto"/>
                      <w:szCs w:val="21"/>
                      <w:highlight w:val="none"/>
                    </w:rPr>
                  </w:pPr>
                  <w:r>
                    <w:rPr>
                      <w:rFonts w:hint="eastAsia" w:cs="Times New Roman"/>
                      <w:b/>
                      <w:color w:val="auto"/>
                      <w:szCs w:val="21"/>
                      <w:highlight w:val="none"/>
                      <w:lang w:val="en-US" w:eastAsia="zh-CN"/>
                    </w:rPr>
                    <w:t>其中：</w:t>
                  </w:r>
                  <w:r>
                    <w:rPr>
                      <w:rFonts w:hint="default" w:ascii="Times New Roman" w:hAnsi="Times New Roman" w:cs="Times New Roman"/>
                      <w:b/>
                      <w:color w:val="auto"/>
                      <w:szCs w:val="21"/>
                      <w:highlight w:val="none"/>
                    </w:rPr>
                    <w:t>甲醇</w:t>
                  </w:r>
                </w:p>
              </w:tc>
              <w:tc>
                <w:tcPr>
                  <w:tcW w:w="554" w:type="pct"/>
                  <w:noWrap w:val="0"/>
                  <w:vAlign w:val="center"/>
                </w:tcPr>
                <w:p w14:paraId="423AF28B">
                  <w:pPr>
                    <w:jc w:val="center"/>
                    <w:rPr>
                      <w:rFonts w:hint="eastAsia" w:ascii="Times New Roman" w:hAnsi="Times New Roman" w:eastAsia="宋体" w:cs="Times New Roman"/>
                      <w:b/>
                      <w:color w:val="auto"/>
                      <w:szCs w:val="21"/>
                      <w:highlight w:val="none"/>
                      <w:lang w:val="en-US" w:eastAsia="zh-CN"/>
                    </w:rPr>
                  </w:pPr>
                  <w:r>
                    <w:rPr>
                      <w:rFonts w:hint="eastAsia" w:cs="Times New Roman"/>
                      <w:b/>
                      <w:color w:val="auto"/>
                      <w:szCs w:val="21"/>
                      <w:highlight w:val="none"/>
                      <w:lang w:val="en-US" w:eastAsia="zh-CN"/>
                    </w:rPr>
                    <w:t>其中;甲苯</w:t>
                  </w:r>
                </w:p>
              </w:tc>
            </w:tr>
            <w:tr w14:paraId="733D5C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45" w:type="pct"/>
                  <w:noWrap w:val="0"/>
                  <w:vAlign w:val="center"/>
                </w:tcPr>
                <w:p w14:paraId="32D2EA27">
                  <w:pPr>
                    <w:widowControl/>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bidi="ar"/>
                    </w:rPr>
                    <w:t>甲醇</w:t>
                  </w:r>
                </w:p>
              </w:tc>
              <w:tc>
                <w:tcPr>
                  <w:tcW w:w="762" w:type="pct"/>
                  <w:noWrap w:val="0"/>
                  <w:vAlign w:val="center"/>
                </w:tcPr>
                <w:p w14:paraId="7CB45DA8">
                  <w:pPr>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cs="Times New Roman"/>
                      <w:color w:val="auto"/>
                      <w:sz w:val="21"/>
                      <w:szCs w:val="21"/>
                      <w:highlight w:val="none"/>
                      <w:lang w:val="en-US" w:eastAsia="zh-CN"/>
                    </w:rPr>
                    <w:t>2.5</w:t>
                  </w:r>
                  <w:r>
                    <w:rPr>
                      <w:rFonts w:hint="eastAsia" w:cs="Times New Roman"/>
                      <w:color w:val="auto"/>
                      <w:sz w:val="21"/>
                      <w:szCs w:val="21"/>
                      <w:highlight w:val="none"/>
                      <w:lang w:val="en-US" w:eastAsia="zh-CN"/>
                    </w:rPr>
                    <w:t>kg</w:t>
                  </w:r>
                </w:p>
              </w:tc>
              <w:tc>
                <w:tcPr>
                  <w:tcW w:w="1064" w:type="pct"/>
                  <w:noWrap w:val="0"/>
                  <w:vAlign w:val="center"/>
                </w:tcPr>
                <w:p w14:paraId="1D98523F">
                  <w:pPr>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100%</w:t>
                  </w:r>
                </w:p>
              </w:tc>
              <w:tc>
                <w:tcPr>
                  <w:tcW w:w="1274" w:type="pct"/>
                  <w:noWrap w:val="0"/>
                  <w:vAlign w:val="center"/>
                </w:tcPr>
                <w:p w14:paraId="038256A7">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eastAsia" w:cs="Times New Roman"/>
                      <w:i w:val="0"/>
                      <w:iCs w:val="0"/>
                      <w:color w:val="auto"/>
                      <w:kern w:val="0"/>
                      <w:sz w:val="21"/>
                      <w:szCs w:val="21"/>
                      <w:highlight w:val="none"/>
                      <w:u w:val="none"/>
                      <w:lang w:val="en-US" w:eastAsia="zh-CN" w:bidi="ar"/>
                    </w:rPr>
                    <w:t>0.75</w:t>
                  </w:r>
                </w:p>
              </w:tc>
              <w:tc>
                <w:tcPr>
                  <w:tcW w:w="499" w:type="pct"/>
                  <w:noWrap w:val="0"/>
                  <w:vAlign w:val="center"/>
                </w:tcPr>
                <w:p w14:paraId="1C293BE6">
                  <w:pPr>
                    <w:jc w:val="center"/>
                    <w:rPr>
                      <w:rFonts w:hint="default" w:ascii="Times New Roman" w:hAnsi="Times New Roman" w:eastAsia="宋体" w:cs="Times New Roman"/>
                      <w:bCs/>
                      <w:color w:val="auto"/>
                      <w:szCs w:val="21"/>
                      <w:highlight w:val="none"/>
                      <w:lang w:val="en-US" w:eastAsia="zh-CN"/>
                    </w:rPr>
                  </w:pPr>
                  <w:r>
                    <w:rPr>
                      <w:rFonts w:hint="eastAsia" w:ascii="Times New Roman" w:hAnsi="Times New Roman" w:cs="Times New Roman"/>
                      <w:color w:val="auto"/>
                      <w:kern w:val="0"/>
                      <w:szCs w:val="21"/>
                      <w:highlight w:val="none"/>
                      <w:lang w:val="en-US" w:eastAsia="zh-CN" w:bidi="ar"/>
                    </w:rPr>
                    <w:t>0.</w:t>
                  </w:r>
                  <w:r>
                    <w:rPr>
                      <w:rFonts w:hint="eastAsia" w:cs="Times New Roman"/>
                      <w:color w:val="auto"/>
                      <w:kern w:val="0"/>
                      <w:szCs w:val="21"/>
                      <w:highlight w:val="none"/>
                      <w:lang w:val="en-US" w:eastAsia="zh-CN" w:bidi="ar"/>
                    </w:rPr>
                    <w:t>75</w:t>
                  </w:r>
                </w:p>
              </w:tc>
              <w:tc>
                <w:tcPr>
                  <w:tcW w:w="554" w:type="pct"/>
                  <w:noWrap w:val="0"/>
                  <w:vAlign w:val="center"/>
                </w:tcPr>
                <w:p w14:paraId="1F84FE28">
                  <w:pPr>
                    <w:jc w:val="center"/>
                    <w:rPr>
                      <w:rFonts w:hint="eastAsia" w:ascii="Times New Roman" w:hAnsi="Times New Roman" w:cs="Times New Roman"/>
                      <w:color w:val="auto"/>
                      <w:kern w:val="0"/>
                      <w:szCs w:val="21"/>
                      <w:highlight w:val="none"/>
                      <w:lang w:val="en-US" w:eastAsia="zh-CN" w:bidi="ar"/>
                    </w:rPr>
                  </w:pPr>
                  <w:r>
                    <w:rPr>
                      <w:rFonts w:hint="default" w:ascii="Times New Roman" w:hAnsi="Times New Roman" w:cs="Times New Roman"/>
                      <w:b w:val="0"/>
                      <w:bCs/>
                      <w:color w:val="auto"/>
                      <w:szCs w:val="21"/>
                      <w:highlight w:val="none"/>
                      <w:lang w:val="en-US" w:eastAsia="zh-CN"/>
                    </w:rPr>
                    <w:t>/</w:t>
                  </w:r>
                </w:p>
              </w:tc>
            </w:tr>
            <w:tr w14:paraId="177DE3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45" w:type="pct"/>
                  <w:noWrap w:val="0"/>
                  <w:vAlign w:val="center"/>
                </w:tcPr>
                <w:p w14:paraId="4A3EFDED">
                  <w:pPr>
                    <w:adjustRightInd w:val="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无水乙醇</w:t>
                  </w:r>
                </w:p>
              </w:tc>
              <w:tc>
                <w:tcPr>
                  <w:tcW w:w="762" w:type="pct"/>
                  <w:noWrap w:val="0"/>
                  <w:vAlign w:val="center"/>
                </w:tcPr>
                <w:p w14:paraId="3BA70A50">
                  <w:pPr>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cs="Times New Roman"/>
                      <w:color w:val="auto"/>
                      <w:sz w:val="21"/>
                      <w:szCs w:val="21"/>
                      <w:highlight w:val="none"/>
                      <w:lang w:val="en-US" w:eastAsia="zh-CN"/>
                    </w:rPr>
                    <w:t>4</w:t>
                  </w:r>
                  <w:r>
                    <w:rPr>
                      <w:rFonts w:hint="eastAsia" w:cs="Times New Roman"/>
                      <w:color w:val="auto"/>
                      <w:sz w:val="21"/>
                      <w:szCs w:val="21"/>
                      <w:highlight w:val="none"/>
                      <w:lang w:val="en-US" w:eastAsia="zh-CN"/>
                    </w:rPr>
                    <w:t>kg</w:t>
                  </w:r>
                </w:p>
              </w:tc>
              <w:tc>
                <w:tcPr>
                  <w:tcW w:w="1064" w:type="pct"/>
                  <w:noWrap w:val="0"/>
                  <w:vAlign w:val="center"/>
                </w:tcPr>
                <w:p w14:paraId="1EEAE42F">
                  <w:pPr>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100%</w:t>
                  </w:r>
                </w:p>
              </w:tc>
              <w:tc>
                <w:tcPr>
                  <w:tcW w:w="1274" w:type="pct"/>
                  <w:noWrap w:val="0"/>
                  <w:vAlign w:val="center"/>
                </w:tcPr>
                <w:p w14:paraId="50D9A602">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1.2</w:t>
                  </w:r>
                </w:p>
              </w:tc>
              <w:tc>
                <w:tcPr>
                  <w:tcW w:w="499" w:type="pct"/>
                  <w:noWrap w:val="0"/>
                  <w:vAlign w:val="center"/>
                </w:tcPr>
                <w:p w14:paraId="61A9758E">
                  <w:pPr>
                    <w:widowControl/>
                    <w:jc w:val="center"/>
                    <w:textAlignment w:val="center"/>
                    <w:rPr>
                      <w:rFonts w:hint="default" w:ascii="Times New Roman" w:hAnsi="Times New Roman" w:cs="Times New Roman"/>
                      <w:bCs/>
                      <w:color w:val="auto"/>
                      <w:szCs w:val="21"/>
                      <w:highlight w:val="none"/>
                    </w:rPr>
                  </w:pPr>
                  <w:r>
                    <w:rPr>
                      <w:rFonts w:hint="default" w:ascii="Times New Roman" w:hAnsi="Times New Roman" w:cs="Times New Roman"/>
                      <w:b w:val="0"/>
                      <w:bCs/>
                      <w:color w:val="auto"/>
                      <w:szCs w:val="21"/>
                      <w:highlight w:val="none"/>
                      <w:lang w:val="en-US" w:eastAsia="zh-CN"/>
                    </w:rPr>
                    <w:t>/</w:t>
                  </w:r>
                </w:p>
              </w:tc>
              <w:tc>
                <w:tcPr>
                  <w:tcW w:w="554" w:type="pct"/>
                  <w:noWrap w:val="0"/>
                  <w:vAlign w:val="center"/>
                </w:tcPr>
                <w:p w14:paraId="69A06403">
                  <w:pPr>
                    <w:widowControl/>
                    <w:jc w:val="center"/>
                    <w:textAlignment w:val="center"/>
                    <w:rPr>
                      <w:rFonts w:hint="default" w:ascii="Times New Roman" w:hAnsi="Times New Roman" w:cs="Times New Roman"/>
                      <w:color w:val="auto"/>
                      <w:kern w:val="0"/>
                      <w:szCs w:val="21"/>
                      <w:highlight w:val="none"/>
                      <w:lang w:bidi="ar"/>
                    </w:rPr>
                  </w:pPr>
                  <w:r>
                    <w:rPr>
                      <w:rFonts w:hint="default" w:ascii="Times New Roman" w:hAnsi="Times New Roman" w:cs="Times New Roman"/>
                      <w:b w:val="0"/>
                      <w:bCs/>
                      <w:color w:val="auto"/>
                      <w:szCs w:val="21"/>
                      <w:highlight w:val="none"/>
                      <w:lang w:val="en-US" w:eastAsia="zh-CN"/>
                    </w:rPr>
                    <w:t>/</w:t>
                  </w:r>
                </w:p>
              </w:tc>
            </w:tr>
            <w:tr w14:paraId="62E31B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45" w:type="pct"/>
                  <w:noWrap w:val="0"/>
                  <w:vAlign w:val="center"/>
                </w:tcPr>
                <w:p w14:paraId="2658BA4B">
                  <w:pPr>
                    <w:adjustRightInd w:val="0"/>
                    <w:jc w:val="center"/>
                    <w:textAlignment w:val="baseline"/>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丙酮</w:t>
                  </w:r>
                </w:p>
              </w:tc>
              <w:tc>
                <w:tcPr>
                  <w:tcW w:w="762" w:type="pct"/>
                  <w:noWrap w:val="0"/>
                  <w:vAlign w:val="center"/>
                </w:tcPr>
                <w:p w14:paraId="58CC4116">
                  <w:pPr>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cs="Times New Roman"/>
                      <w:color w:val="auto"/>
                      <w:sz w:val="21"/>
                      <w:szCs w:val="21"/>
                      <w:highlight w:val="none"/>
                      <w:lang w:val="en-US" w:eastAsia="zh-CN"/>
                    </w:rPr>
                    <w:t>5.5</w:t>
                  </w:r>
                  <w:r>
                    <w:rPr>
                      <w:rFonts w:hint="eastAsia" w:cs="Times New Roman"/>
                      <w:color w:val="auto"/>
                      <w:sz w:val="21"/>
                      <w:szCs w:val="21"/>
                      <w:highlight w:val="none"/>
                      <w:lang w:val="en-US" w:eastAsia="zh-CN"/>
                    </w:rPr>
                    <w:t>kg</w:t>
                  </w:r>
                </w:p>
              </w:tc>
              <w:tc>
                <w:tcPr>
                  <w:tcW w:w="1064" w:type="pct"/>
                  <w:noWrap w:val="0"/>
                  <w:vAlign w:val="center"/>
                </w:tcPr>
                <w:p w14:paraId="0834FA17">
                  <w:pPr>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99.5%</w:t>
                  </w:r>
                </w:p>
              </w:tc>
              <w:tc>
                <w:tcPr>
                  <w:tcW w:w="1274" w:type="pct"/>
                  <w:noWrap w:val="0"/>
                  <w:vAlign w:val="center"/>
                </w:tcPr>
                <w:p w14:paraId="379BE935">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1.642</w:t>
                  </w:r>
                </w:p>
              </w:tc>
              <w:tc>
                <w:tcPr>
                  <w:tcW w:w="499" w:type="pct"/>
                  <w:noWrap w:val="0"/>
                  <w:vAlign w:val="center"/>
                </w:tcPr>
                <w:p w14:paraId="5BDA722B">
                  <w:pPr>
                    <w:widowControl/>
                    <w:jc w:val="center"/>
                    <w:textAlignment w:val="center"/>
                    <w:rPr>
                      <w:rFonts w:hint="default" w:ascii="Times New Roman" w:hAnsi="Times New Roman" w:cs="Times New Roman"/>
                      <w:bCs/>
                      <w:color w:val="auto"/>
                      <w:szCs w:val="21"/>
                      <w:highlight w:val="none"/>
                    </w:rPr>
                  </w:pPr>
                  <w:r>
                    <w:rPr>
                      <w:rFonts w:hint="default" w:ascii="Times New Roman" w:hAnsi="Times New Roman" w:cs="Times New Roman"/>
                      <w:b w:val="0"/>
                      <w:bCs/>
                      <w:color w:val="auto"/>
                      <w:szCs w:val="21"/>
                      <w:highlight w:val="none"/>
                      <w:lang w:val="en-US" w:eastAsia="zh-CN"/>
                    </w:rPr>
                    <w:t>/</w:t>
                  </w:r>
                </w:p>
              </w:tc>
              <w:tc>
                <w:tcPr>
                  <w:tcW w:w="554" w:type="pct"/>
                  <w:noWrap w:val="0"/>
                  <w:vAlign w:val="center"/>
                </w:tcPr>
                <w:p w14:paraId="24F4FFE4">
                  <w:pPr>
                    <w:widowControl/>
                    <w:jc w:val="center"/>
                    <w:textAlignment w:val="center"/>
                    <w:rPr>
                      <w:rFonts w:hint="default" w:ascii="Times New Roman" w:hAnsi="Times New Roman" w:cs="Times New Roman"/>
                      <w:color w:val="auto"/>
                      <w:kern w:val="0"/>
                      <w:szCs w:val="21"/>
                      <w:highlight w:val="none"/>
                      <w:lang w:bidi="ar"/>
                    </w:rPr>
                  </w:pPr>
                  <w:r>
                    <w:rPr>
                      <w:rFonts w:hint="default" w:ascii="Times New Roman" w:hAnsi="Times New Roman" w:cs="Times New Roman"/>
                      <w:b w:val="0"/>
                      <w:bCs/>
                      <w:color w:val="auto"/>
                      <w:szCs w:val="21"/>
                      <w:highlight w:val="none"/>
                      <w:lang w:val="en-US" w:eastAsia="zh-CN"/>
                    </w:rPr>
                    <w:t>/</w:t>
                  </w:r>
                </w:p>
              </w:tc>
            </w:tr>
            <w:tr w14:paraId="35ACE1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45" w:type="pct"/>
                  <w:noWrap w:val="0"/>
                  <w:vAlign w:val="center"/>
                </w:tcPr>
                <w:p w14:paraId="5B8142B8">
                  <w:pPr>
                    <w:widowControl/>
                    <w:adjustRightInd w:val="0"/>
                    <w:jc w:val="center"/>
                    <w:textAlignment w:val="baseline"/>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cs="Times New Roman"/>
                      <w:color w:val="auto"/>
                      <w:sz w:val="21"/>
                      <w:szCs w:val="21"/>
                      <w:highlight w:val="none"/>
                      <w:lang w:val="en-US" w:eastAsia="zh-CN"/>
                    </w:rPr>
                    <w:t>苯酚</w:t>
                  </w:r>
                </w:p>
              </w:tc>
              <w:tc>
                <w:tcPr>
                  <w:tcW w:w="762" w:type="pct"/>
                  <w:noWrap w:val="0"/>
                  <w:vAlign w:val="center"/>
                </w:tcPr>
                <w:p w14:paraId="348133D8">
                  <w:pPr>
                    <w:jc w:val="center"/>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cs="Times New Roman"/>
                      <w:color w:val="auto"/>
                      <w:sz w:val="21"/>
                      <w:szCs w:val="21"/>
                      <w:highlight w:val="none"/>
                      <w:lang w:val="en-US" w:eastAsia="zh-CN"/>
                    </w:rPr>
                    <w:t>1kg</w:t>
                  </w:r>
                </w:p>
              </w:tc>
              <w:tc>
                <w:tcPr>
                  <w:tcW w:w="1064" w:type="pct"/>
                  <w:noWrap w:val="0"/>
                  <w:vAlign w:val="center"/>
                </w:tcPr>
                <w:p w14:paraId="4AB7CB12">
                  <w:pPr>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100%</w:t>
                  </w:r>
                </w:p>
              </w:tc>
              <w:tc>
                <w:tcPr>
                  <w:tcW w:w="1274" w:type="pct"/>
                  <w:noWrap w:val="0"/>
                  <w:vAlign w:val="center"/>
                </w:tcPr>
                <w:p w14:paraId="70B67139">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0.3</w:t>
                  </w:r>
                </w:p>
              </w:tc>
              <w:tc>
                <w:tcPr>
                  <w:tcW w:w="499" w:type="pct"/>
                  <w:noWrap w:val="0"/>
                  <w:vAlign w:val="center"/>
                </w:tcPr>
                <w:p w14:paraId="37771B4C">
                  <w:pPr>
                    <w:widowControl/>
                    <w:jc w:val="center"/>
                    <w:textAlignment w:val="center"/>
                    <w:rPr>
                      <w:rFonts w:hint="default" w:ascii="Times New Roman" w:hAnsi="Times New Roman" w:cs="Times New Roman"/>
                      <w:color w:val="auto"/>
                      <w:kern w:val="0"/>
                      <w:szCs w:val="21"/>
                      <w:highlight w:val="none"/>
                      <w:lang w:bidi="ar"/>
                    </w:rPr>
                  </w:pPr>
                  <w:r>
                    <w:rPr>
                      <w:rFonts w:hint="default" w:ascii="Times New Roman" w:hAnsi="Times New Roman" w:cs="Times New Roman"/>
                      <w:b w:val="0"/>
                      <w:bCs/>
                      <w:color w:val="auto"/>
                      <w:szCs w:val="21"/>
                      <w:highlight w:val="none"/>
                      <w:lang w:val="en-US" w:eastAsia="zh-CN"/>
                    </w:rPr>
                    <w:t>/</w:t>
                  </w:r>
                </w:p>
              </w:tc>
              <w:tc>
                <w:tcPr>
                  <w:tcW w:w="554" w:type="pct"/>
                  <w:noWrap w:val="0"/>
                  <w:vAlign w:val="center"/>
                </w:tcPr>
                <w:p w14:paraId="794399BB">
                  <w:pPr>
                    <w:widowControl/>
                    <w:jc w:val="center"/>
                    <w:textAlignment w:val="center"/>
                    <w:rPr>
                      <w:rFonts w:hint="default" w:ascii="Times New Roman" w:hAnsi="Times New Roman" w:cs="Times New Roman"/>
                      <w:color w:val="auto"/>
                      <w:kern w:val="0"/>
                      <w:szCs w:val="21"/>
                      <w:highlight w:val="none"/>
                      <w:lang w:bidi="ar"/>
                    </w:rPr>
                  </w:pPr>
                  <w:r>
                    <w:rPr>
                      <w:rFonts w:hint="default" w:ascii="Times New Roman" w:hAnsi="Times New Roman" w:cs="Times New Roman"/>
                      <w:b w:val="0"/>
                      <w:bCs/>
                      <w:color w:val="auto"/>
                      <w:szCs w:val="21"/>
                      <w:highlight w:val="none"/>
                      <w:lang w:val="en-US" w:eastAsia="zh-CN"/>
                    </w:rPr>
                    <w:t>/</w:t>
                  </w:r>
                </w:p>
              </w:tc>
            </w:tr>
            <w:tr w14:paraId="1F8FF2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45" w:type="pct"/>
                  <w:noWrap w:val="0"/>
                  <w:vAlign w:val="center"/>
                </w:tcPr>
                <w:p w14:paraId="49F384B8">
                  <w:pPr>
                    <w:adjustRightInd w:val="0"/>
                    <w:jc w:val="center"/>
                    <w:textAlignment w:val="baseline"/>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甲苯</w:t>
                  </w:r>
                </w:p>
              </w:tc>
              <w:tc>
                <w:tcPr>
                  <w:tcW w:w="762" w:type="pct"/>
                  <w:noWrap w:val="0"/>
                  <w:vAlign w:val="center"/>
                </w:tcPr>
                <w:p w14:paraId="1E638E52">
                  <w:pPr>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5kg</w:t>
                  </w:r>
                </w:p>
              </w:tc>
              <w:tc>
                <w:tcPr>
                  <w:tcW w:w="1064" w:type="pct"/>
                  <w:noWrap w:val="0"/>
                  <w:vAlign w:val="center"/>
                </w:tcPr>
                <w:p w14:paraId="4B3FCDA8">
                  <w:pPr>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100%</w:t>
                  </w:r>
                </w:p>
              </w:tc>
              <w:tc>
                <w:tcPr>
                  <w:tcW w:w="1274" w:type="pct"/>
                  <w:noWrap w:val="0"/>
                  <w:vAlign w:val="center"/>
                </w:tcPr>
                <w:p w14:paraId="443B062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1.5</w:t>
                  </w:r>
                </w:p>
              </w:tc>
              <w:tc>
                <w:tcPr>
                  <w:tcW w:w="499" w:type="pct"/>
                  <w:noWrap w:val="0"/>
                  <w:vAlign w:val="center"/>
                </w:tcPr>
                <w:p w14:paraId="7FFCC708">
                  <w:pPr>
                    <w:widowControl/>
                    <w:jc w:val="center"/>
                    <w:textAlignment w:val="center"/>
                    <w:rPr>
                      <w:rFonts w:hint="default" w:ascii="Times New Roman" w:hAnsi="Times New Roman" w:cs="Times New Roman"/>
                      <w:color w:val="auto"/>
                      <w:kern w:val="0"/>
                      <w:szCs w:val="21"/>
                      <w:highlight w:val="none"/>
                      <w:lang w:bidi="ar"/>
                    </w:rPr>
                  </w:pPr>
                  <w:r>
                    <w:rPr>
                      <w:rFonts w:hint="default" w:ascii="Times New Roman" w:hAnsi="Times New Roman" w:cs="Times New Roman"/>
                      <w:b w:val="0"/>
                      <w:bCs/>
                      <w:color w:val="auto"/>
                      <w:szCs w:val="21"/>
                      <w:highlight w:val="none"/>
                      <w:lang w:val="en-US" w:eastAsia="zh-CN"/>
                    </w:rPr>
                    <w:t>/</w:t>
                  </w:r>
                </w:p>
              </w:tc>
              <w:tc>
                <w:tcPr>
                  <w:tcW w:w="554" w:type="pct"/>
                  <w:noWrap w:val="0"/>
                  <w:vAlign w:val="center"/>
                </w:tcPr>
                <w:p w14:paraId="3BEFC388">
                  <w:pPr>
                    <w:widowControl/>
                    <w:jc w:val="center"/>
                    <w:textAlignment w:val="center"/>
                    <w:rPr>
                      <w:rFonts w:hint="default" w:ascii="Times New Roman" w:hAnsi="Times New Roman" w:eastAsia="宋体" w:cs="Times New Roman"/>
                      <w:color w:val="auto"/>
                      <w:kern w:val="0"/>
                      <w:szCs w:val="21"/>
                      <w:highlight w:val="none"/>
                      <w:lang w:val="en-US" w:eastAsia="zh-CN" w:bidi="ar"/>
                    </w:rPr>
                  </w:pPr>
                  <w:r>
                    <w:rPr>
                      <w:rFonts w:hint="eastAsia" w:cs="Times New Roman"/>
                      <w:color w:val="auto"/>
                      <w:kern w:val="0"/>
                      <w:szCs w:val="21"/>
                      <w:highlight w:val="none"/>
                      <w:lang w:val="en-US" w:eastAsia="zh-CN" w:bidi="ar"/>
                    </w:rPr>
                    <w:t>1.5</w:t>
                  </w:r>
                </w:p>
              </w:tc>
            </w:tr>
            <w:tr w14:paraId="173CBB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45" w:type="pct"/>
                  <w:noWrap w:val="0"/>
                  <w:vAlign w:val="center"/>
                </w:tcPr>
                <w:p w14:paraId="4C1B58E3">
                  <w:pPr>
                    <w:adjustRightInd w:val="0"/>
                    <w:jc w:val="center"/>
                    <w:textAlignment w:val="baseline"/>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正己烷</w:t>
                  </w:r>
                </w:p>
              </w:tc>
              <w:tc>
                <w:tcPr>
                  <w:tcW w:w="762" w:type="pct"/>
                  <w:noWrap w:val="0"/>
                  <w:vAlign w:val="center"/>
                </w:tcPr>
                <w:p w14:paraId="759C9339">
                  <w:pPr>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5kg</w:t>
                  </w:r>
                </w:p>
              </w:tc>
              <w:tc>
                <w:tcPr>
                  <w:tcW w:w="1064" w:type="pct"/>
                  <w:noWrap w:val="0"/>
                  <w:vAlign w:val="center"/>
                </w:tcPr>
                <w:p w14:paraId="7C7C86C1">
                  <w:pPr>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100%</w:t>
                  </w:r>
                </w:p>
              </w:tc>
              <w:tc>
                <w:tcPr>
                  <w:tcW w:w="1274" w:type="pct"/>
                  <w:noWrap w:val="0"/>
                  <w:vAlign w:val="center"/>
                </w:tcPr>
                <w:p w14:paraId="5660832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1.5</w:t>
                  </w:r>
                </w:p>
              </w:tc>
              <w:tc>
                <w:tcPr>
                  <w:tcW w:w="499" w:type="pct"/>
                  <w:noWrap w:val="0"/>
                  <w:vAlign w:val="center"/>
                </w:tcPr>
                <w:p w14:paraId="19BE12ED">
                  <w:pPr>
                    <w:widowControl/>
                    <w:jc w:val="center"/>
                    <w:textAlignment w:val="center"/>
                    <w:rPr>
                      <w:rFonts w:hint="default" w:ascii="Times New Roman" w:hAnsi="Times New Roman" w:cs="Times New Roman"/>
                      <w:color w:val="auto"/>
                      <w:kern w:val="0"/>
                      <w:szCs w:val="21"/>
                      <w:highlight w:val="none"/>
                      <w:lang w:bidi="ar"/>
                    </w:rPr>
                  </w:pPr>
                  <w:r>
                    <w:rPr>
                      <w:rFonts w:hint="default" w:ascii="Times New Roman" w:hAnsi="Times New Roman" w:cs="Times New Roman"/>
                      <w:b w:val="0"/>
                      <w:bCs/>
                      <w:color w:val="auto"/>
                      <w:szCs w:val="21"/>
                      <w:highlight w:val="none"/>
                      <w:lang w:val="en-US" w:eastAsia="zh-CN"/>
                    </w:rPr>
                    <w:t>/</w:t>
                  </w:r>
                </w:p>
              </w:tc>
              <w:tc>
                <w:tcPr>
                  <w:tcW w:w="554" w:type="pct"/>
                  <w:noWrap w:val="0"/>
                  <w:vAlign w:val="center"/>
                </w:tcPr>
                <w:p w14:paraId="35969417">
                  <w:pPr>
                    <w:widowControl/>
                    <w:jc w:val="center"/>
                    <w:textAlignment w:val="center"/>
                    <w:rPr>
                      <w:rFonts w:hint="default" w:ascii="Times New Roman" w:hAnsi="Times New Roman" w:cs="Times New Roman"/>
                      <w:color w:val="auto"/>
                      <w:kern w:val="0"/>
                      <w:szCs w:val="21"/>
                      <w:highlight w:val="none"/>
                      <w:lang w:bidi="ar"/>
                    </w:rPr>
                  </w:pPr>
                  <w:r>
                    <w:rPr>
                      <w:rFonts w:hint="default" w:ascii="Times New Roman" w:hAnsi="Times New Roman" w:cs="Times New Roman"/>
                      <w:b w:val="0"/>
                      <w:bCs/>
                      <w:color w:val="auto"/>
                      <w:szCs w:val="21"/>
                      <w:highlight w:val="none"/>
                      <w:lang w:val="en-US" w:eastAsia="zh-CN"/>
                    </w:rPr>
                    <w:t>/</w:t>
                  </w:r>
                </w:p>
              </w:tc>
            </w:tr>
            <w:tr w14:paraId="1E7566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72" w:type="pct"/>
                  <w:gridSpan w:val="3"/>
                  <w:noWrap w:val="0"/>
                  <w:vAlign w:val="center"/>
                </w:tcPr>
                <w:p w14:paraId="3D413D4E">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合计</w:t>
                  </w:r>
                </w:p>
              </w:tc>
              <w:tc>
                <w:tcPr>
                  <w:tcW w:w="1274" w:type="pct"/>
                  <w:noWrap w:val="0"/>
                  <w:vAlign w:val="center"/>
                </w:tcPr>
                <w:p w14:paraId="7BE1DA38">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cs="Times New Roman"/>
                      <w:i w:val="0"/>
                      <w:iCs w:val="0"/>
                      <w:color w:val="auto"/>
                      <w:kern w:val="2"/>
                      <w:sz w:val="21"/>
                      <w:szCs w:val="21"/>
                      <w:highlight w:val="none"/>
                      <w:u w:val="none"/>
                      <w:lang w:val="en-US" w:eastAsia="zh-CN" w:bidi="ar-SA"/>
                    </w:rPr>
                    <w:t>6.892</w:t>
                  </w:r>
                </w:p>
              </w:tc>
              <w:tc>
                <w:tcPr>
                  <w:tcW w:w="499" w:type="pct"/>
                  <w:noWrap w:val="0"/>
                  <w:vAlign w:val="center"/>
                </w:tcPr>
                <w:p w14:paraId="04A6C664">
                  <w:pPr>
                    <w:widowControl/>
                    <w:jc w:val="center"/>
                    <w:textAlignment w:val="center"/>
                    <w:rPr>
                      <w:rFonts w:hint="default" w:ascii="Times New Roman" w:hAnsi="Times New Roman" w:eastAsia="宋体" w:cs="Times New Roman"/>
                      <w:color w:val="auto"/>
                      <w:kern w:val="0"/>
                      <w:szCs w:val="21"/>
                      <w:highlight w:val="none"/>
                      <w:lang w:val="en-US" w:eastAsia="zh-CN" w:bidi="ar"/>
                    </w:rPr>
                  </w:pPr>
                  <w:r>
                    <w:rPr>
                      <w:rFonts w:hint="eastAsia" w:cs="Times New Roman"/>
                      <w:color w:val="auto"/>
                      <w:kern w:val="0"/>
                      <w:szCs w:val="21"/>
                      <w:highlight w:val="none"/>
                      <w:lang w:val="en-US" w:eastAsia="zh-CN" w:bidi="ar"/>
                    </w:rPr>
                    <w:t>0.75</w:t>
                  </w:r>
                </w:p>
              </w:tc>
              <w:tc>
                <w:tcPr>
                  <w:tcW w:w="554" w:type="pct"/>
                  <w:noWrap w:val="0"/>
                  <w:vAlign w:val="center"/>
                </w:tcPr>
                <w:p w14:paraId="53CDFF9C">
                  <w:pPr>
                    <w:widowControl/>
                    <w:jc w:val="center"/>
                    <w:textAlignment w:val="center"/>
                    <w:rPr>
                      <w:rFonts w:hint="default" w:ascii="Times New Roman" w:hAnsi="Times New Roman" w:cs="Times New Roman"/>
                      <w:color w:val="auto"/>
                      <w:kern w:val="0"/>
                      <w:szCs w:val="21"/>
                      <w:highlight w:val="none"/>
                      <w:lang w:val="en-US" w:eastAsia="zh-CN" w:bidi="ar"/>
                    </w:rPr>
                  </w:pPr>
                  <w:r>
                    <w:rPr>
                      <w:rFonts w:hint="eastAsia" w:cs="Times New Roman"/>
                      <w:color w:val="auto"/>
                      <w:kern w:val="0"/>
                      <w:szCs w:val="21"/>
                      <w:highlight w:val="none"/>
                      <w:lang w:val="en-US" w:eastAsia="zh-CN" w:bidi="ar"/>
                    </w:rPr>
                    <w:t>1.5</w:t>
                  </w:r>
                </w:p>
              </w:tc>
            </w:tr>
          </w:tbl>
          <w:p w14:paraId="07ECD243">
            <w:pPr>
              <w:keepNext w:val="0"/>
              <w:keepLines w:val="0"/>
              <w:pageBreakBefore w:val="0"/>
              <w:widowControl/>
              <w:suppressLineNumbers w:val="0"/>
              <w:kinsoku/>
              <w:wordWrap/>
              <w:overflowPunct/>
              <w:topLinePunct w:val="0"/>
              <w:autoSpaceDE/>
              <w:autoSpaceDN/>
              <w:bidi w:val="0"/>
              <w:adjustRightInd/>
              <w:snapToGrid/>
              <w:spacing w:line="360" w:lineRule="auto"/>
              <w:ind w:firstLine="420" w:firstLineChars="200"/>
              <w:jc w:val="left"/>
              <w:textAlignment w:val="auto"/>
              <w:rPr>
                <w:rFonts w:hint="eastAsia" w:ascii="宋体" w:hAnsi="宋体" w:eastAsia="宋体" w:cs="宋体"/>
                <w:color w:val="auto"/>
                <w:sz w:val="21"/>
                <w:szCs w:val="21"/>
                <w:highlight w:val="none"/>
                <w:lang w:val="en-US" w:eastAsia="zh-CN"/>
              </w:rPr>
            </w:pPr>
            <w:r>
              <w:rPr>
                <w:rFonts w:hint="default" w:ascii="Times New Roman" w:hAnsi="Times New Roman" w:cs="Times New Roman"/>
                <w:color w:val="auto"/>
                <w:sz w:val="21"/>
                <w:szCs w:val="21"/>
                <w:highlight w:val="none"/>
              </w:rPr>
              <w:t>项目有机废气经密闭车间+</w:t>
            </w:r>
            <w:r>
              <w:rPr>
                <w:rFonts w:hint="default" w:ascii="Times New Roman" w:hAnsi="Times New Roman" w:cs="Times New Roman"/>
                <w:color w:val="auto"/>
                <w:sz w:val="21"/>
                <w:szCs w:val="21"/>
                <w:highlight w:val="none"/>
                <w:lang w:eastAsia="zh-CN"/>
              </w:rPr>
              <w:t>通风柜</w:t>
            </w:r>
            <w:r>
              <w:rPr>
                <w:rFonts w:hint="default" w:ascii="Times New Roman" w:hAnsi="Times New Roman" w:cs="Times New Roman"/>
                <w:color w:val="auto"/>
                <w:sz w:val="21"/>
                <w:szCs w:val="21"/>
                <w:highlight w:val="none"/>
              </w:rPr>
              <w:t>收集，</w:t>
            </w:r>
            <w:r>
              <w:rPr>
                <w:rFonts w:hint="eastAsia" w:ascii="宋体" w:hAnsi="宋体" w:eastAsia="宋体" w:cs="宋体"/>
                <w:color w:val="auto"/>
                <w:sz w:val="21"/>
                <w:szCs w:val="21"/>
                <w:highlight w:val="none"/>
                <w:lang w:val="en-US" w:eastAsia="zh-CN"/>
              </w:rPr>
              <w:t>参考《广东省工业源挥发性有机物减排量核算方法（2023年修订版）》中表3.3-2废气收集集气效率参考值</w:t>
            </w:r>
            <w:r>
              <w:rPr>
                <w:rFonts w:hint="eastAsia" w:ascii="宋体" w:hAnsi="宋体" w:eastAsia="宋体" w:cs="宋体"/>
                <w:color w:val="auto"/>
                <w:sz w:val="21"/>
                <w:szCs w:val="21"/>
                <w:highlight w:val="none"/>
              </w:rPr>
              <w:t>，收集方式为</w:t>
            </w:r>
            <w:r>
              <w:rPr>
                <w:rFonts w:hint="eastAsia" w:ascii="宋体" w:hAnsi="宋体" w:eastAsia="宋体" w:cs="宋体"/>
                <w:color w:val="auto"/>
                <w:kern w:val="0"/>
                <w:sz w:val="21"/>
                <w:szCs w:val="21"/>
                <w:highlight w:val="none"/>
                <w:lang w:val="en-US" w:eastAsia="zh-CN" w:bidi="ar"/>
              </w:rPr>
              <w:t>VOCs产生源设置在密闭车间内，所有开口处，包括人员或物料进出口处呈负压，且无明显泄漏点</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rPr>
              <w:t>收集效率为</w:t>
            </w:r>
            <w:r>
              <w:rPr>
                <w:rFonts w:hint="eastAsia" w:ascii="宋体" w:hAnsi="宋体" w:eastAsia="宋体" w:cs="宋体"/>
                <w:color w:val="auto"/>
                <w:sz w:val="21"/>
                <w:szCs w:val="21"/>
                <w:highlight w:val="none"/>
                <w:lang w:val="en-US" w:eastAsia="zh-CN"/>
              </w:rPr>
              <w:t>90</w:t>
            </w:r>
            <w:r>
              <w:rPr>
                <w:rFonts w:hint="eastAsia" w:ascii="宋体" w:hAnsi="宋体" w:eastAsia="宋体" w:cs="宋体"/>
                <w:color w:val="auto"/>
                <w:sz w:val="21"/>
                <w:szCs w:val="21"/>
                <w:highlight w:val="none"/>
              </w:rPr>
              <w:t>%</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lang w:val="en-US" w:eastAsia="zh-CN"/>
              </w:rPr>
              <w:t>本项目</w:t>
            </w:r>
            <w:r>
              <w:rPr>
                <w:rFonts w:hint="eastAsia" w:ascii="宋体" w:hAnsi="宋体" w:cs="宋体"/>
                <w:color w:val="auto"/>
                <w:sz w:val="21"/>
                <w:szCs w:val="21"/>
                <w:highlight w:val="none"/>
                <w:lang w:val="en-US" w:eastAsia="zh-CN"/>
              </w:rPr>
              <w:t>在</w:t>
            </w:r>
            <w:r>
              <w:rPr>
                <w:rFonts w:hint="eastAsia" w:ascii="宋体" w:hAnsi="宋体" w:eastAsia="宋体" w:cs="宋体"/>
                <w:color w:val="auto"/>
                <w:sz w:val="21"/>
                <w:szCs w:val="21"/>
                <w:highlight w:val="none"/>
                <w:lang w:val="en-US" w:eastAsia="zh-CN"/>
              </w:rPr>
              <w:t>密闭实验室，除人员和物料进出口处均做到负压，没有明显泄漏点，因此本</w:t>
            </w:r>
            <w:r>
              <w:rPr>
                <w:rFonts w:hint="eastAsia" w:ascii="宋体" w:hAnsi="宋体" w:eastAsia="宋体" w:cs="宋体"/>
                <w:color w:val="auto"/>
                <w:sz w:val="21"/>
                <w:szCs w:val="21"/>
                <w:highlight w:val="none"/>
              </w:rPr>
              <w:t>项目收集效率</w:t>
            </w:r>
            <w:r>
              <w:rPr>
                <w:rFonts w:hint="eastAsia" w:ascii="宋体" w:hAnsi="宋体" w:eastAsia="宋体" w:cs="宋体"/>
                <w:color w:val="auto"/>
                <w:sz w:val="21"/>
                <w:szCs w:val="21"/>
                <w:highlight w:val="none"/>
                <w:lang w:val="en-US" w:eastAsia="zh-CN"/>
              </w:rPr>
              <w:t>按照9</w:t>
            </w:r>
            <w:r>
              <w:rPr>
                <w:rFonts w:hint="eastAsia" w:ascii="宋体" w:hAnsi="宋体" w:eastAsia="宋体" w:cs="宋体"/>
                <w:color w:val="auto"/>
                <w:sz w:val="21"/>
                <w:szCs w:val="21"/>
                <w:highlight w:val="none"/>
              </w:rPr>
              <w:t>0%</w:t>
            </w:r>
            <w:r>
              <w:rPr>
                <w:rFonts w:hint="eastAsia" w:ascii="宋体" w:hAnsi="宋体" w:eastAsia="宋体" w:cs="宋体"/>
                <w:color w:val="auto"/>
                <w:sz w:val="21"/>
                <w:szCs w:val="21"/>
                <w:highlight w:val="none"/>
                <w:lang w:val="en-US" w:eastAsia="zh-CN"/>
              </w:rPr>
              <w:t>计算</w:t>
            </w:r>
            <w:r>
              <w:rPr>
                <w:rFonts w:hint="eastAsia" w:ascii="宋体" w:hAnsi="宋体" w:eastAsia="宋体" w:cs="宋体"/>
                <w:color w:val="auto"/>
                <w:sz w:val="21"/>
                <w:szCs w:val="21"/>
                <w:highlight w:val="none"/>
              </w:rPr>
              <w:t>。</w:t>
            </w:r>
          </w:p>
          <w:p w14:paraId="45E4286B">
            <w:pPr>
              <w:keepNext w:val="0"/>
              <w:keepLines w:val="0"/>
              <w:pageBreakBefore w:val="0"/>
              <w:widowControl/>
              <w:suppressLineNumbers w:val="0"/>
              <w:kinsoku/>
              <w:wordWrap/>
              <w:overflowPunct/>
              <w:topLinePunct w:val="0"/>
              <w:autoSpaceDE/>
              <w:autoSpaceDN/>
              <w:bidi w:val="0"/>
              <w:adjustRightInd/>
              <w:snapToGrid/>
              <w:spacing w:line="360" w:lineRule="auto"/>
              <w:ind w:firstLine="420" w:firstLineChars="200"/>
              <w:jc w:val="left"/>
              <w:textAlignment w:val="auto"/>
              <w:rPr>
                <w:rFonts w:hint="default" w:ascii="宋体" w:hAnsi="宋体" w:eastAsia="宋体" w:cs="宋体"/>
                <w:color w:val="auto"/>
                <w:sz w:val="21"/>
                <w:szCs w:val="21"/>
                <w:highlight w:val="none"/>
                <w:lang w:val="en-US" w:eastAsia="zh-CN"/>
              </w:rPr>
            </w:pPr>
            <w:r>
              <w:rPr>
                <w:rFonts w:hint="default" w:ascii="Times New Roman" w:hAnsi="Times New Roman" w:cs="Times New Roman"/>
                <w:color w:val="auto"/>
                <w:sz w:val="21"/>
                <w:szCs w:val="21"/>
                <w:highlight w:val="none"/>
              </w:rPr>
              <w:t>项目有机废气经密闭车间+</w:t>
            </w:r>
            <w:r>
              <w:rPr>
                <w:rFonts w:hint="default" w:ascii="Times New Roman" w:hAnsi="Times New Roman" w:cs="Times New Roman"/>
                <w:color w:val="auto"/>
                <w:sz w:val="21"/>
                <w:szCs w:val="21"/>
                <w:highlight w:val="none"/>
                <w:lang w:eastAsia="zh-CN"/>
              </w:rPr>
              <w:t>通风柜</w:t>
            </w:r>
            <w:r>
              <w:rPr>
                <w:rFonts w:hint="default" w:ascii="Times New Roman" w:hAnsi="Times New Roman" w:cs="Times New Roman"/>
                <w:color w:val="auto"/>
                <w:sz w:val="21"/>
                <w:szCs w:val="21"/>
                <w:highlight w:val="none"/>
              </w:rPr>
              <w:t>收集</w:t>
            </w:r>
            <w:r>
              <w:rPr>
                <w:rFonts w:hint="eastAsia" w:cs="Times New Roman"/>
                <w:color w:val="auto"/>
                <w:sz w:val="21"/>
                <w:szCs w:val="21"/>
                <w:highlight w:val="none"/>
                <w:lang w:val="en-US" w:eastAsia="zh-CN"/>
              </w:rPr>
              <w:t>后</w:t>
            </w:r>
            <w:r>
              <w:rPr>
                <w:rFonts w:hint="default" w:ascii="Times New Roman" w:hAnsi="Times New Roman" w:eastAsia="宋体" w:cs="Times New Roman"/>
                <w:color w:val="auto"/>
                <w:kern w:val="2"/>
                <w:sz w:val="21"/>
                <w:szCs w:val="21"/>
                <w:highlight w:val="none"/>
                <w:lang w:val="en-US" w:eastAsia="zh-CN" w:bidi="ar-SA"/>
              </w:rPr>
              <w:t>汇入到1套</w:t>
            </w:r>
            <w:r>
              <w:rPr>
                <w:rFonts w:hint="eastAsia" w:cs="Times New Roman"/>
                <w:color w:val="auto"/>
                <w:kern w:val="2"/>
                <w:sz w:val="21"/>
                <w:szCs w:val="21"/>
                <w:highlight w:val="none"/>
                <w:lang w:val="en-US" w:eastAsia="zh-CN" w:bidi="ar-SA"/>
              </w:rPr>
              <w:t>单级</w:t>
            </w:r>
            <w:r>
              <w:rPr>
                <w:rFonts w:hint="default" w:ascii="Times New Roman" w:hAnsi="Times New Roman" w:eastAsia="宋体" w:cs="Times New Roman"/>
                <w:color w:val="auto"/>
                <w:kern w:val="2"/>
                <w:sz w:val="21"/>
                <w:szCs w:val="21"/>
                <w:highlight w:val="none"/>
                <w:lang w:val="en-US" w:eastAsia="zh-CN" w:bidi="ar-SA"/>
              </w:rPr>
              <w:t>活性炭吸附装置进行处理后经排气筒</w:t>
            </w:r>
            <w:r>
              <w:rPr>
                <w:rFonts w:hint="eastAsia" w:ascii="Times New Roman" w:eastAsia="宋体" w:cs="Times New Roman"/>
                <w:color w:val="auto"/>
                <w:kern w:val="2"/>
                <w:sz w:val="21"/>
                <w:szCs w:val="21"/>
                <w:highlight w:val="none"/>
                <w:lang w:val="en-US" w:eastAsia="zh-CN" w:bidi="ar-SA"/>
              </w:rPr>
              <w:t>有组织</w:t>
            </w:r>
            <w:r>
              <w:rPr>
                <w:rFonts w:hint="default" w:ascii="Times New Roman" w:hAnsi="Times New Roman" w:eastAsia="宋体" w:cs="Times New Roman"/>
                <w:color w:val="auto"/>
                <w:kern w:val="2"/>
                <w:sz w:val="21"/>
                <w:szCs w:val="21"/>
                <w:highlight w:val="none"/>
                <w:lang w:val="en-US" w:eastAsia="zh-CN" w:bidi="ar-SA"/>
              </w:rPr>
              <w:t>排放。</w:t>
            </w:r>
            <w:r>
              <w:rPr>
                <w:rFonts w:hint="eastAsia" w:cs="Times New Roman"/>
                <w:color w:val="auto"/>
                <w:kern w:val="2"/>
                <w:sz w:val="21"/>
                <w:szCs w:val="21"/>
                <w:highlight w:val="none"/>
                <w:lang w:val="en-US" w:eastAsia="zh-CN" w:bidi="ar-SA"/>
              </w:rPr>
              <w:t>对有机废气</w:t>
            </w:r>
            <w:r>
              <w:rPr>
                <w:rFonts w:hint="eastAsia" w:ascii="宋体" w:hAnsi="宋体" w:cs="宋体"/>
                <w:color w:val="auto"/>
                <w:sz w:val="21"/>
                <w:szCs w:val="21"/>
                <w:highlight w:val="none"/>
                <w:lang w:val="en-US" w:eastAsia="zh-CN"/>
              </w:rPr>
              <w:t>处理效率可达到60%（因项目有机废气浓度太低，因此处理效率无法达到90%）。</w:t>
            </w:r>
          </w:p>
          <w:p w14:paraId="47517EF7">
            <w:pPr>
              <w:widowControl/>
              <w:numPr>
                <w:ilvl w:val="0"/>
                <w:numId w:val="0"/>
              </w:numPr>
              <w:spacing w:line="360" w:lineRule="auto"/>
              <w:ind w:leftChars="0"/>
              <w:contextualSpacing/>
              <w:jc w:val="center"/>
              <w:rPr>
                <w:rFonts w:hint="default" w:ascii="Times New Roman" w:hAnsi="Times New Roman" w:eastAsia="宋体" w:cs="Times New Roman"/>
                <w:b/>
                <w:bCs/>
                <w:color w:val="auto"/>
                <w:kern w:val="2"/>
                <w:sz w:val="21"/>
                <w:szCs w:val="21"/>
                <w:highlight w:val="none"/>
                <w:lang w:val="en-US" w:eastAsia="zh-CN" w:bidi="ar-SA"/>
              </w:rPr>
            </w:pPr>
            <w:r>
              <w:rPr>
                <w:rFonts w:hint="eastAsia" w:cs="Times New Roman"/>
                <w:b/>
                <w:bCs/>
                <w:color w:val="auto"/>
                <w:kern w:val="2"/>
                <w:sz w:val="21"/>
                <w:szCs w:val="21"/>
                <w:highlight w:val="none"/>
                <w:lang w:val="en-US" w:eastAsia="zh-CN" w:bidi="ar-SA"/>
              </w:rPr>
              <w:t>表23有机废气</w:t>
            </w:r>
            <w:r>
              <w:rPr>
                <w:rFonts w:hint="default" w:ascii="Times New Roman" w:hAnsi="Times New Roman" w:eastAsia="宋体" w:cs="Times New Roman"/>
                <w:b/>
                <w:bCs/>
                <w:color w:val="auto"/>
                <w:kern w:val="2"/>
                <w:sz w:val="21"/>
                <w:szCs w:val="21"/>
                <w:highlight w:val="none"/>
                <w:lang w:val="en-US" w:eastAsia="zh-CN" w:bidi="ar-SA"/>
              </w:rPr>
              <w:t>风量计算</w:t>
            </w:r>
          </w:p>
          <w:tbl>
            <w:tblPr>
              <w:tblStyle w:val="34"/>
              <w:tblW w:w="4995"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53"/>
              <w:gridCol w:w="801"/>
              <w:gridCol w:w="427"/>
              <w:gridCol w:w="1313"/>
              <w:gridCol w:w="605"/>
              <w:gridCol w:w="822"/>
              <w:gridCol w:w="747"/>
              <w:gridCol w:w="794"/>
              <w:gridCol w:w="899"/>
              <w:gridCol w:w="768"/>
              <w:gridCol w:w="752"/>
            </w:tblGrid>
            <w:tr w14:paraId="3EB6B4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4" w:type="pct"/>
                  <w:noWrap w:val="0"/>
                  <w:vAlign w:val="center"/>
                </w:tcPr>
                <w:p w14:paraId="46DB6E4D">
                  <w:pPr>
                    <w:pStyle w:val="75"/>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cs="Times New Roman"/>
                      <w:b/>
                      <w:bCs w:val="0"/>
                      <w:color w:val="auto"/>
                      <w:sz w:val="21"/>
                      <w:szCs w:val="21"/>
                      <w:highlight w:val="none"/>
                      <w:vertAlign w:val="baseline"/>
                      <w:lang w:val="en-US" w:eastAsia="zh-CN"/>
                    </w:rPr>
                  </w:pPr>
                  <w:r>
                    <w:rPr>
                      <w:rFonts w:hint="default" w:ascii="Times New Roman" w:hAnsi="Times New Roman" w:cs="Times New Roman"/>
                      <w:b/>
                      <w:bCs w:val="0"/>
                      <w:color w:val="auto"/>
                      <w:sz w:val="21"/>
                      <w:szCs w:val="21"/>
                      <w:highlight w:val="none"/>
                      <w:vertAlign w:val="baseline"/>
                      <w:lang w:val="en-US" w:eastAsia="zh-CN"/>
                    </w:rPr>
                    <w:t>对应排放口编号</w:t>
                  </w:r>
                </w:p>
              </w:tc>
              <w:tc>
                <w:tcPr>
                  <w:tcW w:w="480" w:type="pct"/>
                  <w:noWrap w:val="0"/>
                  <w:vAlign w:val="center"/>
                </w:tcPr>
                <w:p w14:paraId="6ED01E46">
                  <w:pPr>
                    <w:pStyle w:val="75"/>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cs="Times New Roman"/>
                      <w:b/>
                      <w:bCs w:val="0"/>
                      <w:color w:val="auto"/>
                      <w:sz w:val="21"/>
                      <w:szCs w:val="21"/>
                      <w:highlight w:val="none"/>
                      <w:vertAlign w:val="baseline"/>
                      <w:lang w:val="en-US" w:eastAsia="zh-CN"/>
                    </w:rPr>
                  </w:pPr>
                  <w:r>
                    <w:rPr>
                      <w:rFonts w:hint="default" w:ascii="Times New Roman" w:hAnsi="Times New Roman" w:cs="Times New Roman"/>
                      <w:b/>
                      <w:bCs w:val="0"/>
                      <w:color w:val="auto"/>
                      <w:sz w:val="21"/>
                      <w:szCs w:val="21"/>
                      <w:highlight w:val="none"/>
                      <w:vertAlign w:val="baseline"/>
                      <w:lang w:val="en-US" w:eastAsia="zh-CN"/>
                    </w:rPr>
                    <w:t>区域</w:t>
                  </w:r>
                </w:p>
              </w:tc>
              <w:tc>
                <w:tcPr>
                  <w:tcW w:w="251" w:type="pct"/>
                  <w:noWrap w:val="0"/>
                  <w:vAlign w:val="center"/>
                </w:tcPr>
                <w:p w14:paraId="392CED90">
                  <w:pPr>
                    <w:pStyle w:val="75"/>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cs="Times New Roman"/>
                      <w:b/>
                      <w:bCs w:val="0"/>
                      <w:color w:val="auto"/>
                      <w:sz w:val="21"/>
                      <w:szCs w:val="21"/>
                      <w:highlight w:val="none"/>
                      <w:vertAlign w:val="baseline"/>
                      <w:lang w:val="en-US" w:eastAsia="zh-CN"/>
                    </w:rPr>
                  </w:pPr>
                  <w:r>
                    <w:rPr>
                      <w:rFonts w:hint="default" w:ascii="Times New Roman" w:hAnsi="Times New Roman" w:cs="Times New Roman"/>
                      <w:b/>
                      <w:bCs w:val="0"/>
                      <w:color w:val="auto"/>
                      <w:sz w:val="21"/>
                      <w:szCs w:val="21"/>
                      <w:highlight w:val="none"/>
                      <w:vertAlign w:val="baseline"/>
                      <w:lang w:val="en-US" w:eastAsia="zh-CN"/>
                    </w:rPr>
                    <w:t>数量/个</w:t>
                  </w:r>
                </w:p>
              </w:tc>
              <w:tc>
                <w:tcPr>
                  <w:tcW w:w="781" w:type="pct"/>
                  <w:noWrap w:val="0"/>
                  <w:vAlign w:val="center"/>
                </w:tcPr>
                <w:p w14:paraId="45BEC34A">
                  <w:pPr>
                    <w:pStyle w:val="75"/>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cs="Times New Roman"/>
                      <w:b/>
                      <w:bCs w:val="0"/>
                      <w:color w:val="auto"/>
                      <w:sz w:val="21"/>
                      <w:szCs w:val="21"/>
                      <w:highlight w:val="none"/>
                      <w:vertAlign w:val="baseline"/>
                      <w:lang w:val="en-US" w:eastAsia="zh-CN"/>
                    </w:rPr>
                  </w:pPr>
                  <w:r>
                    <w:rPr>
                      <w:rFonts w:hint="default" w:ascii="Times New Roman" w:hAnsi="Times New Roman" w:cs="Times New Roman"/>
                      <w:b/>
                      <w:bCs w:val="0"/>
                      <w:color w:val="auto"/>
                      <w:sz w:val="21"/>
                      <w:szCs w:val="21"/>
                      <w:highlight w:val="none"/>
                      <w:vertAlign w:val="baseline"/>
                      <w:lang w:val="en-US" w:eastAsia="zh-CN"/>
                    </w:rPr>
                    <w:t>面积及高度</w:t>
                  </w:r>
                </w:p>
              </w:tc>
              <w:tc>
                <w:tcPr>
                  <w:tcW w:w="364" w:type="pct"/>
                  <w:noWrap w:val="0"/>
                  <w:vAlign w:val="center"/>
                </w:tcPr>
                <w:p w14:paraId="7F07A305">
                  <w:pPr>
                    <w:pStyle w:val="75"/>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cs="Times New Roman"/>
                      <w:b/>
                      <w:bCs w:val="0"/>
                      <w:color w:val="auto"/>
                      <w:sz w:val="21"/>
                      <w:szCs w:val="21"/>
                      <w:highlight w:val="none"/>
                      <w:vertAlign w:val="baseline"/>
                      <w:lang w:val="en-US" w:eastAsia="zh-CN"/>
                    </w:rPr>
                  </w:pPr>
                  <w:r>
                    <w:rPr>
                      <w:rFonts w:hint="default" w:ascii="Times New Roman" w:hAnsi="Times New Roman" w:cs="Times New Roman"/>
                      <w:b/>
                      <w:bCs w:val="0"/>
                      <w:color w:val="auto"/>
                      <w:sz w:val="21"/>
                      <w:szCs w:val="21"/>
                      <w:highlight w:val="none"/>
                      <w:vertAlign w:val="baseline"/>
                      <w:lang w:val="en-US" w:eastAsia="zh-CN"/>
                    </w:rPr>
                    <w:t>收集方式</w:t>
                  </w:r>
                </w:p>
              </w:tc>
              <w:tc>
                <w:tcPr>
                  <w:tcW w:w="492" w:type="pct"/>
                  <w:noWrap w:val="0"/>
                  <w:vAlign w:val="center"/>
                </w:tcPr>
                <w:p w14:paraId="02021174">
                  <w:pPr>
                    <w:pStyle w:val="75"/>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cs="Times New Roman"/>
                      <w:b/>
                      <w:bCs w:val="0"/>
                      <w:color w:val="auto"/>
                      <w:sz w:val="21"/>
                      <w:szCs w:val="21"/>
                      <w:highlight w:val="none"/>
                      <w:vertAlign w:val="baseline"/>
                      <w:lang w:val="en-US" w:eastAsia="zh-CN"/>
                    </w:rPr>
                  </w:pPr>
                  <w:r>
                    <w:rPr>
                      <w:rFonts w:hint="default" w:ascii="Times New Roman" w:hAnsi="Times New Roman" w:cs="Times New Roman"/>
                      <w:b/>
                      <w:bCs w:val="0"/>
                      <w:color w:val="auto"/>
                      <w:sz w:val="21"/>
                      <w:szCs w:val="21"/>
                      <w:highlight w:val="none"/>
                      <w:vertAlign w:val="baseline"/>
                      <w:lang w:val="en-US" w:eastAsia="zh-CN"/>
                    </w:rPr>
                    <w:t>单个区域体积/m</w:t>
                  </w:r>
                  <w:r>
                    <w:rPr>
                      <w:rFonts w:hint="default" w:ascii="Times New Roman" w:hAnsi="Times New Roman" w:cs="Times New Roman"/>
                      <w:b/>
                      <w:bCs w:val="0"/>
                      <w:color w:val="auto"/>
                      <w:sz w:val="21"/>
                      <w:szCs w:val="21"/>
                      <w:highlight w:val="none"/>
                      <w:vertAlign w:val="superscript"/>
                      <w:lang w:val="en-US" w:eastAsia="zh-CN"/>
                    </w:rPr>
                    <w:t>3</w:t>
                  </w:r>
                </w:p>
              </w:tc>
              <w:tc>
                <w:tcPr>
                  <w:tcW w:w="448" w:type="pct"/>
                  <w:noWrap w:val="0"/>
                  <w:vAlign w:val="center"/>
                </w:tcPr>
                <w:p w14:paraId="4CFE5A50">
                  <w:pPr>
                    <w:pStyle w:val="75"/>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cs="Times New Roman"/>
                      <w:b/>
                      <w:bCs w:val="0"/>
                      <w:color w:val="auto"/>
                      <w:sz w:val="21"/>
                      <w:szCs w:val="21"/>
                      <w:highlight w:val="none"/>
                      <w:vertAlign w:val="baseline"/>
                      <w:lang w:val="en-US" w:eastAsia="zh-CN"/>
                    </w:rPr>
                  </w:pPr>
                  <w:r>
                    <w:rPr>
                      <w:rFonts w:hint="default" w:ascii="Times New Roman" w:hAnsi="Times New Roman" w:cs="Times New Roman"/>
                      <w:b/>
                      <w:bCs w:val="0"/>
                      <w:color w:val="auto"/>
                      <w:sz w:val="21"/>
                      <w:szCs w:val="21"/>
                      <w:highlight w:val="none"/>
                      <w:vertAlign w:val="baseline"/>
                      <w:lang w:val="en-US" w:eastAsia="zh-CN"/>
                    </w:rPr>
                    <w:t>每小时换气次数/次</w:t>
                  </w:r>
                </w:p>
              </w:tc>
              <w:tc>
                <w:tcPr>
                  <w:tcW w:w="468" w:type="pct"/>
                  <w:noWrap w:val="0"/>
                  <w:vAlign w:val="center"/>
                </w:tcPr>
                <w:p w14:paraId="0BFEF6C2">
                  <w:pPr>
                    <w:pStyle w:val="75"/>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default" w:ascii="Times New Roman" w:hAnsi="Times New Roman" w:cs="Times New Roman"/>
                      <w:b/>
                      <w:bCs w:val="0"/>
                      <w:color w:val="auto"/>
                      <w:sz w:val="21"/>
                      <w:szCs w:val="21"/>
                      <w:highlight w:val="none"/>
                      <w:vertAlign w:val="baseline"/>
                      <w:lang w:val="en-US" w:eastAsia="zh-CN"/>
                    </w:rPr>
                    <w:t>所需排气量</w:t>
                  </w:r>
                  <w:r>
                    <w:rPr>
                      <w:rFonts w:hint="default" w:ascii="Times New Roman" w:hAnsi="Times New Roman" w:cs="Times New Roman"/>
                      <w:color w:val="auto"/>
                      <w:sz w:val="21"/>
                      <w:szCs w:val="21"/>
                      <w:highlight w:val="none"/>
                    </w:rPr>
                    <w:t>m</w:t>
                  </w:r>
                  <w:r>
                    <w:rPr>
                      <w:rFonts w:hint="default" w:ascii="Times New Roman" w:hAnsi="Times New Roman" w:cs="Times New Roman"/>
                      <w:color w:val="auto"/>
                      <w:sz w:val="21"/>
                      <w:szCs w:val="21"/>
                      <w:highlight w:val="none"/>
                      <w:vertAlign w:val="superscript"/>
                    </w:rPr>
                    <w:t>3</w:t>
                  </w:r>
                  <w:r>
                    <w:rPr>
                      <w:rFonts w:hint="default" w:ascii="Times New Roman" w:hAnsi="Times New Roman" w:cs="Times New Roman"/>
                      <w:color w:val="auto"/>
                      <w:sz w:val="21"/>
                      <w:szCs w:val="21"/>
                      <w:highlight w:val="none"/>
                    </w:rPr>
                    <w:t>/</w:t>
                  </w:r>
                  <w:r>
                    <w:rPr>
                      <w:rFonts w:hint="default" w:ascii="Times New Roman" w:hAnsi="Times New Roman" w:cs="Times New Roman"/>
                      <w:color w:val="auto"/>
                      <w:sz w:val="21"/>
                      <w:szCs w:val="21"/>
                      <w:highlight w:val="none"/>
                      <w:lang w:val="en-US" w:eastAsia="zh-CN"/>
                    </w:rPr>
                    <w:t>h</w:t>
                  </w:r>
                </w:p>
              </w:tc>
              <w:tc>
                <w:tcPr>
                  <w:tcW w:w="468" w:type="pct"/>
                  <w:noWrap w:val="0"/>
                  <w:vAlign w:val="center"/>
                </w:tcPr>
                <w:p w14:paraId="770524F1">
                  <w:pPr>
                    <w:pStyle w:val="75"/>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cs="Times New Roman"/>
                      <w:b/>
                      <w:bCs w:val="0"/>
                      <w:color w:val="auto"/>
                      <w:sz w:val="21"/>
                      <w:szCs w:val="21"/>
                      <w:highlight w:val="none"/>
                      <w:vertAlign w:val="baseline"/>
                      <w:lang w:val="en-US" w:eastAsia="zh-CN"/>
                    </w:rPr>
                  </w:pPr>
                  <w:r>
                    <w:rPr>
                      <w:rFonts w:hint="default" w:ascii="Times New Roman" w:hAnsi="Times New Roman" w:cs="Times New Roman"/>
                      <w:b/>
                      <w:bCs w:val="0"/>
                      <w:color w:val="auto"/>
                      <w:sz w:val="21"/>
                      <w:szCs w:val="21"/>
                      <w:highlight w:val="none"/>
                      <w:vertAlign w:val="baseline"/>
                      <w:lang w:val="en-US" w:eastAsia="zh-CN"/>
                    </w:rPr>
                    <w:t>总所需排气量</w:t>
                  </w:r>
                  <w:r>
                    <w:rPr>
                      <w:rFonts w:hint="default" w:ascii="Times New Roman" w:hAnsi="Times New Roman" w:cs="Times New Roman"/>
                      <w:color w:val="auto"/>
                      <w:sz w:val="21"/>
                      <w:szCs w:val="21"/>
                      <w:highlight w:val="none"/>
                    </w:rPr>
                    <w:t>m</w:t>
                  </w:r>
                  <w:r>
                    <w:rPr>
                      <w:rFonts w:hint="default" w:ascii="Times New Roman" w:hAnsi="Times New Roman" w:cs="Times New Roman"/>
                      <w:color w:val="auto"/>
                      <w:sz w:val="21"/>
                      <w:szCs w:val="21"/>
                      <w:highlight w:val="none"/>
                      <w:vertAlign w:val="superscript"/>
                    </w:rPr>
                    <w:t>3</w:t>
                  </w:r>
                  <w:r>
                    <w:rPr>
                      <w:rFonts w:hint="default" w:ascii="Times New Roman" w:hAnsi="Times New Roman" w:cs="Times New Roman"/>
                      <w:color w:val="auto"/>
                      <w:sz w:val="21"/>
                      <w:szCs w:val="21"/>
                      <w:highlight w:val="none"/>
                    </w:rPr>
                    <w:t>/</w:t>
                  </w:r>
                  <w:r>
                    <w:rPr>
                      <w:rFonts w:hint="default" w:ascii="Times New Roman" w:hAnsi="Times New Roman" w:cs="Times New Roman"/>
                      <w:color w:val="auto"/>
                      <w:sz w:val="21"/>
                      <w:szCs w:val="21"/>
                      <w:highlight w:val="none"/>
                      <w:lang w:val="en-US" w:eastAsia="zh-CN"/>
                    </w:rPr>
                    <w:t>h</w:t>
                  </w:r>
                </w:p>
              </w:tc>
              <w:tc>
                <w:tcPr>
                  <w:tcW w:w="460" w:type="pct"/>
                  <w:noWrap w:val="0"/>
                  <w:vAlign w:val="center"/>
                </w:tcPr>
                <w:p w14:paraId="26229DD2">
                  <w:pPr>
                    <w:pStyle w:val="75"/>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cs="Times New Roman"/>
                      <w:b/>
                      <w:bCs w:val="0"/>
                      <w:color w:val="auto"/>
                      <w:sz w:val="21"/>
                      <w:szCs w:val="21"/>
                      <w:highlight w:val="none"/>
                      <w:vertAlign w:val="baseline"/>
                      <w:lang w:val="en-US" w:eastAsia="zh-CN"/>
                    </w:rPr>
                  </w:pPr>
                  <w:r>
                    <w:rPr>
                      <w:rFonts w:hint="default" w:ascii="Times New Roman" w:hAnsi="Times New Roman" w:cs="Times New Roman"/>
                      <w:b/>
                      <w:bCs w:val="0"/>
                      <w:color w:val="auto"/>
                      <w:sz w:val="21"/>
                      <w:szCs w:val="21"/>
                      <w:highlight w:val="none"/>
                      <w:vertAlign w:val="baseline"/>
                      <w:lang w:val="en-US" w:eastAsia="zh-CN"/>
                    </w:rPr>
                    <w:t>设计风量</w:t>
                  </w:r>
                </w:p>
              </w:tc>
              <w:tc>
                <w:tcPr>
                  <w:tcW w:w="451" w:type="pct"/>
                  <w:noWrap w:val="0"/>
                  <w:vAlign w:val="center"/>
                </w:tcPr>
                <w:p w14:paraId="23F7F347">
                  <w:pPr>
                    <w:pStyle w:val="75"/>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cs="Times New Roman"/>
                      <w:b/>
                      <w:bCs w:val="0"/>
                      <w:color w:val="auto"/>
                      <w:sz w:val="21"/>
                      <w:szCs w:val="21"/>
                      <w:highlight w:val="none"/>
                      <w:vertAlign w:val="baseline"/>
                      <w:lang w:val="en-US" w:eastAsia="zh-CN"/>
                    </w:rPr>
                  </w:pPr>
                  <w:r>
                    <w:rPr>
                      <w:rFonts w:hint="eastAsia" w:ascii="Times New Roman" w:hAnsi="Times New Roman" w:cs="Times New Roman"/>
                      <w:b/>
                      <w:bCs w:val="0"/>
                      <w:color w:val="auto"/>
                      <w:sz w:val="21"/>
                      <w:szCs w:val="21"/>
                      <w:highlight w:val="none"/>
                      <w:vertAlign w:val="baseline"/>
                      <w:lang w:val="en-US" w:eastAsia="zh-CN"/>
                    </w:rPr>
                    <w:t>是否能够</w:t>
                  </w:r>
                  <w:r>
                    <w:rPr>
                      <w:rFonts w:hint="default" w:ascii="Times New Roman" w:hAnsi="Times New Roman" w:cs="Times New Roman"/>
                      <w:b/>
                      <w:bCs w:val="0"/>
                      <w:color w:val="auto"/>
                      <w:sz w:val="21"/>
                      <w:szCs w:val="21"/>
                      <w:highlight w:val="none"/>
                      <w:vertAlign w:val="baseline"/>
                      <w:lang w:val="en-US" w:eastAsia="zh-CN"/>
                    </w:rPr>
                    <w:t>满足风量要求</w:t>
                  </w:r>
                </w:p>
              </w:tc>
            </w:tr>
            <w:tr w14:paraId="6F89C9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4" w:type="pct"/>
                  <w:vMerge w:val="restart"/>
                  <w:noWrap w:val="0"/>
                  <w:vAlign w:val="center"/>
                </w:tcPr>
                <w:p w14:paraId="1DFD2520">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cs="Times New Roman"/>
                      <w:b w:val="0"/>
                      <w:bCs/>
                      <w:color w:val="auto"/>
                      <w:highlight w:val="none"/>
                      <w:lang w:val="en-US" w:eastAsia="zh-CN"/>
                    </w:rPr>
                  </w:pPr>
                  <w:r>
                    <w:rPr>
                      <w:rFonts w:hint="default" w:ascii="Times New Roman" w:hAnsi="Times New Roman" w:cs="Times New Roman"/>
                      <w:b w:val="0"/>
                      <w:bCs/>
                      <w:color w:val="auto"/>
                      <w:highlight w:val="none"/>
                      <w:lang w:val="en-US" w:eastAsia="zh-CN"/>
                    </w:rPr>
                    <w:t>G2</w:t>
                  </w:r>
                </w:p>
              </w:tc>
              <w:tc>
                <w:tcPr>
                  <w:tcW w:w="480" w:type="pct"/>
                  <w:noWrap w:val="0"/>
                  <w:vAlign w:val="center"/>
                </w:tcPr>
                <w:p w14:paraId="3C174811">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cs="Times New Roman"/>
                      <w:b w:val="0"/>
                      <w:bCs/>
                      <w:color w:val="auto"/>
                      <w:kern w:val="2"/>
                      <w:sz w:val="21"/>
                      <w:szCs w:val="24"/>
                      <w:highlight w:val="none"/>
                      <w:lang w:val="en-US" w:eastAsia="zh-CN" w:bidi="ar-SA"/>
                    </w:rPr>
                  </w:pPr>
                  <w:r>
                    <w:rPr>
                      <w:rFonts w:hint="default" w:ascii="Times New Roman" w:hAnsi="Times New Roman" w:eastAsia="宋体" w:cs="Times New Roman"/>
                      <w:color w:val="auto"/>
                      <w:sz w:val="21"/>
                      <w:szCs w:val="21"/>
                      <w:highlight w:val="none"/>
                      <w:lang w:val="en-US" w:eastAsia="zh-CN"/>
                    </w:rPr>
                    <w:t>样品制备室</w:t>
                  </w:r>
                </w:p>
              </w:tc>
              <w:tc>
                <w:tcPr>
                  <w:tcW w:w="251" w:type="pct"/>
                  <w:noWrap w:val="0"/>
                  <w:vAlign w:val="center"/>
                </w:tcPr>
                <w:p w14:paraId="09EC73BD">
                  <w:pPr>
                    <w:pStyle w:val="75"/>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cs="Times New Roman"/>
                      <w:b w:val="0"/>
                      <w:bCs/>
                      <w:color w:val="auto"/>
                      <w:sz w:val="21"/>
                      <w:szCs w:val="21"/>
                      <w:highlight w:val="none"/>
                      <w:vertAlign w:val="baseline"/>
                      <w:lang w:val="en-US" w:eastAsia="zh-CN"/>
                    </w:rPr>
                  </w:pPr>
                  <w:r>
                    <w:rPr>
                      <w:rFonts w:hint="default" w:ascii="Times New Roman" w:hAnsi="Times New Roman" w:cs="Times New Roman"/>
                      <w:b w:val="0"/>
                      <w:bCs/>
                      <w:color w:val="auto"/>
                      <w:sz w:val="21"/>
                      <w:szCs w:val="21"/>
                      <w:highlight w:val="none"/>
                      <w:vertAlign w:val="baseline"/>
                      <w:lang w:val="en-US" w:eastAsia="zh-CN"/>
                    </w:rPr>
                    <w:t>1</w:t>
                  </w:r>
                </w:p>
              </w:tc>
              <w:tc>
                <w:tcPr>
                  <w:tcW w:w="781" w:type="pct"/>
                  <w:noWrap w:val="0"/>
                  <w:vAlign w:val="center"/>
                </w:tcPr>
                <w:p w14:paraId="7CC63649">
                  <w:pPr>
                    <w:pStyle w:val="75"/>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cs="Times New Roman"/>
                      <w:b w:val="0"/>
                      <w:bCs/>
                      <w:color w:val="auto"/>
                      <w:sz w:val="21"/>
                      <w:szCs w:val="21"/>
                      <w:highlight w:val="none"/>
                      <w:vertAlign w:val="baseline"/>
                      <w:lang w:val="en-US" w:eastAsia="zh-CN"/>
                    </w:rPr>
                  </w:pPr>
                  <w:r>
                    <w:rPr>
                      <w:rFonts w:hint="eastAsia" w:cs="Times New Roman"/>
                      <w:color w:val="auto"/>
                      <w:sz w:val="21"/>
                      <w:szCs w:val="21"/>
                      <w:highlight w:val="none"/>
                      <w:lang w:val="en-US" w:eastAsia="zh-CN"/>
                    </w:rPr>
                    <w:t>28</w:t>
                  </w:r>
                  <w:r>
                    <w:rPr>
                      <w:rFonts w:hint="default" w:ascii="Times New Roman" w:hAnsi="Times New Roman" w:eastAsia="宋体" w:cs="Times New Roman"/>
                      <w:color w:val="auto"/>
                      <w:sz w:val="21"/>
                      <w:szCs w:val="21"/>
                      <w:highlight w:val="none"/>
                      <w:lang w:val="en-US" w:eastAsia="zh-CN"/>
                    </w:rPr>
                    <w:t>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cs="Times New Roman"/>
                      <w:b w:val="0"/>
                      <w:bCs/>
                      <w:color w:val="auto"/>
                      <w:sz w:val="21"/>
                      <w:szCs w:val="21"/>
                      <w:highlight w:val="none"/>
                      <w:vertAlign w:val="baseline"/>
                      <w:lang w:val="en-US" w:eastAsia="zh-CN"/>
                    </w:rPr>
                    <w:t>，</w:t>
                  </w:r>
                  <w:r>
                    <w:rPr>
                      <w:rFonts w:hint="eastAsia" w:cs="Times New Roman"/>
                      <w:b w:val="0"/>
                      <w:bCs/>
                      <w:color w:val="auto"/>
                      <w:sz w:val="21"/>
                      <w:szCs w:val="21"/>
                      <w:highlight w:val="none"/>
                      <w:vertAlign w:val="baseline"/>
                      <w:lang w:val="en-US" w:eastAsia="zh-CN"/>
                    </w:rPr>
                    <w:t>5</w:t>
                  </w:r>
                  <w:r>
                    <w:rPr>
                      <w:rFonts w:hint="default" w:ascii="Times New Roman" w:hAnsi="Times New Roman" w:cs="Times New Roman"/>
                      <w:b w:val="0"/>
                      <w:bCs/>
                      <w:color w:val="auto"/>
                      <w:sz w:val="21"/>
                      <w:szCs w:val="21"/>
                      <w:highlight w:val="none"/>
                      <w:vertAlign w:val="baseline"/>
                      <w:lang w:val="en-US" w:eastAsia="zh-CN"/>
                    </w:rPr>
                    <w:t>m</w:t>
                  </w:r>
                </w:p>
              </w:tc>
              <w:tc>
                <w:tcPr>
                  <w:tcW w:w="364" w:type="pct"/>
                  <w:vMerge w:val="restart"/>
                  <w:noWrap w:val="0"/>
                  <w:vAlign w:val="center"/>
                </w:tcPr>
                <w:p w14:paraId="35C4AB8D">
                  <w:pPr>
                    <w:pStyle w:val="75"/>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cs="Times New Roman"/>
                      <w:b w:val="0"/>
                      <w:bCs/>
                      <w:color w:val="auto"/>
                      <w:sz w:val="21"/>
                      <w:szCs w:val="21"/>
                      <w:highlight w:val="none"/>
                      <w:vertAlign w:val="baseline"/>
                      <w:lang w:val="en-US" w:eastAsia="zh-CN"/>
                    </w:rPr>
                  </w:pPr>
                  <w:r>
                    <w:rPr>
                      <w:rFonts w:hint="default" w:ascii="Times New Roman" w:hAnsi="Times New Roman" w:cs="Times New Roman"/>
                      <w:b w:val="0"/>
                      <w:bCs/>
                      <w:color w:val="auto"/>
                      <w:sz w:val="21"/>
                      <w:szCs w:val="21"/>
                      <w:highlight w:val="none"/>
                      <w:vertAlign w:val="baseline"/>
                      <w:lang w:val="en-US" w:eastAsia="zh-CN"/>
                    </w:rPr>
                    <w:t>区域密闭抽风</w:t>
                  </w:r>
                </w:p>
              </w:tc>
              <w:tc>
                <w:tcPr>
                  <w:tcW w:w="492" w:type="pct"/>
                  <w:noWrap w:val="0"/>
                  <w:vAlign w:val="center"/>
                </w:tcPr>
                <w:p w14:paraId="47305CB3">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140</w:t>
                  </w:r>
                </w:p>
              </w:tc>
              <w:tc>
                <w:tcPr>
                  <w:tcW w:w="448" w:type="pct"/>
                  <w:vMerge w:val="restart"/>
                  <w:noWrap w:val="0"/>
                  <w:vAlign w:val="center"/>
                </w:tcPr>
                <w:p w14:paraId="62BAC9A1">
                  <w:pPr>
                    <w:pStyle w:val="75"/>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cs="Times New Roman"/>
                      <w:b w:val="0"/>
                      <w:bCs/>
                      <w:color w:val="auto"/>
                      <w:sz w:val="21"/>
                      <w:szCs w:val="21"/>
                      <w:highlight w:val="none"/>
                      <w:vertAlign w:val="baseline"/>
                      <w:lang w:val="en-US" w:eastAsia="zh-CN"/>
                    </w:rPr>
                  </w:pPr>
                  <w:r>
                    <w:rPr>
                      <w:rFonts w:hint="default" w:ascii="Times New Roman" w:hAnsi="Times New Roman" w:cs="Times New Roman"/>
                      <w:b w:val="0"/>
                      <w:bCs/>
                      <w:color w:val="auto"/>
                      <w:sz w:val="21"/>
                      <w:szCs w:val="21"/>
                      <w:highlight w:val="none"/>
                      <w:vertAlign w:val="baseline"/>
                      <w:lang w:val="en-US" w:eastAsia="zh-CN"/>
                    </w:rPr>
                    <w:t>1</w:t>
                  </w:r>
                  <w:r>
                    <w:rPr>
                      <w:rFonts w:hint="eastAsia" w:cs="Times New Roman"/>
                      <w:b w:val="0"/>
                      <w:bCs/>
                      <w:color w:val="auto"/>
                      <w:sz w:val="21"/>
                      <w:szCs w:val="21"/>
                      <w:highlight w:val="none"/>
                      <w:vertAlign w:val="baseline"/>
                      <w:lang w:val="en-US" w:eastAsia="zh-CN"/>
                    </w:rPr>
                    <w:t>2</w:t>
                  </w:r>
                </w:p>
              </w:tc>
              <w:tc>
                <w:tcPr>
                  <w:tcW w:w="468" w:type="pct"/>
                  <w:noWrap w:val="0"/>
                  <w:vAlign w:val="center"/>
                </w:tcPr>
                <w:p w14:paraId="1BC96FD5">
                  <w:pPr>
                    <w:keepNext w:val="0"/>
                    <w:keepLines w:val="0"/>
                    <w:widowControl/>
                    <w:suppressLineNumbers w:val="0"/>
                    <w:jc w:val="center"/>
                    <w:textAlignment w:val="center"/>
                    <w:rPr>
                      <w:rFonts w:hint="default" w:ascii="Times New Roman" w:hAnsi="Times New Roman"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1680</w:t>
                  </w:r>
                </w:p>
              </w:tc>
              <w:tc>
                <w:tcPr>
                  <w:tcW w:w="468" w:type="pct"/>
                  <w:vMerge w:val="restart"/>
                  <w:noWrap w:val="0"/>
                  <w:vAlign w:val="center"/>
                </w:tcPr>
                <w:p w14:paraId="568E7916">
                  <w:pPr>
                    <w:pStyle w:val="75"/>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10945.2</w:t>
                  </w:r>
                </w:p>
              </w:tc>
              <w:tc>
                <w:tcPr>
                  <w:tcW w:w="460" w:type="pct"/>
                  <w:vMerge w:val="restart"/>
                  <w:noWrap w:val="0"/>
                  <w:vAlign w:val="center"/>
                </w:tcPr>
                <w:p w14:paraId="7E0AC3E2">
                  <w:pPr>
                    <w:pStyle w:val="75"/>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cs="Times New Roman"/>
                      <w:b w:val="0"/>
                      <w:bCs/>
                      <w:color w:val="auto"/>
                      <w:sz w:val="21"/>
                      <w:szCs w:val="21"/>
                      <w:highlight w:val="none"/>
                      <w:vertAlign w:val="baseline"/>
                      <w:lang w:val="en-US" w:eastAsia="zh-CN"/>
                    </w:rPr>
                  </w:pPr>
                  <w:r>
                    <w:rPr>
                      <w:rFonts w:hint="default" w:ascii="Times New Roman" w:hAnsi="Times New Roman" w:cs="Times New Roman"/>
                      <w:b w:val="0"/>
                      <w:bCs/>
                      <w:color w:val="auto"/>
                      <w:sz w:val="21"/>
                      <w:szCs w:val="21"/>
                      <w:highlight w:val="none"/>
                      <w:vertAlign w:val="baseline"/>
                      <w:lang w:val="en-US" w:eastAsia="zh-CN"/>
                    </w:rPr>
                    <w:t>1</w:t>
                  </w:r>
                  <w:r>
                    <w:rPr>
                      <w:rFonts w:hint="eastAsia" w:cs="Times New Roman"/>
                      <w:b w:val="0"/>
                      <w:bCs/>
                      <w:color w:val="auto"/>
                      <w:sz w:val="21"/>
                      <w:szCs w:val="21"/>
                      <w:highlight w:val="none"/>
                      <w:vertAlign w:val="baseline"/>
                      <w:lang w:val="en-US" w:eastAsia="zh-CN"/>
                    </w:rPr>
                    <w:t>3</w:t>
                  </w:r>
                  <w:r>
                    <w:rPr>
                      <w:rFonts w:hint="default" w:ascii="Times New Roman" w:hAnsi="Times New Roman" w:cs="Times New Roman"/>
                      <w:b w:val="0"/>
                      <w:bCs/>
                      <w:color w:val="auto"/>
                      <w:sz w:val="21"/>
                      <w:szCs w:val="21"/>
                      <w:highlight w:val="none"/>
                      <w:vertAlign w:val="baseline"/>
                      <w:lang w:val="en-US" w:eastAsia="zh-CN"/>
                    </w:rPr>
                    <w:t>000</w:t>
                  </w:r>
                </w:p>
              </w:tc>
              <w:tc>
                <w:tcPr>
                  <w:tcW w:w="451" w:type="pct"/>
                  <w:vMerge w:val="restart"/>
                  <w:noWrap w:val="0"/>
                  <w:vAlign w:val="center"/>
                </w:tcPr>
                <w:p w14:paraId="4ACD6801">
                  <w:pPr>
                    <w:pStyle w:val="75"/>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cs="Times New Roman"/>
                      <w:b w:val="0"/>
                      <w:bCs/>
                      <w:color w:val="auto"/>
                      <w:sz w:val="21"/>
                      <w:szCs w:val="21"/>
                      <w:highlight w:val="none"/>
                      <w:vertAlign w:val="baseline"/>
                      <w:lang w:val="en-US" w:eastAsia="zh-CN"/>
                    </w:rPr>
                  </w:pPr>
                  <w:r>
                    <w:rPr>
                      <w:rFonts w:hint="default" w:ascii="Times New Roman" w:hAnsi="Times New Roman" w:cs="Times New Roman"/>
                      <w:b w:val="0"/>
                      <w:bCs/>
                      <w:color w:val="auto"/>
                      <w:sz w:val="21"/>
                      <w:szCs w:val="21"/>
                      <w:highlight w:val="none"/>
                      <w:vertAlign w:val="baseline"/>
                      <w:lang w:val="en-US" w:eastAsia="zh-CN"/>
                    </w:rPr>
                    <w:t>满足</w:t>
                  </w:r>
                </w:p>
              </w:tc>
            </w:tr>
            <w:tr w14:paraId="7D55CA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4" w:type="pct"/>
                  <w:vMerge w:val="continue"/>
                  <w:noWrap w:val="0"/>
                  <w:vAlign w:val="center"/>
                </w:tcPr>
                <w:p w14:paraId="6D2E8D5A">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cs="Times New Roman"/>
                      <w:b w:val="0"/>
                      <w:bCs/>
                      <w:color w:val="auto"/>
                      <w:highlight w:val="none"/>
                      <w:lang w:val="en-US" w:eastAsia="zh-CN"/>
                    </w:rPr>
                  </w:pPr>
                </w:p>
              </w:tc>
              <w:tc>
                <w:tcPr>
                  <w:tcW w:w="480" w:type="pct"/>
                  <w:noWrap w:val="0"/>
                  <w:vAlign w:val="center"/>
                </w:tcPr>
                <w:p w14:paraId="77692798">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cs="Times New Roman"/>
                      <w:b w:val="0"/>
                      <w:bCs/>
                      <w:color w:val="auto"/>
                      <w:highlight w:val="none"/>
                      <w:lang w:val="en-US" w:eastAsia="zh-CN"/>
                    </w:rPr>
                  </w:pPr>
                  <w:r>
                    <w:rPr>
                      <w:rFonts w:hint="default" w:ascii="Times New Roman" w:hAnsi="Times New Roman" w:eastAsia="宋体" w:cs="Times New Roman"/>
                      <w:color w:val="auto"/>
                      <w:sz w:val="21"/>
                      <w:szCs w:val="21"/>
                      <w:highlight w:val="none"/>
                      <w:lang w:val="en-US" w:eastAsia="zh-CN"/>
                    </w:rPr>
                    <w:t>有机前处理</w:t>
                  </w:r>
                  <w:r>
                    <w:rPr>
                      <w:rFonts w:hint="eastAsia" w:cs="Times New Roman"/>
                      <w:color w:val="auto"/>
                      <w:sz w:val="21"/>
                      <w:szCs w:val="21"/>
                      <w:highlight w:val="none"/>
                      <w:lang w:val="en-US" w:eastAsia="zh-CN"/>
                    </w:rPr>
                    <w:t>区</w:t>
                  </w:r>
                </w:p>
              </w:tc>
              <w:tc>
                <w:tcPr>
                  <w:tcW w:w="251" w:type="pct"/>
                  <w:noWrap w:val="0"/>
                  <w:vAlign w:val="center"/>
                </w:tcPr>
                <w:p w14:paraId="2847120D">
                  <w:pPr>
                    <w:pStyle w:val="75"/>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cs="Times New Roman"/>
                      <w:b w:val="0"/>
                      <w:bCs/>
                      <w:color w:val="auto"/>
                      <w:sz w:val="21"/>
                      <w:szCs w:val="21"/>
                      <w:highlight w:val="none"/>
                      <w:vertAlign w:val="baseline"/>
                      <w:lang w:val="en-US" w:eastAsia="zh-CN"/>
                    </w:rPr>
                  </w:pPr>
                  <w:r>
                    <w:rPr>
                      <w:rFonts w:hint="default" w:ascii="Times New Roman" w:hAnsi="Times New Roman" w:cs="Times New Roman"/>
                      <w:b w:val="0"/>
                      <w:bCs/>
                      <w:color w:val="auto"/>
                      <w:sz w:val="21"/>
                      <w:szCs w:val="21"/>
                      <w:highlight w:val="none"/>
                      <w:vertAlign w:val="baseline"/>
                      <w:lang w:val="en-US" w:eastAsia="zh-CN"/>
                    </w:rPr>
                    <w:t>1</w:t>
                  </w:r>
                </w:p>
              </w:tc>
              <w:tc>
                <w:tcPr>
                  <w:tcW w:w="781" w:type="pct"/>
                  <w:noWrap w:val="0"/>
                  <w:vAlign w:val="center"/>
                </w:tcPr>
                <w:p w14:paraId="414F6185">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cs="Times New Roman"/>
                      <w:b w:val="0"/>
                      <w:bCs/>
                      <w:color w:val="auto"/>
                      <w:sz w:val="21"/>
                      <w:szCs w:val="21"/>
                      <w:highlight w:val="none"/>
                      <w:vertAlign w:val="baseline"/>
                      <w:lang w:val="en-US" w:eastAsia="zh-CN"/>
                    </w:rPr>
                  </w:pPr>
                  <w:r>
                    <w:rPr>
                      <w:rFonts w:hint="eastAsia" w:cs="Times New Roman"/>
                      <w:color w:val="auto"/>
                      <w:sz w:val="21"/>
                      <w:szCs w:val="21"/>
                      <w:highlight w:val="none"/>
                      <w:lang w:val="en-US" w:eastAsia="zh-CN"/>
                    </w:rPr>
                    <w:t>89.82</w:t>
                  </w:r>
                  <w:r>
                    <w:rPr>
                      <w:rFonts w:hint="default" w:ascii="Times New Roman" w:hAnsi="Times New Roman" w:eastAsia="宋体" w:cs="Times New Roman"/>
                      <w:color w:val="auto"/>
                      <w:sz w:val="21"/>
                      <w:szCs w:val="21"/>
                      <w:highlight w:val="none"/>
                      <w:lang w:val="en-US" w:eastAsia="zh-CN"/>
                    </w:rPr>
                    <w:t>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cs="Times New Roman"/>
                      <w:b w:val="0"/>
                      <w:bCs/>
                      <w:color w:val="auto"/>
                      <w:sz w:val="21"/>
                      <w:szCs w:val="21"/>
                      <w:highlight w:val="none"/>
                      <w:vertAlign w:val="baseline"/>
                      <w:lang w:val="en-US" w:eastAsia="zh-CN"/>
                    </w:rPr>
                    <w:t>，</w:t>
                  </w:r>
                  <w:r>
                    <w:rPr>
                      <w:rFonts w:hint="eastAsia" w:cs="Times New Roman"/>
                      <w:b w:val="0"/>
                      <w:bCs/>
                      <w:color w:val="auto"/>
                      <w:sz w:val="21"/>
                      <w:szCs w:val="21"/>
                      <w:highlight w:val="none"/>
                      <w:vertAlign w:val="baseline"/>
                      <w:lang w:val="en-US" w:eastAsia="zh-CN"/>
                    </w:rPr>
                    <w:t>5</w:t>
                  </w:r>
                  <w:r>
                    <w:rPr>
                      <w:rFonts w:hint="default" w:ascii="Times New Roman" w:hAnsi="Times New Roman" w:cs="Times New Roman"/>
                      <w:b w:val="0"/>
                      <w:bCs/>
                      <w:color w:val="auto"/>
                      <w:sz w:val="21"/>
                      <w:szCs w:val="21"/>
                      <w:highlight w:val="none"/>
                      <w:vertAlign w:val="baseline"/>
                      <w:lang w:val="en-US" w:eastAsia="zh-CN"/>
                    </w:rPr>
                    <w:t>m</w:t>
                  </w:r>
                </w:p>
              </w:tc>
              <w:tc>
                <w:tcPr>
                  <w:tcW w:w="364" w:type="pct"/>
                  <w:vMerge w:val="continue"/>
                  <w:noWrap w:val="0"/>
                  <w:vAlign w:val="center"/>
                </w:tcPr>
                <w:p w14:paraId="3E4C7950">
                  <w:pPr>
                    <w:pStyle w:val="75"/>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cs="Times New Roman"/>
                      <w:b w:val="0"/>
                      <w:bCs/>
                      <w:color w:val="auto"/>
                      <w:sz w:val="21"/>
                      <w:szCs w:val="21"/>
                      <w:highlight w:val="none"/>
                      <w:vertAlign w:val="baseline"/>
                      <w:lang w:val="en-US" w:eastAsia="zh-CN"/>
                    </w:rPr>
                  </w:pPr>
                </w:p>
              </w:tc>
              <w:tc>
                <w:tcPr>
                  <w:tcW w:w="492" w:type="pct"/>
                  <w:noWrap w:val="0"/>
                  <w:vAlign w:val="center"/>
                </w:tcPr>
                <w:p w14:paraId="2ACAF2EA">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449.1</w:t>
                  </w:r>
                </w:p>
              </w:tc>
              <w:tc>
                <w:tcPr>
                  <w:tcW w:w="448" w:type="pct"/>
                  <w:vMerge w:val="continue"/>
                  <w:noWrap w:val="0"/>
                  <w:vAlign w:val="center"/>
                </w:tcPr>
                <w:p w14:paraId="179BFCB6">
                  <w:pPr>
                    <w:pStyle w:val="75"/>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cs="Times New Roman"/>
                      <w:b w:val="0"/>
                      <w:bCs/>
                      <w:color w:val="auto"/>
                      <w:sz w:val="21"/>
                      <w:szCs w:val="21"/>
                      <w:highlight w:val="none"/>
                      <w:vertAlign w:val="baseline"/>
                      <w:lang w:val="en-US" w:eastAsia="zh-CN"/>
                    </w:rPr>
                  </w:pPr>
                </w:p>
              </w:tc>
              <w:tc>
                <w:tcPr>
                  <w:tcW w:w="468" w:type="pct"/>
                  <w:noWrap w:val="0"/>
                  <w:vAlign w:val="center"/>
                </w:tcPr>
                <w:p w14:paraId="3BEF19AA">
                  <w:pPr>
                    <w:keepNext w:val="0"/>
                    <w:keepLines w:val="0"/>
                    <w:widowControl/>
                    <w:suppressLineNumbers w:val="0"/>
                    <w:jc w:val="center"/>
                    <w:textAlignment w:val="center"/>
                    <w:rPr>
                      <w:rFonts w:hint="default" w:ascii="Times New Roman" w:hAnsi="Times New Roman"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5389.2</w:t>
                  </w:r>
                </w:p>
              </w:tc>
              <w:tc>
                <w:tcPr>
                  <w:tcW w:w="468" w:type="pct"/>
                  <w:vMerge w:val="continue"/>
                  <w:noWrap w:val="0"/>
                  <w:vAlign w:val="center"/>
                </w:tcPr>
                <w:p w14:paraId="33946549">
                  <w:pPr>
                    <w:pStyle w:val="75"/>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cs="Times New Roman"/>
                      <w:b w:val="0"/>
                      <w:bCs/>
                      <w:color w:val="auto"/>
                      <w:sz w:val="21"/>
                      <w:szCs w:val="21"/>
                      <w:highlight w:val="none"/>
                      <w:vertAlign w:val="baseline"/>
                      <w:lang w:val="en-US" w:eastAsia="zh-CN"/>
                    </w:rPr>
                  </w:pPr>
                </w:p>
              </w:tc>
              <w:tc>
                <w:tcPr>
                  <w:tcW w:w="460" w:type="pct"/>
                  <w:vMerge w:val="continue"/>
                  <w:noWrap w:val="0"/>
                  <w:vAlign w:val="center"/>
                </w:tcPr>
                <w:p w14:paraId="7E0F36BC">
                  <w:pPr>
                    <w:pStyle w:val="75"/>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cs="Times New Roman"/>
                      <w:b w:val="0"/>
                      <w:bCs/>
                      <w:color w:val="auto"/>
                      <w:sz w:val="21"/>
                      <w:szCs w:val="21"/>
                      <w:highlight w:val="none"/>
                      <w:vertAlign w:val="baseline"/>
                      <w:lang w:val="en-US" w:eastAsia="zh-CN"/>
                    </w:rPr>
                  </w:pPr>
                </w:p>
              </w:tc>
              <w:tc>
                <w:tcPr>
                  <w:tcW w:w="451" w:type="pct"/>
                  <w:vMerge w:val="continue"/>
                  <w:noWrap w:val="0"/>
                  <w:vAlign w:val="center"/>
                </w:tcPr>
                <w:p w14:paraId="1462716E">
                  <w:pPr>
                    <w:pStyle w:val="75"/>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cs="Times New Roman"/>
                      <w:b w:val="0"/>
                      <w:bCs/>
                      <w:color w:val="auto"/>
                      <w:sz w:val="21"/>
                      <w:szCs w:val="21"/>
                      <w:highlight w:val="none"/>
                      <w:vertAlign w:val="baseline"/>
                      <w:lang w:val="en-US" w:eastAsia="zh-CN"/>
                    </w:rPr>
                  </w:pPr>
                </w:p>
              </w:tc>
            </w:tr>
            <w:tr w14:paraId="3BE75F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4" w:type="pct"/>
                  <w:vMerge w:val="continue"/>
                  <w:noWrap w:val="0"/>
                  <w:vAlign w:val="center"/>
                </w:tcPr>
                <w:p w14:paraId="5EEE64E0">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cs="Times New Roman"/>
                      <w:b w:val="0"/>
                      <w:bCs/>
                      <w:color w:val="auto"/>
                      <w:highlight w:val="none"/>
                      <w:lang w:val="en-US" w:eastAsia="zh-CN"/>
                    </w:rPr>
                  </w:pPr>
                </w:p>
              </w:tc>
              <w:tc>
                <w:tcPr>
                  <w:tcW w:w="480" w:type="pct"/>
                  <w:noWrap w:val="0"/>
                  <w:vAlign w:val="center"/>
                </w:tcPr>
                <w:p w14:paraId="4E90A587">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危废</w:t>
                  </w:r>
                  <w:r>
                    <w:rPr>
                      <w:rFonts w:hint="eastAsia" w:cs="Times New Roman"/>
                      <w:color w:val="auto"/>
                      <w:sz w:val="21"/>
                      <w:szCs w:val="21"/>
                      <w:highlight w:val="none"/>
                      <w:lang w:val="en-US" w:eastAsia="zh-CN"/>
                    </w:rPr>
                    <w:t>间</w:t>
                  </w:r>
                </w:p>
              </w:tc>
              <w:tc>
                <w:tcPr>
                  <w:tcW w:w="251" w:type="pct"/>
                  <w:noWrap w:val="0"/>
                  <w:vAlign w:val="center"/>
                </w:tcPr>
                <w:p w14:paraId="30A1E50A">
                  <w:pPr>
                    <w:pStyle w:val="75"/>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cs="Times New Roman"/>
                      <w:b w:val="0"/>
                      <w:bCs/>
                      <w:color w:val="auto"/>
                      <w:sz w:val="21"/>
                      <w:szCs w:val="21"/>
                      <w:highlight w:val="none"/>
                      <w:vertAlign w:val="baseline"/>
                      <w:lang w:val="en-US" w:eastAsia="zh-CN"/>
                    </w:rPr>
                  </w:pPr>
                  <w:r>
                    <w:rPr>
                      <w:rFonts w:hint="default" w:ascii="Times New Roman" w:hAnsi="Times New Roman" w:cs="Times New Roman"/>
                      <w:b w:val="0"/>
                      <w:bCs/>
                      <w:color w:val="auto"/>
                      <w:sz w:val="21"/>
                      <w:szCs w:val="21"/>
                      <w:highlight w:val="none"/>
                      <w:vertAlign w:val="baseline"/>
                      <w:lang w:val="en-US" w:eastAsia="zh-CN"/>
                    </w:rPr>
                    <w:t>1</w:t>
                  </w:r>
                </w:p>
              </w:tc>
              <w:tc>
                <w:tcPr>
                  <w:tcW w:w="781" w:type="pct"/>
                  <w:noWrap w:val="0"/>
                  <w:vAlign w:val="center"/>
                </w:tcPr>
                <w:p w14:paraId="1A86B75B">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cs="Times New Roman"/>
                      <w:b w:val="0"/>
                      <w:bCs/>
                      <w:color w:val="auto"/>
                      <w:sz w:val="21"/>
                      <w:szCs w:val="21"/>
                      <w:highlight w:val="none"/>
                      <w:vertAlign w:val="baseline"/>
                      <w:lang w:val="en-US" w:eastAsia="zh-CN"/>
                    </w:rPr>
                  </w:pPr>
                  <w:r>
                    <w:rPr>
                      <w:rFonts w:hint="eastAsia" w:cs="Times New Roman"/>
                      <w:color w:val="auto"/>
                      <w:sz w:val="21"/>
                      <w:szCs w:val="21"/>
                      <w:highlight w:val="none"/>
                      <w:lang w:val="en-US" w:eastAsia="zh-CN"/>
                    </w:rPr>
                    <w:t>15</w:t>
                  </w:r>
                  <w:r>
                    <w:rPr>
                      <w:rFonts w:hint="default" w:ascii="Times New Roman" w:hAnsi="Times New Roman" w:eastAsia="宋体" w:cs="Times New Roman"/>
                      <w:color w:val="auto"/>
                      <w:sz w:val="21"/>
                      <w:szCs w:val="21"/>
                      <w:highlight w:val="none"/>
                      <w:lang w:val="en-US" w:eastAsia="zh-CN"/>
                    </w:rPr>
                    <w:t>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cs="Times New Roman"/>
                      <w:b w:val="0"/>
                      <w:bCs/>
                      <w:color w:val="auto"/>
                      <w:sz w:val="21"/>
                      <w:szCs w:val="21"/>
                      <w:highlight w:val="none"/>
                      <w:vertAlign w:val="baseline"/>
                      <w:lang w:val="en-US" w:eastAsia="zh-CN"/>
                    </w:rPr>
                    <w:t>，</w:t>
                  </w:r>
                  <w:r>
                    <w:rPr>
                      <w:rFonts w:hint="eastAsia" w:cs="Times New Roman"/>
                      <w:b w:val="0"/>
                      <w:bCs/>
                      <w:color w:val="auto"/>
                      <w:sz w:val="21"/>
                      <w:szCs w:val="21"/>
                      <w:highlight w:val="none"/>
                      <w:vertAlign w:val="baseline"/>
                      <w:lang w:val="en-US" w:eastAsia="zh-CN"/>
                    </w:rPr>
                    <w:t>5</w:t>
                  </w:r>
                  <w:r>
                    <w:rPr>
                      <w:rFonts w:hint="default" w:ascii="Times New Roman" w:hAnsi="Times New Roman" w:cs="Times New Roman"/>
                      <w:b w:val="0"/>
                      <w:bCs/>
                      <w:color w:val="auto"/>
                      <w:sz w:val="21"/>
                      <w:szCs w:val="21"/>
                      <w:highlight w:val="none"/>
                      <w:vertAlign w:val="baseline"/>
                      <w:lang w:val="en-US" w:eastAsia="zh-CN"/>
                    </w:rPr>
                    <w:t>m</w:t>
                  </w:r>
                </w:p>
              </w:tc>
              <w:tc>
                <w:tcPr>
                  <w:tcW w:w="364" w:type="pct"/>
                  <w:vMerge w:val="continue"/>
                  <w:noWrap w:val="0"/>
                  <w:vAlign w:val="center"/>
                </w:tcPr>
                <w:p w14:paraId="17EBCD92">
                  <w:pPr>
                    <w:pStyle w:val="75"/>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cs="Times New Roman"/>
                      <w:b w:val="0"/>
                      <w:bCs/>
                      <w:color w:val="auto"/>
                      <w:sz w:val="21"/>
                      <w:szCs w:val="21"/>
                      <w:highlight w:val="none"/>
                      <w:vertAlign w:val="baseline"/>
                      <w:lang w:val="en-US" w:eastAsia="zh-CN"/>
                    </w:rPr>
                  </w:pPr>
                </w:p>
              </w:tc>
              <w:tc>
                <w:tcPr>
                  <w:tcW w:w="492" w:type="pct"/>
                  <w:noWrap w:val="0"/>
                  <w:vAlign w:val="center"/>
                </w:tcPr>
                <w:p w14:paraId="4FDFE285">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75</w:t>
                  </w:r>
                </w:p>
              </w:tc>
              <w:tc>
                <w:tcPr>
                  <w:tcW w:w="448" w:type="pct"/>
                  <w:vMerge w:val="continue"/>
                  <w:noWrap w:val="0"/>
                  <w:vAlign w:val="center"/>
                </w:tcPr>
                <w:p w14:paraId="67D59406">
                  <w:pPr>
                    <w:pStyle w:val="75"/>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cs="Times New Roman"/>
                      <w:b w:val="0"/>
                      <w:bCs/>
                      <w:color w:val="auto"/>
                      <w:sz w:val="21"/>
                      <w:szCs w:val="21"/>
                      <w:highlight w:val="none"/>
                      <w:vertAlign w:val="baseline"/>
                      <w:lang w:val="en-US" w:eastAsia="zh-CN"/>
                    </w:rPr>
                  </w:pPr>
                </w:p>
              </w:tc>
              <w:tc>
                <w:tcPr>
                  <w:tcW w:w="468" w:type="pct"/>
                  <w:noWrap w:val="0"/>
                  <w:vAlign w:val="center"/>
                </w:tcPr>
                <w:p w14:paraId="108B4965">
                  <w:pPr>
                    <w:keepNext w:val="0"/>
                    <w:keepLines w:val="0"/>
                    <w:widowControl/>
                    <w:suppressLineNumbers w:val="0"/>
                    <w:jc w:val="center"/>
                    <w:textAlignment w:val="center"/>
                    <w:rPr>
                      <w:rFonts w:hint="default" w:ascii="Times New Roman" w:hAnsi="Times New Roman"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900</w:t>
                  </w:r>
                </w:p>
              </w:tc>
              <w:tc>
                <w:tcPr>
                  <w:tcW w:w="468" w:type="pct"/>
                  <w:vMerge w:val="continue"/>
                  <w:noWrap w:val="0"/>
                  <w:vAlign w:val="center"/>
                </w:tcPr>
                <w:p w14:paraId="033ED0A9">
                  <w:pPr>
                    <w:pStyle w:val="75"/>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cs="Times New Roman"/>
                      <w:b w:val="0"/>
                      <w:bCs/>
                      <w:color w:val="auto"/>
                      <w:sz w:val="21"/>
                      <w:szCs w:val="21"/>
                      <w:highlight w:val="none"/>
                      <w:vertAlign w:val="baseline"/>
                      <w:lang w:val="en-US" w:eastAsia="zh-CN"/>
                    </w:rPr>
                  </w:pPr>
                </w:p>
              </w:tc>
              <w:tc>
                <w:tcPr>
                  <w:tcW w:w="460" w:type="pct"/>
                  <w:vMerge w:val="continue"/>
                  <w:noWrap w:val="0"/>
                  <w:vAlign w:val="center"/>
                </w:tcPr>
                <w:p w14:paraId="21623552">
                  <w:pPr>
                    <w:pStyle w:val="75"/>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cs="Times New Roman"/>
                      <w:b w:val="0"/>
                      <w:bCs/>
                      <w:color w:val="auto"/>
                      <w:sz w:val="21"/>
                      <w:szCs w:val="21"/>
                      <w:highlight w:val="none"/>
                      <w:vertAlign w:val="baseline"/>
                      <w:lang w:val="en-US" w:eastAsia="zh-CN"/>
                    </w:rPr>
                  </w:pPr>
                </w:p>
              </w:tc>
              <w:tc>
                <w:tcPr>
                  <w:tcW w:w="451" w:type="pct"/>
                  <w:vMerge w:val="continue"/>
                  <w:noWrap w:val="0"/>
                  <w:vAlign w:val="center"/>
                </w:tcPr>
                <w:p w14:paraId="026B7BEC">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cs="Times New Roman"/>
                      <w:b w:val="0"/>
                      <w:bCs/>
                      <w:color w:val="auto"/>
                      <w:sz w:val="21"/>
                      <w:szCs w:val="21"/>
                      <w:highlight w:val="none"/>
                      <w:vertAlign w:val="baseline"/>
                      <w:lang w:val="en-US" w:eastAsia="zh-CN"/>
                    </w:rPr>
                  </w:pPr>
                </w:p>
              </w:tc>
            </w:tr>
            <w:tr w14:paraId="2E4556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4" w:type="pct"/>
                  <w:vMerge w:val="continue"/>
                  <w:noWrap w:val="0"/>
                  <w:vAlign w:val="center"/>
                </w:tcPr>
                <w:p w14:paraId="553983AE">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cs="Times New Roman"/>
                      <w:b w:val="0"/>
                      <w:bCs/>
                      <w:color w:val="auto"/>
                      <w:highlight w:val="none"/>
                      <w:lang w:val="en-US" w:eastAsia="zh-CN"/>
                    </w:rPr>
                  </w:pPr>
                </w:p>
              </w:tc>
              <w:tc>
                <w:tcPr>
                  <w:tcW w:w="480" w:type="pct"/>
                  <w:noWrap w:val="0"/>
                  <w:vAlign w:val="center"/>
                </w:tcPr>
                <w:p w14:paraId="44241C45">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cs="Times New Roman"/>
                      <w:b w:val="0"/>
                      <w:bCs/>
                      <w:color w:val="auto"/>
                      <w:highlight w:val="none"/>
                      <w:lang w:val="en-US" w:eastAsia="zh-CN"/>
                    </w:rPr>
                  </w:pPr>
                  <w:r>
                    <w:rPr>
                      <w:rFonts w:hint="default" w:ascii="Times New Roman" w:hAnsi="Times New Roman" w:eastAsia="宋体" w:cs="Times New Roman"/>
                      <w:color w:val="auto"/>
                      <w:sz w:val="21"/>
                      <w:szCs w:val="21"/>
                      <w:highlight w:val="none"/>
                      <w:lang w:val="en-US" w:eastAsia="zh-CN"/>
                    </w:rPr>
                    <w:t>仪器室</w:t>
                  </w:r>
                </w:p>
              </w:tc>
              <w:tc>
                <w:tcPr>
                  <w:tcW w:w="251" w:type="pct"/>
                  <w:noWrap w:val="0"/>
                  <w:vAlign w:val="center"/>
                </w:tcPr>
                <w:p w14:paraId="1BF4C636">
                  <w:pPr>
                    <w:pStyle w:val="75"/>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cs="Times New Roman"/>
                      <w:b w:val="0"/>
                      <w:bCs/>
                      <w:color w:val="auto"/>
                      <w:sz w:val="21"/>
                      <w:szCs w:val="21"/>
                      <w:highlight w:val="none"/>
                      <w:vertAlign w:val="baseline"/>
                      <w:lang w:val="en-US" w:eastAsia="zh-CN"/>
                    </w:rPr>
                  </w:pPr>
                  <w:r>
                    <w:rPr>
                      <w:rFonts w:hint="default" w:ascii="Times New Roman" w:hAnsi="Times New Roman" w:cs="Times New Roman"/>
                      <w:b w:val="0"/>
                      <w:bCs/>
                      <w:color w:val="auto"/>
                      <w:sz w:val="21"/>
                      <w:szCs w:val="21"/>
                      <w:highlight w:val="none"/>
                      <w:vertAlign w:val="baseline"/>
                      <w:lang w:val="en-US" w:eastAsia="zh-CN"/>
                    </w:rPr>
                    <w:t>1</w:t>
                  </w:r>
                </w:p>
              </w:tc>
              <w:tc>
                <w:tcPr>
                  <w:tcW w:w="781" w:type="pct"/>
                  <w:noWrap w:val="0"/>
                  <w:vAlign w:val="center"/>
                </w:tcPr>
                <w:p w14:paraId="5803E9C8">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cs="Times New Roman"/>
                      <w:b w:val="0"/>
                      <w:bCs/>
                      <w:color w:val="auto"/>
                      <w:sz w:val="21"/>
                      <w:szCs w:val="21"/>
                      <w:highlight w:val="none"/>
                      <w:vertAlign w:val="baseline"/>
                      <w:lang w:val="en-US" w:eastAsia="zh-CN"/>
                    </w:rPr>
                  </w:pPr>
                  <w:r>
                    <w:rPr>
                      <w:rFonts w:hint="eastAsia" w:cs="Times New Roman"/>
                      <w:color w:val="auto"/>
                      <w:sz w:val="21"/>
                      <w:szCs w:val="21"/>
                      <w:highlight w:val="none"/>
                      <w:lang w:val="en-US" w:eastAsia="zh-CN"/>
                    </w:rPr>
                    <w:t>35.6</w:t>
                  </w:r>
                  <w:r>
                    <w:rPr>
                      <w:rFonts w:hint="default" w:ascii="Times New Roman" w:hAnsi="Times New Roman" w:eastAsia="宋体" w:cs="Times New Roman"/>
                      <w:color w:val="auto"/>
                      <w:sz w:val="21"/>
                      <w:szCs w:val="21"/>
                      <w:highlight w:val="none"/>
                      <w:lang w:val="en-US" w:eastAsia="zh-CN"/>
                    </w:rPr>
                    <w:t>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cs="Times New Roman"/>
                      <w:b w:val="0"/>
                      <w:bCs/>
                      <w:color w:val="auto"/>
                      <w:sz w:val="21"/>
                      <w:szCs w:val="21"/>
                      <w:highlight w:val="none"/>
                      <w:vertAlign w:val="baseline"/>
                      <w:lang w:val="en-US" w:eastAsia="zh-CN"/>
                    </w:rPr>
                    <w:t>，</w:t>
                  </w:r>
                  <w:r>
                    <w:rPr>
                      <w:rFonts w:hint="eastAsia" w:cs="Times New Roman"/>
                      <w:b w:val="0"/>
                      <w:bCs/>
                      <w:color w:val="auto"/>
                      <w:sz w:val="21"/>
                      <w:szCs w:val="21"/>
                      <w:highlight w:val="none"/>
                      <w:vertAlign w:val="baseline"/>
                      <w:lang w:val="en-US" w:eastAsia="zh-CN"/>
                    </w:rPr>
                    <w:t>5</w:t>
                  </w:r>
                  <w:r>
                    <w:rPr>
                      <w:rFonts w:hint="default" w:ascii="Times New Roman" w:hAnsi="Times New Roman" w:cs="Times New Roman"/>
                      <w:b w:val="0"/>
                      <w:bCs/>
                      <w:color w:val="auto"/>
                      <w:sz w:val="21"/>
                      <w:szCs w:val="21"/>
                      <w:highlight w:val="none"/>
                      <w:vertAlign w:val="baseline"/>
                      <w:lang w:val="en-US" w:eastAsia="zh-CN"/>
                    </w:rPr>
                    <w:t>m</w:t>
                  </w:r>
                </w:p>
              </w:tc>
              <w:tc>
                <w:tcPr>
                  <w:tcW w:w="364" w:type="pct"/>
                  <w:vMerge w:val="continue"/>
                  <w:noWrap w:val="0"/>
                  <w:vAlign w:val="center"/>
                </w:tcPr>
                <w:p w14:paraId="3E872F72">
                  <w:pPr>
                    <w:pStyle w:val="75"/>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cs="Times New Roman"/>
                      <w:b w:val="0"/>
                      <w:bCs/>
                      <w:color w:val="auto"/>
                      <w:sz w:val="21"/>
                      <w:szCs w:val="21"/>
                      <w:highlight w:val="none"/>
                      <w:vertAlign w:val="baseline"/>
                      <w:lang w:val="en-US" w:eastAsia="zh-CN"/>
                    </w:rPr>
                  </w:pPr>
                </w:p>
              </w:tc>
              <w:tc>
                <w:tcPr>
                  <w:tcW w:w="492" w:type="pct"/>
                  <w:noWrap w:val="0"/>
                  <w:vAlign w:val="center"/>
                </w:tcPr>
                <w:p w14:paraId="38056C86">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178</w:t>
                  </w:r>
                </w:p>
              </w:tc>
              <w:tc>
                <w:tcPr>
                  <w:tcW w:w="448" w:type="pct"/>
                  <w:vMerge w:val="continue"/>
                  <w:noWrap w:val="0"/>
                  <w:vAlign w:val="center"/>
                </w:tcPr>
                <w:p w14:paraId="572A6269">
                  <w:pPr>
                    <w:pStyle w:val="75"/>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cs="Times New Roman"/>
                      <w:b w:val="0"/>
                      <w:bCs/>
                      <w:color w:val="auto"/>
                      <w:sz w:val="21"/>
                      <w:szCs w:val="21"/>
                      <w:highlight w:val="none"/>
                      <w:vertAlign w:val="baseline"/>
                      <w:lang w:val="en-US" w:eastAsia="zh-CN"/>
                    </w:rPr>
                  </w:pPr>
                </w:p>
              </w:tc>
              <w:tc>
                <w:tcPr>
                  <w:tcW w:w="468" w:type="pct"/>
                  <w:noWrap w:val="0"/>
                  <w:vAlign w:val="center"/>
                </w:tcPr>
                <w:p w14:paraId="46E6B415">
                  <w:pPr>
                    <w:keepNext w:val="0"/>
                    <w:keepLines w:val="0"/>
                    <w:widowControl/>
                    <w:suppressLineNumbers w:val="0"/>
                    <w:jc w:val="center"/>
                    <w:textAlignment w:val="center"/>
                    <w:rPr>
                      <w:rFonts w:hint="default" w:ascii="Times New Roman" w:hAnsi="Times New Roman"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2136</w:t>
                  </w:r>
                </w:p>
              </w:tc>
              <w:tc>
                <w:tcPr>
                  <w:tcW w:w="468" w:type="pct"/>
                  <w:vMerge w:val="continue"/>
                  <w:noWrap w:val="0"/>
                  <w:vAlign w:val="center"/>
                </w:tcPr>
                <w:p w14:paraId="3F01242F">
                  <w:pPr>
                    <w:pStyle w:val="75"/>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cs="Times New Roman"/>
                      <w:b w:val="0"/>
                      <w:bCs/>
                      <w:color w:val="auto"/>
                      <w:sz w:val="21"/>
                      <w:szCs w:val="21"/>
                      <w:highlight w:val="none"/>
                      <w:vertAlign w:val="baseline"/>
                      <w:lang w:val="en-US" w:eastAsia="zh-CN"/>
                    </w:rPr>
                  </w:pPr>
                </w:p>
              </w:tc>
              <w:tc>
                <w:tcPr>
                  <w:tcW w:w="460" w:type="pct"/>
                  <w:vMerge w:val="continue"/>
                  <w:noWrap w:val="0"/>
                  <w:vAlign w:val="center"/>
                </w:tcPr>
                <w:p w14:paraId="5CB39B2F">
                  <w:pPr>
                    <w:pStyle w:val="75"/>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cs="Times New Roman"/>
                      <w:b w:val="0"/>
                      <w:bCs/>
                      <w:color w:val="auto"/>
                      <w:sz w:val="21"/>
                      <w:szCs w:val="21"/>
                      <w:highlight w:val="none"/>
                      <w:vertAlign w:val="baseline"/>
                      <w:lang w:val="en-US" w:eastAsia="zh-CN"/>
                    </w:rPr>
                  </w:pPr>
                </w:p>
              </w:tc>
              <w:tc>
                <w:tcPr>
                  <w:tcW w:w="451" w:type="pct"/>
                  <w:vMerge w:val="continue"/>
                  <w:noWrap w:val="0"/>
                  <w:vAlign w:val="center"/>
                </w:tcPr>
                <w:p w14:paraId="28675C7A">
                  <w:pPr>
                    <w:pStyle w:val="75"/>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cs="Times New Roman"/>
                      <w:b w:val="0"/>
                      <w:bCs/>
                      <w:color w:val="auto"/>
                      <w:sz w:val="21"/>
                      <w:szCs w:val="21"/>
                      <w:highlight w:val="none"/>
                      <w:vertAlign w:val="baseline"/>
                      <w:lang w:val="en-US" w:eastAsia="zh-CN"/>
                    </w:rPr>
                  </w:pPr>
                </w:p>
              </w:tc>
            </w:tr>
            <w:tr w14:paraId="3D4184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4" w:type="pct"/>
                  <w:vMerge w:val="continue"/>
                  <w:noWrap w:val="0"/>
                  <w:vAlign w:val="center"/>
                </w:tcPr>
                <w:p w14:paraId="67AEDFA8">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cs="Times New Roman"/>
                      <w:b w:val="0"/>
                      <w:bCs/>
                      <w:color w:val="auto"/>
                      <w:highlight w:val="none"/>
                      <w:lang w:val="en-US" w:eastAsia="zh-CN"/>
                    </w:rPr>
                  </w:pPr>
                </w:p>
              </w:tc>
              <w:tc>
                <w:tcPr>
                  <w:tcW w:w="480" w:type="pct"/>
                  <w:noWrap w:val="0"/>
                  <w:vAlign w:val="center"/>
                </w:tcPr>
                <w:p w14:paraId="7C327156">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测油室</w:t>
                  </w:r>
                </w:p>
              </w:tc>
              <w:tc>
                <w:tcPr>
                  <w:tcW w:w="251" w:type="pct"/>
                  <w:noWrap w:val="0"/>
                  <w:vAlign w:val="center"/>
                </w:tcPr>
                <w:p w14:paraId="3816AB2C">
                  <w:pPr>
                    <w:pStyle w:val="75"/>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1</w:t>
                  </w:r>
                </w:p>
              </w:tc>
              <w:tc>
                <w:tcPr>
                  <w:tcW w:w="781" w:type="pct"/>
                  <w:noWrap w:val="0"/>
                  <w:vAlign w:val="center"/>
                </w:tcPr>
                <w:p w14:paraId="7FEA599A">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14m</w:t>
                  </w:r>
                  <w:r>
                    <w:rPr>
                      <w:rFonts w:hint="eastAsia" w:cs="Times New Roman"/>
                      <w:color w:val="auto"/>
                      <w:sz w:val="21"/>
                      <w:szCs w:val="21"/>
                      <w:highlight w:val="none"/>
                      <w:vertAlign w:val="superscript"/>
                      <w:lang w:val="en-US" w:eastAsia="zh-CN"/>
                    </w:rPr>
                    <w:t>2</w:t>
                  </w:r>
                  <w:r>
                    <w:rPr>
                      <w:rFonts w:hint="eastAsia" w:cs="Times New Roman"/>
                      <w:color w:val="auto"/>
                      <w:sz w:val="21"/>
                      <w:szCs w:val="21"/>
                      <w:highlight w:val="none"/>
                      <w:lang w:val="en-US" w:eastAsia="zh-CN"/>
                    </w:rPr>
                    <w:t>，5m</w:t>
                  </w:r>
                </w:p>
              </w:tc>
              <w:tc>
                <w:tcPr>
                  <w:tcW w:w="364" w:type="pct"/>
                  <w:vMerge w:val="continue"/>
                  <w:noWrap w:val="0"/>
                  <w:vAlign w:val="center"/>
                </w:tcPr>
                <w:p w14:paraId="550B91A8">
                  <w:pPr>
                    <w:pStyle w:val="75"/>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cs="Times New Roman"/>
                      <w:b w:val="0"/>
                      <w:bCs/>
                      <w:color w:val="auto"/>
                      <w:sz w:val="21"/>
                      <w:szCs w:val="21"/>
                      <w:highlight w:val="none"/>
                      <w:vertAlign w:val="baseline"/>
                      <w:lang w:val="en-US" w:eastAsia="zh-CN"/>
                    </w:rPr>
                  </w:pPr>
                </w:p>
              </w:tc>
              <w:tc>
                <w:tcPr>
                  <w:tcW w:w="492" w:type="pct"/>
                  <w:noWrap w:val="0"/>
                  <w:vAlign w:val="center"/>
                </w:tcPr>
                <w:p w14:paraId="155F938F">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70</w:t>
                  </w:r>
                </w:p>
              </w:tc>
              <w:tc>
                <w:tcPr>
                  <w:tcW w:w="448" w:type="pct"/>
                  <w:vMerge w:val="continue"/>
                  <w:noWrap w:val="0"/>
                  <w:vAlign w:val="center"/>
                </w:tcPr>
                <w:p w14:paraId="6AB2C850">
                  <w:pPr>
                    <w:pStyle w:val="75"/>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cs="Times New Roman"/>
                      <w:b w:val="0"/>
                      <w:bCs/>
                      <w:color w:val="auto"/>
                      <w:sz w:val="21"/>
                      <w:szCs w:val="21"/>
                      <w:highlight w:val="none"/>
                      <w:vertAlign w:val="baseline"/>
                      <w:lang w:val="en-US" w:eastAsia="zh-CN"/>
                    </w:rPr>
                  </w:pPr>
                </w:p>
              </w:tc>
              <w:tc>
                <w:tcPr>
                  <w:tcW w:w="468" w:type="pct"/>
                  <w:noWrap w:val="0"/>
                  <w:vAlign w:val="center"/>
                </w:tcPr>
                <w:p w14:paraId="42A1B708">
                  <w:pPr>
                    <w:keepNext w:val="0"/>
                    <w:keepLines w:val="0"/>
                    <w:widowControl/>
                    <w:suppressLineNumbers w:val="0"/>
                    <w:jc w:val="center"/>
                    <w:textAlignment w:val="center"/>
                    <w:rPr>
                      <w:rFonts w:hint="default" w:ascii="Times New Roman" w:hAnsi="Times New Roman"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840</w:t>
                  </w:r>
                </w:p>
              </w:tc>
              <w:tc>
                <w:tcPr>
                  <w:tcW w:w="468" w:type="pct"/>
                  <w:vMerge w:val="continue"/>
                  <w:noWrap w:val="0"/>
                  <w:vAlign w:val="center"/>
                </w:tcPr>
                <w:p w14:paraId="6D4096B3">
                  <w:pPr>
                    <w:pStyle w:val="75"/>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cs="Times New Roman"/>
                      <w:b w:val="0"/>
                      <w:bCs/>
                      <w:color w:val="auto"/>
                      <w:sz w:val="21"/>
                      <w:szCs w:val="21"/>
                      <w:highlight w:val="none"/>
                      <w:vertAlign w:val="baseline"/>
                      <w:lang w:val="en-US" w:eastAsia="zh-CN"/>
                    </w:rPr>
                  </w:pPr>
                </w:p>
              </w:tc>
              <w:tc>
                <w:tcPr>
                  <w:tcW w:w="460" w:type="pct"/>
                  <w:vMerge w:val="continue"/>
                  <w:noWrap w:val="0"/>
                  <w:vAlign w:val="center"/>
                </w:tcPr>
                <w:p w14:paraId="38412EDA">
                  <w:pPr>
                    <w:pStyle w:val="75"/>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cs="Times New Roman"/>
                      <w:b w:val="0"/>
                      <w:bCs/>
                      <w:color w:val="auto"/>
                      <w:sz w:val="21"/>
                      <w:szCs w:val="21"/>
                      <w:highlight w:val="none"/>
                      <w:vertAlign w:val="baseline"/>
                      <w:lang w:val="en-US" w:eastAsia="zh-CN"/>
                    </w:rPr>
                  </w:pPr>
                </w:p>
              </w:tc>
              <w:tc>
                <w:tcPr>
                  <w:tcW w:w="451" w:type="pct"/>
                  <w:vMerge w:val="continue"/>
                  <w:noWrap w:val="0"/>
                  <w:vAlign w:val="center"/>
                </w:tcPr>
                <w:p w14:paraId="3615C27D">
                  <w:pPr>
                    <w:pStyle w:val="75"/>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cs="Times New Roman"/>
                      <w:b w:val="0"/>
                      <w:bCs/>
                      <w:color w:val="auto"/>
                      <w:sz w:val="21"/>
                      <w:szCs w:val="21"/>
                      <w:highlight w:val="none"/>
                      <w:vertAlign w:val="baseline"/>
                      <w:lang w:val="en-US" w:eastAsia="zh-CN"/>
                    </w:rPr>
                  </w:pPr>
                </w:p>
              </w:tc>
            </w:tr>
          </w:tbl>
          <w:p w14:paraId="4A202534">
            <w:pPr>
              <w:spacing w:line="360" w:lineRule="auto"/>
              <w:ind w:firstLine="422" w:firstLineChars="200"/>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（3）</w:t>
            </w:r>
            <w:r>
              <w:rPr>
                <w:rFonts w:hint="default" w:ascii="Times New Roman" w:hAnsi="Times New Roman" w:cs="Times New Roman"/>
                <w:b/>
                <w:bCs/>
                <w:color w:val="auto"/>
                <w:szCs w:val="21"/>
                <w:highlight w:val="none"/>
                <w:lang w:val="en-US" w:eastAsia="zh-CN"/>
              </w:rPr>
              <w:t>粉尘</w:t>
            </w:r>
            <w:r>
              <w:rPr>
                <w:rFonts w:hint="default" w:ascii="Times New Roman" w:hAnsi="Times New Roman" w:cs="Times New Roman"/>
                <w:b/>
                <w:bCs/>
                <w:color w:val="auto"/>
                <w:szCs w:val="21"/>
                <w:highlight w:val="none"/>
              </w:rPr>
              <w:t>废气</w:t>
            </w:r>
          </w:p>
          <w:p w14:paraId="479E6E50">
            <w:pPr>
              <w:pStyle w:val="40"/>
              <w:spacing w:line="360" w:lineRule="auto"/>
              <w:ind w:firstLine="420" w:firstLineChars="200"/>
              <w:jc w:val="left"/>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项目使用实验原辅材料中含粉状物质，其中包括以下原辅材料：</w:t>
            </w:r>
          </w:p>
          <w:p w14:paraId="2E53740E">
            <w:pPr>
              <w:widowControl/>
              <w:numPr>
                <w:ilvl w:val="0"/>
                <w:numId w:val="0"/>
              </w:numPr>
              <w:spacing w:line="360" w:lineRule="auto"/>
              <w:ind w:leftChars="0"/>
              <w:contextualSpacing/>
              <w:jc w:val="center"/>
              <w:rPr>
                <w:rFonts w:hint="default" w:ascii="Times New Roman" w:hAnsi="Times New Roman" w:eastAsia="宋体" w:cs="Times New Roman"/>
                <w:b/>
                <w:bCs/>
                <w:color w:val="auto"/>
                <w:kern w:val="2"/>
                <w:sz w:val="21"/>
                <w:szCs w:val="21"/>
                <w:highlight w:val="none"/>
                <w:lang w:val="zh-CN" w:eastAsia="zh-CN" w:bidi="ar-SA"/>
              </w:rPr>
            </w:pPr>
            <w:r>
              <w:rPr>
                <w:rFonts w:hint="eastAsia" w:cs="Times New Roman"/>
                <w:b/>
                <w:bCs/>
                <w:color w:val="auto"/>
                <w:kern w:val="2"/>
                <w:sz w:val="21"/>
                <w:szCs w:val="21"/>
                <w:highlight w:val="none"/>
                <w:lang w:val="en-US" w:eastAsia="zh-CN" w:bidi="ar-SA"/>
              </w:rPr>
              <w:t>表24</w:t>
            </w:r>
            <w:r>
              <w:rPr>
                <w:rFonts w:hint="default" w:ascii="Times New Roman" w:hAnsi="Times New Roman" w:eastAsia="宋体" w:cs="Times New Roman"/>
                <w:b/>
                <w:bCs/>
                <w:color w:val="auto"/>
                <w:kern w:val="2"/>
                <w:sz w:val="21"/>
                <w:szCs w:val="21"/>
                <w:highlight w:val="none"/>
                <w:lang w:val="zh-CN" w:eastAsia="zh-CN" w:bidi="ar-SA"/>
              </w:rPr>
              <w:t>粉状</w:t>
            </w:r>
            <w:r>
              <w:rPr>
                <w:rFonts w:hint="eastAsia" w:cs="Times New Roman"/>
                <w:b/>
                <w:bCs/>
                <w:color w:val="auto"/>
                <w:kern w:val="2"/>
                <w:sz w:val="21"/>
                <w:szCs w:val="21"/>
                <w:highlight w:val="none"/>
                <w:lang w:val="en-US" w:eastAsia="zh-CN" w:bidi="ar-SA"/>
              </w:rPr>
              <w:t>原辅材料</w:t>
            </w:r>
            <w:r>
              <w:rPr>
                <w:rFonts w:hint="default" w:ascii="Times New Roman" w:hAnsi="Times New Roman" w:eastAsia="宋体" w:cs="Times New Roman"/>
                <w:b/>
                <w:bCs/>
                <w:color w:val="auto"/>
                <w:kern w:val="2"/>
                <w:sz w:val="21"/>
                <w:szCs w:val="21"/>
                <w:highlight w:val="none"/>
                <w:lang w:val="zh-CN" w:eastAsia="zh-CN" w:bidi="ar-SA"/>
              </w:rPr>
              <w:t>情况表</w:t>
            </w:r>
          </w:p>
          <w:tbl>
            <w:tblPr>
              <w:tblStyle w:val="33"/>
              <w:tblW w:w="291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22"/>
              <w:gridCol w:w="2233"/>
              <w:gridCol w:w="1499"/>
            </w:tblGrid>
            <w:tr w14:paraId="6D4B0A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2" w:hRule="atLeast"/>
                <w:tblHeader/>
                <w:jc w:val="center"/>
              </w:trPr>
              <w:tc>
                <w:tcPr>
                  <w:tcW w:w="1233" w:type="pct"/>
                  <w:tcBorders>
                    <w:top w:val="single" w:color="auto" w:sz="4" w:space="0"/>
                    <w:left w:val="single" w:color="auto" w:sz="4" w:space="0"/>
                    <w:bottom w:val="single" w:color="auto" w:sz="4" w:space="0"/>
                    <w:right w:val="single" w:color="auto" w:sz="4" w:space="0"/>
                  </w:tcBorders>
                  <w:noWrap w:val="0"/>
                  <w:vAlign w:val="center"/>
                </w:tcPr>
                <w:p w14:paraId="30754529">
                  <w:pPr>
                    <w:adjustRightInd w:val="0"/>
                    <w:snapToGrid w:val="0"/>
                    <w:jc w:val="center"/>
                    <w:rPr>
                      <w:rFonts w:hint="default" w:ascii="Times New Roman" w:hAnsi="Times New Roman" w:cs="Times New Roman"/>
                      <w:b/>
                      <w:bCs/>
                      <w:color w:val="auto"/>
                      <w:spacing w:val="20"/>
                      <w:szCs w:val="21"/>
                      <w:highlight w:val="none"/>
                    </w:rPr>
                  </w:pPr>
                  <w:r>
                    <w:rPr>
                      <w:rFonts w:hint="default" w:ascii="Times New Roman" w:hAnsi="Times New Roman" w:cs="Times New Roman"/>
                      <w:b/>
                      <w:bCs/>
                      <w:color w:val="auto"/>
                      <w:spacing w:val="20"/>
                      <w:szCs w:val="21"/>
                      <w:highlight w:val="none"/>
                      <w:lang w:bidi="ar"/>
                    </w:rPr>
                    <w:t>序号</w:t>
                  </w:r>
                </w:p>
              </w:tc>
              <w:tc>
                <w:tcPr>
                  <w:tcW w:w="2253" w:type="pct"/>
                  <w:tcBorders>
                    <w:top w:val="single" w:color="auto" w:sz="4" w:space="0"/>
                    <w:left w:val="single" w:color="auto" w:sz="4" w:space="0"/>
                    <w:bottom w:val="single" w:color="auto" w:sz="4" w:space="0"/>
                    <w:right w:val="single" w:color="auto" w:sz="4" w:space="0"/>
                  </w:tcBorders>
                  <w:noWrap w:val="0"/>
                  <w:vAlign w:val="center"/>
                </w:tcPr>
                <w:p w14:paraId="40DE5BB2">
                  <w:pPr>
                    <w:adjustRightInd w:val="0"/>
                    <w:snapToGrid w:val="0"/>
                    <w:jc w:val="center"/>
                    <w:rPr>
                      <w:rFonts w:hint="default" w:ascii="Times New Roman" w:hAnsi="Times New Roman" w:cs="Times New Roman"/>
                      <w:b/>
                      <w:bCs/>
                      <w:color w:val="auto"/>
                      <w:spacing w:val="20"/>
                      <w:szCs w:val="21"/>
                      <w:highlight w:val="none"/>
                    </w:rPr>
                  </w:pPr>
                  <w:r>
                    <w:rPr>
                      <w:rFonts w:hint="default" w:ascii="Times New Roman" w:hAnsi="Times New Roman" w:cs="Times New Roman"/>
                      <w:b/>
                      <w:bCs/>
                      <w:color w:val="auto"/>
                      <w:spacing w:val="20"/>
                      <w:szCs w:val="21"/>
                      <w:highlight w:val="none"/>
                      <w:lang w:bidi="ar"/>
                    </w:rPr>
                    <w:t>名称</w:t>
                  </w:r>
                </w:p>
              </w:tc>
              <w:tc>
                <w:tcPr>
                  <w:tcW w:w="1513" w:type="pct"/>
                  <w:tcBorders>
                    <w:top w:val="single" w:color="auto" w:sz="4" w:space="0"/>
                    <w:left w:val="single" w:color="auto" w:sz="4" w:space="0"/>
                    <w:bottom w:val="single" w:color="auto" w:sz="4" w:space="0"/>
                    <w:right w:val="single" w:color="auto" w:sz="4" w:space="0"/>
                  </w:tcBorders>
                  <w:noWrap w:val="0"/>
                  <w:vAlign w:val="center"/>
                </w:tcPr>
                <w:p w14:paraId="141F9E2D">
                  <w:pPr>
                    <w:pStyle w:val="100"/>
                    <w:widowControl/>
                    <w:adjustRightInd w:val="0"/>
                    <w:snapToGrid w:val="0"/>
                    <w:rPr>
                      <w:rFonts w:hint="default" w:ascii="Times New Roman" w:hAnsi="Times New Roman" w:eastAsia="宋体" w:cs="Times New Roman"/>
                      <w:b/>
                      <w:bCs/>
                      <w:color w:val="auto"/>
                      <w:sz w:val="21"/>
                      <w:szCs w:val="21"/>
                      <w:highlight w:val="none"/>
                      <w:lang w:eastAsia="zh-CN"/>
                    </w:rPr>
                  </w:pPr>
                  <w:r>
                    <w:rPr>
                      <w:rFonts w:hint="default" w:ascii="Times New Roman" w:hAnsi="Times New Roman" w:cs="Times New Roman"/>
                      <w:b/>
                      <w:bCs/>
                      <w:color w:val="auto"/>
                      <w:sz w:val="21"/>
                      <w:szCs w:val="21"/>
                      <w:highlight w:val="none"/>
                    </w:rPr>
                    <w:t>年用量</w:t>
                  </w:r>
                  <w:r>
                    <w:rPr>
                      <w:rFonts w:hint="default" w:ascii="Times New Roman" w:hAnsi="Times New Roman" w:cs="Times New Roman"/>
                      <w:b/>
                      <w:bCs/>
                      <w:color w:val="auto"/>
                      <w:sz w:val="21"/>
                      <w:szCs w:val="21"/>
                      <w:highlight w:val="none"/>
                      <w:lang w:eastAsia="zh-CN"/>
                    </w:rPr>
                    <w:t>（</w:t>
                  </w:r>
                  <w:r>
                    <w:rPr>
                      <w:rFonts w:hint="default" w:ascii="Times New Roman" w:hAnsi="Times New Roman" w:cs="Times New Roman"/>
                      <w:b/>
                      <w:bCs/>
                      <w:color w:val="auto"/>
                      <w:sz w:val="21"/>
                      <w:szCs w:val="21"/>
                      <w:highlight w:val="none"/>
                      <w:lang w:val="en-US" w:eastAsia="zh-CN"/>
                    </w:rPr>
                    <w:t>kg</w:t>
                  </w:r>
                  <w:r>
                    <w:rPr>
                      <w:rFonts w:hint="default" w:ascii="Times New Roman" w:hAnsi="Times New Roman" w:cs="Times New Roman"/>
                      <w:b/>
                      <w:bCs/>
                      <w:color w:val="auto"/>
                      <w:sz w:val="21"/>
                      <w:szCs w:val="21"/>
                      <w:highlight w:val="none"/>
                      <w:lang w:eastAsia="zh-CN"/>
                    </w:rPr>
                    <w:t>）</w:t>
                  </w:r>
                </w:p>
              </w:tc>
            </w:tr>
            <w:tr w14:paraId="4008C8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2" w:hRule="atLeast"/>
                <w:jc w:val="center"/>
              </w:trPr>
              <w:tc>
                <w:tcPr>
                  <w:tcW w:w="1233" w:type="pct"/>
                  <w:tcBorders>
                    <w:top w:val="single" w:color="auto" w:sz="4" w:space="0"/>
                    <w:left w:val="single" w:color="auto" w:sz="4" w:space="0"/>
                    <w:bottom w:val="single" w:color="auto" w:sz="4" w:space="0"/>
                    <w:right w:val="single" w:color="auto" w:sz="4" w:space="0"/>
                  </w:tcBorders>
                  <w:noWrap w:val="0"/>
                  <w:vAlign w:val="center"/>
                </w:tcPr>
                <w:p w14:paraId="2BB79FB2">
                  <w:pPr>
                    <w:keepNext w:val="0"/>
                    <w:keepLines w:val="0"/>
                    <w:widowControl/>
                    <w:suppressLineNumbers w:val="0"/>
                    <w:jc w:val="center"/>
                    <w:textAlignment w:val="center"/>
                    <w:rPr>
                      <w:rFonts w:hint="default" w:ascii="Times New Roman" w:hAnsi="Times New Roman" w:cs="Times New Roman"/>
                      <w:color w:val="auto"/>
                      <w:szCs w:val="21"/>
                      <w:highlight w:val="none"/>
                      <w:lang w:bidi="ar"/>
                    </w:rPr>
                  </w:pPr>
                  <w:r>
                    <w:rPr>
                      <w:rFonts w:hint="default" w:ascii="Times New Roman" w:hAnsi="Times New Roman" w:eastAsia="宋体" w:cs="Times New Roman"/>
                      <w:i w:val="0"/>
                      <w:iCs w:val="0"/>
                      <w:color w:val="auto"/>
                      <w:kern w:val="0"/>
                      <w:sz w:val="22"/>
                      <w:szCs w:val="22"/>
                      <w:highlight w:val="none"/>
                      <w:u w:val="none"/>
                      <w:lang w:val="en-US" w:eastAsia="zh-CN" w:bidi="ar"/>
                    </w:rPr>
                    <w:t>1</w:t>
                  </w:r>
                </w:p>
              </w:tc>
              <w:tc>
                <w:tcPr>
                  <w:tcW w:w="2253" w:type="pct"/>
                  <w:tcBorders>
                    <w:top w:val="single" w:color="auto" w:sz="4" w:space="0"/>
                    <w:left w:val="single" w:color="auto" w:sz="4" w:space="0"/>
                    <w:bottom w:val="single" w:color="auto" w:sz="4" w:space="0"/>
                    <w:right w:val="single" w:color="auto" w:sz="4" w:space="0"/>
                  </w:tcBorders>
                  <w:noWrap w:val="0"/>
                  <w:vAlign w:val="center"/>
                </w:tcPr>
                <w:p w14:paraId="1EDB64A2">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乙二胺四乙酸</w:t>
                  </w:r>
                </w:p>
              </w:tc>
              <w:tc>
                <w:tcPr>
                  <w:tcW w:w="1513" w:type="pct"/>
                  <w:tcBorders>
                    <w:top w:val="single" w:color="auto" w:sz="4" w:space="0"/>
                    <w:left w:val="single" w:color="auto" w:sz="4" w:space="0"/>
                    <w:bottom w:val="single" w:color="auto" w:sz="4" w:space="0"/>
                    <w:right w:val="single" w:color="auto" w:sz="4" w:space="0"/>
                  </w:tcBorders>
                  <w:noWrap w:val="0"/>
                  <w:vAlign w:val="center"/>
                </w:tcPr>
                <w:p w14:paraId="2275F24C">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5</w:t>
                  </w:r>
                </w:p>
              </w:tc>
            </w:tr>
            <w:tr w14:paraId="0FCFC4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2" w:hRule="atLeast"/>
                <w:jc w:val="center"/>
              </w:trPr>
              <w:tc>
                <w:tcPr>
                  <w:tcW w:w="1233" w:type="pct"/>
                  <w:tcBorders>
                    <w:top w:val="single" w:color="auto" w:sz="4" w:space="0"/>
                    <w:left w:val="single" w:color="auto" w:sz="4" w:space="0"/>
                    <w:bottom w:val="single" w:color="auto" w:sz="4" w:space="0"/>
                    <w:right w:val="single" w:color="auto" w:sz="4" w:space="0"/>
                  </w:tcBorders>
                  <w:noWrap w:val="0"/>
                  <w:vAlign w:val="center"/>
                </w:tcPr>
                <w:p w14:paraId="741BCDAB">
                  <w:pPr>
                    <w:keepNext w:val="0"/>
                    <w:keepLines w:val="0"/>
                    <w:widowControl/>
                    <w:suppressLineNumbers w:val="0"/>
                    <w:jc w:val="center"/>
                    <w:textAlignment w:val="center"/>
                    <w:rPr>
                      <w:rFonts w:hint="default" w:ascii="Times New Roman" w:hAnsi="Times New Roman" w:cs="Times New Roman"/>
                      <w:color w:val="auto"/>
                      <w:szCs w:val="21"/>
                      <w:highlight w:val="none"/>
                      <w:lang w:bidi="ar"/>
                    </w:rPr>
                  </w:pPr>
                  <w:r>
                    <w:rPr>
                      <w:rFonts w:hint="default" w:ascii="Times New Roman" w:hAnsi="Times New Roman" w:eastAsia="宋体" w:cs="Times New Roman"/>
                      <w:i w:val="0"/>
                      <w:iCs w:val="0"/>
                      <w:color w:val="auto"/>
                      <w:kern w:val="0"/>
                      <w:sz w:val="22"/>
                      <w:szCs w:val="22"/>
                      <w:highlight w:val="none"/>
                      <w:u w:val="none"/>
                      <w:lang w:val="en-US" w:eastAsia="zh-CN" w:bidi="ar"/>
                    </w:rPr>
                    <w:t>2</w:t>
                  </w:r>
                </w:p>
              </w:tc>
              <w:tc>
                <w:tcPr>
                  <w:tcW w:w="2253" w:type="pct"/>
                  <w:tcBorders>
                    <w:top w:val="single" w:color="auto" w:sz="4" w:space="0"/>
                    <w:left w:val="single" w:color="auto" w:sz="4" w:space="0"/>
                    <w:bottom w:val="single" w:color="auto" w:sz="4" w:space="0"/>
                    <w:right w:val="single" w:color="auto" w:sz="4" w:space="0"/>
                  </w:tcBorders>
                  <w:noWrap w:val="0"/>
                  <w:vAlign w:val="center"/>
                </w:tcPr>
                <w:p w14:paraId="59E2B4DA">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溴百里香酚蓝（BTB）</w:t>
                  </w:r>
                </w:p>
              </w:tc>
              <w:tc>
                <w:tcPr>
                  <w:tcW w:w="1513" w:type="pct"/>
                  <w:tcBorders>
                    <w:top w:val="single" w:color="auto" w:sz="4" w:space="0"/>
                    <w:left w:val="single" w:color="auto" w:sz="4" w:space="0"/>
                    <w:bottom w:val="single" w:color="auto" w:sz="4" w:space="0"/>
                    <w:right w:val="single" w:color="auto" w:sz="4" w:space="0"/>
                  </w:tcBorders>
                  <w:noWrap w:val="0"/>
                  <w:vAlign w:val="center"/>
                </w:tcPr>
                <w:p w14:paraId="5BAFCCF4">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0.05</w:t>
                  </w:r>
                </w:p>
              </w:tc>
            </w:tr>
            <w:tr w14:paraId="45156D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2" w:hRule="atLeast"/>
                <w:jc w:val="center"/>
              </w:trPr>
              <w:tc>
                <w:tcPr>
                  <w:tcW w:w="1233" w:type="pct"/>
                  <w:tcBorders>
                    <w:top w:val="single" w:color="auto" w:sz="4" w:space="0"/>
                    <w:left w:val="single" w:color="auto" w:sz="4" w:space="0"/>
                    <w:bottom w:val="single" w:color="auto" w:sz="4" w:space="0"/>
                    <w:right w:val="single" w:color="auto" w:sz="4" w:space="0"/>
                  </w:tcBorders>
                  <w:noWrap w:val="0"/>
                  <w:vAlign w:val="center"/>
                </w:tcPr>
                <w:p w14:paraId="706CB880">
                  <w:pPr>
                    <w:keepNext w:val="0"/>
                    <w:keepLines w:val="0"/>
                    <w:widowControl/>
                    <w:suppressLineNumbers w:val="0"/>
                    <w:jc w:val="center"/>
                    <w:textAlignment w:val="center"/>
                    <w:rPr>
                      <w:rFonts w:hint="default" w:ascii="Times New Roman" w:hAnsi="Times New Roman" w:cs="Times New Roman"/>
                      <w:color w:val="auto"/>
                      <w:szCs w:val="21"/>
                      <w:highlight w:val="none"/>
                      <w:lang w:bidi="ar"/>
                    </w:rPr>
                  </w:pPr>
                  <w:r>
                    <w:rPr>
                      <w:rFonts w:hint="default" w:ascii="Times New Roman" w:hAnsi="Times New Roman" w:eastAsia="宋体" w:cs="Times New Roman"/>
                      <w:i w:val="0"/>
                      <w:iCs w:val="0"/>
                      <w:color w:val="auto"/>
                      <w:kern w:val="0"/>
                      <w:sz w:val="22"/>
                      <w:szCs w:val="22"/>
                      <w:highlight w:val="none"/>
                      <w:u w:val="none"/>
                      <w:lang w:val="en-US" w:eastAsia="zh-CN" w:bidi="ar"/>
                    </w:rPr>
                    <w:t>3</w:t>
                  </w:r>
                </w:p>
              </w:tc>
              <w:tc>
                <w:tcPr>
                  <w:tcW w:w="2253" w:type="pct"/>
                  <w:tcBorders>
                    <w:top w:val="single" w:color="auto" w:sz="4" w:space="0"/>
                    <w:left w:val="single" w:color="auto" w:sz="4" w:space="0"/>
                    <w:bottom w:val="single" w:color="auto" w:sz="4" w:space="0"/>
                    <w:right w:val="single" w:color="auto" w:sz="4" w:space="0"/>
                  </w:tcBorders>
                  <w:noWrap w:val="0"/>
                  <w:vAlign w:val="center"/>
                </w:tcPr>
                <w:p w14:paraId="325D8054">
                  <w:pPr>
                    <w:jc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sz w:val="21"/>
                      <w:szCs w:val="21"/>
                      <w:highlight w:val="none"/>
                    </w:rPr>
                    <w:t>酚酞</w:t>
                  </w:r>
                </w:p>
              </w:tc>
              <w:tc>
                <w:tcPr>
                  <w:tcW w:w="1513" w:type="pct"/>
                  <w:tcBorders>
                    <w:top w:val="single" w:color="auto" w:sz="4" w:space="0"/>
                    <w:left w:val="single" w:color="auto" w:sz="4" w:space="0"/>
                    <w:bottom w:val="single" w:color="auto" w:sz="4" w:space="0"/>
                    <w:right w:val="single" w:color="auto" w:sz="4" w:space="0"/>
                  </w:tcBorders>
                  <w:noWrap w:val="0"/>
                  <w:vAlign w:val="center"/>
                </w:tcPr>
                <w:p w14:paraId="30CD3533">
                  <w:pPr>
                    <w:jc w:val="center"/>
                    <w:rPr>
                      <w:rFonts w:hint="default" w:ascii="Times New Roman" w:hAnsi="Times New Roman" w:cs="Times New Roman"/>
                      <w:color w:val="auto"/>
                      <w:szCs w:val="21"/>
                      <w:highlight w:val="none"/>
                      <w:lang w:val="en-US"/>
                    </w:rPr>
                  </w:pPr>
                  <w:r>
                    <w:rPr>
                      <w:rFonts w:hint="default" w:ascii="Times New Roman" w:hAnsi="Times New Roman" w:cs="Times New Roman"/>
                      <w:color w:val="auto"/>
                      <w:sz w:val="21"/>
                      <w:szCs w:val="21"/>
                      <w:highlight w:val="none"/>
                    </w:rPr>
                    <w:t>0.025</w:t>
                  </w:r>
                </w:p>
              </w:tc>
            </w:tr>
            <w:tr w14:paraId="1E450D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2" w:hRule="atLeast"/>
                <w:jc w:val="center"/>
              </w:trPr>
              <w:tc>
                <w:tcPr>
                  <w:tcW w:w="1233" w:type="pct"/>
                  <w:tcBorders>
                    <w:top w:val="single" w:color="auto" w:sz="4" w:space="0"/>
                    <w:left w:val="single" w:color="auto" w:sz="4" w:space="0"/>
                    <w:bottom w:val="single" w:color="auto" w:sz="4" w:space="0"/>
                    <w:right w:val="single" w:color="auto" w:sz="4" w:space="0"/>
                  </w:tcBorders>
                  <w:noWrap w:val="0"/>
                  <w:vAlign w:val="center"/>
                </w:tcPr>
                <w:p w14:paraId="75FD6D26">
                  <w:pPr>
                    <w:keepNext w:val="0"/>
                    <w:keepLines w:val="0"/>
                    <w:widowControl/>
                    <w:suppressLineNumbers w:val="0"/>
                    <w:jc w:val="center"/>
                    <w:textAlignment w:val="center"/>
                    <w:rPr>
                      <w:rFonts w:hint="default" w:ascii="Times New Roman" w:hAnsi="Times New Roman" w:cs="Times New Roman"/>
                      <w:color w:val="auto"/>
                      <w:szCs w:val="21"/>
                      <w:highlight w:val="none"/>
                      <w:lang w:bidi="ar"/>
                    </w:rPr>
                  </w:pPr>
                  <w:r>
                    <w:rPr>
                      <w:rFonts w:hint="default" w:ascii="Times New Roman" w:hAnsi="Times New Roman" w:eastAsia="宋体" w:cs="Times New Roman"/>
                      <w:i w:val="0"/>
                      <w:iCs w:val="0"/>
                      <w:color w:val="auto"/>
                      <w:kern w:val="0"/>
                      <w:sz w:val="22"/>
                      <w:szCs w:val="22"/>
                      <w:highlight w:val="none"/>
                      <w:u w:val="none"/>
                      <w:lang w:val="en-US" w:eastAsia="zh-CN" w:bidi="ar"/>
                    </w:rPr>
                    <w:t>4</w:t>
                  </w:r>
                </w:p>
              </w:tc>
              <w:tc>
                <w:tcPr>
                  <w:tcW w:w="2253" w:type="pct"/>
                  <w:tcBorders>
                    <w:top w:val="single" w:color="auto" w:sz="4" w:space="0"/>
                    <w:left w:val="single" w:color="auto" w:sz="4" w:space="0"/>
                    <w:bottom w:val="single" w:color="auto" w:sz="4" w:space="0"/>
                    <w:right w:val="single" w:color="auto" w:sz="4" w:space="0"/>
                  </w:tcBorders>
                  <w:noWrap w:val="0"/>
                  <w:vAlign w:val="center"/>
                </w:tcPr>
                <w:p w14:paraId="1DB19D61">
                  <w:pPr>
                    <w:jc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sz w:val="21"/>
                      <w:szCs w:val="21"/>
                      <w:highlight w:val="none"/>
                    </w:rPr>
                    <w:t>甲基红</w:t>
                  </w:r>
                </w:p>
              </w:tc>
              <w:tc>
                <w:tcPr>
                  <w:tcW w:w="1513" w:type="pct"/>
                  <w:tcBorders>
                    <w:top w:val="single" w:color="auto" w:sz="4" w:space="0"/>
                    <w:left w:val="single" w:color="auto" w:sz="4" w:space="0"/>
                    <w:bottom w:val="single" w:color="auto" w:sz="4" w:space="0"/>
                    <w:right w:val="single" w:color="auto" w:sz="4" w:space="0"/>
                  </w:tcBorders>
                  <w:noWrap w:val="0"/>
                  <w:vAlign w:val="center"/>
                </w:tcPr>
                <w:p w14:paraId="442E2710">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 w:val="21"/>
                      <w:szCs w:val="21"/>
                      <w:highlight w:val="none"/>
                    </w:rPr>
                    <w:t>0.025</w:t>
                  </w:r>
                </w:p>
              </w:tc>
            </w:tr>
            <w:tr w14:paraId="57A1C6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2" w:hRule="atLeast"/>
                <w:jc w:val="center"/>
              </w:trPr>
              <w:tc>
                <w:tcPr>
                  <w:tcW w:w="1233" w:type="pct"/>
                  <w:tcBorders>
                    <w:top w:val="single" w:color="auto" w:sz="4" w:space="0"/>
                    <w:left w:val="single" w:color="auto" w:sz="4" w:space="0"/>
                    <w:bottom w:val="single" w:color="auto" w:sz="4" w:space="0"/>
                    <w:right w:val="single" w:color="auto" w:sz="4" w:space="0"/>
                  </w:tcBorders>
                  <w:noWrap w:val="0"/>
                  <w:vAlign w:val="center"/>
                </w:tcPr>
                <w:p w14:paraId="7D3F947A">
                  <w:pPr>
                    <w:keepNext w:val="0"/>
                    <w:keepLines w:val="0"/>
                    <w:widowControl/>
                    <w:suppressLineNumbers w:val="0"/>
                    <w:jc w:val="center"/>
                    <w:textAlignment w:val="center"/>
                    <w:rPr>
                      <w:rFonts w:hint="default" w:ascii="Times New Roman" w:hAnsi="Times New Roman" w:cs="Times New Roman"/>
                      <w:color w:val="auto"/>
                      <w:szCs w:val="21"/>
                      <w:highlight w:val="none"/>
                      <w:lang w:bidi="ar"/>
                    </w:rPr>
                  </w:pPr>
                  <w:r>
                    <w:rPr>
                      <w:rFonts w:hint="default" w:ascii="Times New Roman" w:hAnsi="Times New Roman" w:eastAsia="宋体" w:cs="Times New Roman"/>
                      <w:i w:val="0"/>
                      <w:iCs w:val="0"/>
                      <w:color w:val="auto"/>
                      <w:kern w:val="0"/>
                      <w:sz w:val="22"/>
                      <w:szCs w:val="22"/>
                      <w:highlight w:val="none"/>
                      <w:u w:val="none"/>
                      <w:lang w:val="en-US" w:eastAsia="zh-CN" w:bidi="ar"/>
                    </w:rPr>
                    <w:t>5</w:t>
                  </w:r>
                </w:p>
              </w:tc>
              <w:tc>
                <w:tcPr>
                  <w:tcW w:w="2253" w:type="pct"/>
                  <w:tcBorders>
                    <w:top w:val="single" w:color="auto" w:sz="4" w:space="0"/>
                    <w:left w:val="single" w:color="auto" w:sz="4" w:space="0"/>
                    <w:bottom w:val="single" w:color="auto" w:sz="4" w:space="0"/>
                    <w:right w:val="single" w:color="auto" w:sz="4" w:space="0"/>
                  </w:tcBorders>
                  <w:noWrap w:val="0"/>
                  <w:vAlign w:val="center"/>
                </w:tcPr>
                <w:p w14:paraId="3AE1B88B">
                  <w:pPr>
                    <w:jc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sz w:val="21"/>
                      <w:szCs w:val="21"/>
                      <w:highlight w:val="none"/>
                    </w:rPr>
                    <w:t>百里香酚蓝</w:t>
                  </w:r>
                </w:p>
              </w:tc>
              <w:tc>
                <w:tcPr>
                  <w:tcW w:w="1513" w:type="pct"/>
                  <w:tcBorders>
                    <w:top w:val="single" w:color="auto" w:sz="4" w:space="0"/>
                    <w:left w:val="single" w:color="auto" w:sz="4" w:space="0"/>
                    <w:bottom w:val="single" w:color="auto" w:sz="4" w:space="0"/>
                    <w:right w:val="single" w:color="auto" w:sz="4" w:space="0"/>
                  </w:tcBorders>
                  <w:noWrap w:val="0"/>
                  <w:vAlign w:val="center"/>
                </w:tcPr>
                <w:p w14:paraId="73B51B97">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 w:val="21"/>
                      <w:szCs w:val="21"/>
                      <w:highlight w:val="none"/>
                    </w:rPr>
                    <w:t>0.125</w:t>
                  </w:r>
                </w:p>
              </w:tc>
            </w:tr>
            <w:tr w14:paraId="349989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2" w:hRule="atLeast"/>
                <w:jc w:val="center"/>
              </w:trPr>
              <w:tc>
                <w:tcPr>
                  <w:tcW w:w="1233" w:type="pct"/>
                  <w:tcBorders>
                    <w:top w:val="single" w:color="auto" w:sz="4" w:space="0"/>
                    <w:left w:val="single" w:color="auto" w:sz="4" w:space="0"/>
                    <w:bottom w:val="single" w:color="auto" w:sz="4" w:space="0"/>
                    <w:right w:val="single" w:color="auto" w:sz="4" w:space="0"/>
                  </w:tcBorders>
                  <w:noWrap w:val="0"/>
                  <w:vAlign w:val="center"/>
                </w:tcPr>
                <w:p w14:paraId="20632A77">
                  <w:pPr>
                    <w:keepNext w:val="0"/>
                    <w:keepLines w:val="0"/>
                    <w:widowControl/>
                    <w:suppressLineNumbers w:val="0"/>
                    <w:jc w:val="center"/>
                    <w:textAlignment w:val="center"/>
                    <w:rPr>
                      <w:rFonts w:hint="default" w:ascii="Times New Roman" w:hAnsi="Times New Roman" w:cs="Times New Roman"/>
                      <w:color w:val="auto"/>
                      <w:szCs w:val="21"/>
                      <w:highlight w:val="none"/>
                      <w:lang w:bidi="ar"/>
                    </w:rPr>
                  </w:pPr>
                  <w:r>
                    <w:rPr>
                      <w:rFonts w:hint="default" w:ascii="Times New Roman" w:hAnsi="Times New Roman" w:eastAsia="宋体" w:cs="Times New Roman"/>
                      <w:i w:val="0"/>
                      <w:iCs w:val="0"/>
                      <w:color w:val="auto"/>
                      <w:kern w:val="0"/>
                      <w:sz w:val="22"/>
                      <w:szCs w:val="22"/>
                      <w:highlight w:val="none"/>
                      <w:u w:val="none"/>
                      <w:lang w:val="en-US" w:eastAsia="zh-CN" w:bidi="ar"/>
                    </w:rPr>
                    <w:t>6</w:t>
                  </w:r>
                </w:p>
              </w:tc>
              <w:tc>
                <w:tcPr>
                  <w:tcW w:w="2253" w:type="pct"/>
                  <w:tcBorders>
                    <w:top w:val="single" w:color="auto" w:sz="4" w:space="0"/>
                    <w:left w:val="single" w:color="auto" w:sz="4" w:space="0"/>
                    <w:bottom w:val="single" w:color="auto" w:sz="4" w:space="0"/>
                    <w:right w:val="single" w:color="auto" w:sz="4" w:space="0"/>
                  </w:tcBorders>
                  <w:noWrap w:val="0"/>
                  <w:vAlign w:val="center"/>
                </w:tcPr>
                <w:p w14:paraId="64AD8251">
                  <w:pPr>
                    <w:jc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sz w:val="21"/>
                      <w:szCs w:val="21"/>
                      <w:highlight w:val="none"/>
                    </w:rPr>
                    <w:t>甲基橙</w:t>
                  </w:r>
                </w:p>
              </w:tc>
              <w:tc>
                <w:tcPr>
                  <w:tcW w:w="1513" w:type="pct"/>
                  <w:tcBorders>
                    <w:top w:val="single" w:color="auto" w:sz="4" w:space="0"/>
                    <w:left w:val="single" w:color="auto" w:sz="4" w:space="0"/>
                    <w:bottom w:val="single" w:color="auto" w:sz="4" w:space="0"/>
                    <w:right w:val="single" w:color="auto" w:sz="4" w:space="0"/>
                  </w:tcBorders>
                  <w:noWrap w:val="0"/>
                  <w:vAlign w:val="center"/>
                </w:tcPr>
                <w:p w14:paraId="47C75240">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 w:val="21"/>
                      <w:szCs w:val="21"/>
                      <w:highlight w:val="none"/>
                    </w:rPr>
                    <w:t>0.05</w:t>
                  </w:r>
                </w:p>
              </w:tc>
            </w:tr>
            <w:tr w14:paraId="6F5812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2" w:hRule="atLeast"/>
                <w:jc w:val="center"/>
              </w:trPr>
              <w:tc>
                <w:tcPr>
                  <w:tcW w:w="1233" w:type="pct"/>
                  <w:tcBorders>
                    <w:top w:val="single" w:color="auto" w:sz="4" w:space="0"/>
                    <w:left w:val="single" w:color="auto" w:sz="4" w:space="0"/>
                    <w:bottom w:val="single" w:color="auto" w:sz="4" w:space="0"/>
                    <w:right w:val="single" w:color="auto" w:sz="4" w:space="0"/>
                  </w:tcBorders>
                  <w:noWrap w:val="0"/>
                  <w:vAlign w:val="center"/>
                </w:tcPr>
                <w:p w14:paraId="6B4DD64B">
                  <w:pPr>
                    <w:keepNext w:val="0"/>
                    <w:keepLines w:val="0"/>
                    <w:widowControl/>
                    <w:suppressLineNumbers w:val="0"/>
                    <w:jc w:val="center"/>
                    <w:textAlignment w:val="center"/>
                    <w:rPr>
                      <w:rFonts w:hint="default" w:ascii="Times New Roman" w:hAnsi="Times New Roman" w:cs="Times New Roman"/>
                      <w:color w:val="auto"/>
                      <w:szCs w:val="21"/>
                      <w:highlight w:val="none"/>
                      <w:lang w:bidi="ar"/>
                    </w:rPr>
                  </w:pPr>
                  <w:r>
                    <w:rPr>
                      <w:rFonts w:hint="default" w:ascii="Times New Roman" w:hAnsi="Times New Roman" w:eastAsia="宋体" w:cs="Times New Roman"/>
                      <w:i w:val="0"/>
                      <w:iCs w:val="0"/>
                      <w:color w:val="auto"/>
                      <w:kern w:val="0"/>
                      <w:sz w:val="22"/>
                      <w:szCs w:val="22"/>
                      <w:highlight w:val="none"/>
                      <w:u w:val="none"/>
                      <w:lang w:val="en-US" w:eastAsia="zh-CN" w:bidi="ar"/>
                    </w:rPr>
                    <w:t>7</w:t>
                  </w:r>
                </w:p>
              </w:tc>
              <w:tc>
                <w:tcPr>
                  <w:tcW w:w="2253" w:type="pct"/>
                  <w:tcBorders>
                    <w:top w:val="single" w:color="auto" w:sz="4" w:space="0"/>
                    <w:left w:val="single" w:color="auto" w:sz="4" w:space="0"/>
                    <w:bottom w:val="single" w:color="auto" w:sz="4" w:space="0"/>
                    <w:right w:val="single" w:color="auto" w:sz="4" w:space="0"/>
                  </w:tcBorders>
                  <w:noWrap w:val="0"/>
                  <w:vAlign w:val="center"/>
                </w:tcPr>
                <w:p w14:paraId="1936B5F3">
                  <w:pPr>
                    <w:jc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sz w:val="21"/>
                      <w:szCs w:val="21"/>
                      <w:highlight w:val="none"/>
                    </w:rPr>
                    <w:t>水杨酸</w:t>
                  </w:r>
                </w:p>
              </w:tc>
              <w:tc>
                <w:tcPr>
                  <w:tcW w:w="1513" w:type="pct"/>
                  <w:tcBorders>
                    <w:top w:val="single" w:color="auto" w:sz="4" w:space="0"/>
                    <w:left w:val="single" w:color="auto" w:sz="4" w:space="0"/>
                    <w:bottom w:val="single" w:color="auto" w:sz="4" w:space="0"/>
                    <w:right w:val="single" w:color="auto" w:sz="4" w:space="0"/>
                  </w:tcBorders>
                  <w:noWrap w:val="0"/>
                  <w:vAlign w:val="center"/>
                </w:tcPr>
                <w:p w14:paraId="3878F87E">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 w:val="21"/>
                      <w:szCs w:val="21"/>
                      <w:highlight w:val="none"/>
                    </w:rPr>
                    <w:t>1</w:t>
                  </w:r>
                </w:p>
              </w:tc>
            </w:tr>
            <w:tr w14:paraId="505940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2" w:hRule="atLeast"/>
                <w:jc w:val="center"/>
              </w:trPr>
              <w:tc>
                <w:tcPr>
                  <w:tcW w:w="1233" w:type="pct"/>
                  <w:tcBorders>
                    <w:top w:val="single" w:color="auto" w:sz="4" w:space="0"/>
                    <w:left w:val="single" w:color="auto" w:sz="4" w:space="0"/>
                    <w:bottom w:val="single" w:color="auto" w:sz="4" w:space="0"/>
                    <w:right w:val="single" w:color="auto" w:sz="4" w:space="0"/>
                  </w:tcBorders>
                  <w:noWrap w:val="0"/>
                  <w:vAlign w:val="center"/>
                </w:tcPr>
                <w:p w14:paraId="5D85862C">
                  <w:pPr>
                    <w:keepNext w:val="0"/>
                    <w:keepLines w:val="0"/>
                    <w:widowControl/>
                    <w:suppressLineNumbers w:val="0"/>
                    <w:jc w:val="center"/>
                    <w:textAlignment w:val="center"/>
                    <w:rPr>
                      <w:rFonts w:hint="default" w:ascii="Times New Roman" w:hAnsi="Times New Roman" w:cs="Times New Roman"/>
                      <w:color w:val="auto"/>
                      <w:szCs w:val="21"/>
                      <w:highlight w:val="none"/>
                      <w:lang w:bidi="ar"/>
                    </w:rPr>
                  </w:pPr>
                  <w:r>
                    <w:rPr>
                      <w:rFonts w:hint="default" w:ascii="Times New Roman" w:hAnsi="Times New Roman" w:eastAsia="宋体" w:cs="Times New Roman"/>
                      <w:i w:val="0"/>
                      <w:iCs w:val="0"/>
                      <w:color w:val="auto"/>
                      <w:kern w:val="0"/>
                      <w:sz w:val="22"/>
                      <w:szCs w:val="22"/>
                      <w:highlight w:val="none"/>
                      <w:u w:val="none"/>
                      <w:lang w:val="en-US" w:eastAsia="zh-CN" w:bidi="ar"/>
                    </w:rPr>
                    <w:t>8</w:t>
                  </w:r>
                </w:p>
              </w:tc>
              <w:tc>
                <w:tcPr>
                  <w:tcW w:w="2253" w:type="pct"/>
                  <w:tcBorders>
                    <w:top w:val="single" w:color="auto" w:sz="4" w:space="0"/>
                    <w:left w:val="single" w:color="auto" w:sz="4" w:space="0"/>
                    <w:bottom w:val="single" w:color="auto" w:sz="4" w:space="0"/>
                    <w:right w:val="single" w:color="auto" w:sz="4" w:space="0"/>
                  </w:tcBorders>
                  <w:noWrap w:val="0"/>
                  <w:vAlign w:val="center"/>
                </w:tcPr>
                <w:p w14:paraId="2F587DAA">
                  <w:pPr>
                    <w:jc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sz w:val="21"/>
                      <w:szCs w:val="21"/>
                      <w:highlight w:val="none"/>
                    </w:rPr>
                    <w:t>草酸钠</w:t>
                  </w:r>
                </w:p>
              </w:tc>
              <w:tc>
                <w:tcPr>
                  <w:tcW w:w="1513" w:type="pct"/>
                  <w:tcBorders>
                    <w:top w:val="single" w:color="auto" w:sz="4" w:space="0"/>
                    <w:left w:val="single" w:color="auto" w:sz="4" w:space="0"/>
                    <w:bottom w:val="single" w:color="auto" w:sz="4" w:space="0"/>
                    <w:right w:val="single" w:color="auto" w:sz="4" w:space="0"/>
                  </w:tcBorders>
                  <w:noWrap w:val="0"/>
                  <w:vAlign w:val="center"/>
                </w:tcPr>
                <w:p w14:paraId="74F855C0">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 w:val="21"/>
                      <w:szCs w:val="21"/>
                      <w:highlight w:val="none"/>
                    </w:rPr>
                    <w:t>2.5</w:t>
                  </w:r>
                </w:p>
              </w:tc>
            </w:tr>
            <w:tr w14:paraId="437A48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2" w:hRule="atLeast"/>
                <w:jc w:val="center"/>
              </w:trPr>
              <w:tc>
                <w:tcPr>
                  <w:tcW w:w="1233" w:type="pct"/>
                  <w:tcBorders>
                    <w:top w:val="single" w:color="auto" w:sz="4" w:space="0"/>
                    <w:left w:val="single" w:color="auto" w:sz="4" w:space="0"/>
                    <w:bottom w:val="single" w:color="auto" w:sz="4" w:space="0"/>
                    <w:right w:val="single" w:color="auto" w:sz="4" w:space="0"/>
                  </w:tcBorders>
                  <w:noWrap w:val="0"/>
                  <w:vAlign w:val="center"/>
                </w:tcPr>
                <w:p w14:paraId="1FE87600">
                  <w:pPr>
                    <w:keepNext w:val="0"/>
                    <w:keepLines w:val="0"/>
                    <w:widowControl/>
                    <w:suppressLineNumbers w:val="0"/>
                    <w:jc w:val="center"/>
                    <w:textAlignment w:val="center"/>
                    <w:rPr>
                      <w:rFonts w:hint="default" w:ascii="Times New Roman" w:hAnsi="Times New Roman" w:cs="Times New Roman"/>
                      <w:color w:val="auto"/>
                      <w:szCs w:val="21"/>
                      <w:highlight w:val="none"/>
                      <w:lang w:bidi="ar"/>
                    </w:rPr>
                  </w:pPr>
                  <w:r>
                    <w:rPr>
                      <w:rFonts w:hint="default" w:ascii="Times New Roman" w:hAnsi="Times New Roman" w:eastAsia="宋体" w:cs="Times New Roman"/>
                      <w:i w:val="0"/>
                      <w:iCs w:val="0"/>
                      <w:color w:val="auto"/>
                      <w:kern w:val="0"/>
                      <w:sz w:val="22"/>
                      <w:szCs w:val="22"/>
                      <w:highlight w:val="none"/>
                      <w:u w:val="none"/>
                      <w:lang w:val="en-US" w:eastAsia="zh-CN" w:bidi="ar"/>
                    </w:rPr>
                    <w:t>9</w:t>
                  </w:r>
                </w:p>
              </w:tc>
              <w:tc>
                <w:tcPr>
                  <w:tcW w:w="2253" w:type="pct"/>
                  <w:tcBorders>
                    <w:top w:val="single" w:color="auto" w:sz="4" w:space="0"/>
                    <w:left w:val="single" w:color="auto" w:sz="4" w:space="0"/>
                    <w:bottom w:val="single" w:color="auto" w:sz="4" w:space="0"/>
                    <w:right w:val="single" w:color="auto" w:sz="4" w:space="0"/>
                  </w:tcBorders>
                  <w:noWrap w:val="0"/>
                  <w:vAlign w:val="center"/>
                </w:tcPr>
                <w:p w14:paraId="5FBC79B9">
                  <w:pPr>
                    <w:jc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sz w:val="21"/>
                      <w:szCs w:val="21"/>
                      <w:highlight w:val="none"/>
                    </w:rPr>
                    <w:t>无水乙酸钠</w:t>
                  </w:r>
                </w:p>
              </w:tc>
              <w:tc>
                <w:tcPr>
                  <w:tcW w:w="1513" w:type="pct"/>
                  <w:tcBorders>
                    <w:top w:val="single" w:color="auto" w:sz="4" w:space="0"/>
                    <w:left w:val="single" w:color="auto" w:sz="4" w:space="0"/>
                    <w:bottom w:val="single" w:color="auto" w:sz="4" w:space="0"/>
                    <w:right w:val="single" w:color="auto" w:sz="4" w:space="0"/>
                  </w:tcBorders>
                  <w:noWrap w:val="0"/>
                  <w:vAlign w:val="center"/>
                </w:tcPr>
                <w:p w14:paraId="059A1BC9">
                  <w:pPr>
                    <w:jc w:val="center"/>
                    <w:rPr>
                      <w:rFonts w:hint="default" w:ascii="Times New Roman" w:hAnsi="Times New Roman" w:cs="Times New Roman"/>
                      <w:color w:val="auto"/>
                      <w:kern w:val="0"/>
                      <w:szCs w:val="21"/>
                      <w:highlight w:val="none"/>
                      <w:lang w:bidi="ar"/>
                    </w:rPr>
                  </w:pPr>
                  <w:r>
                    <w:rPr>
                      <w:rFonts w:hint="default" w:ascii="Times New Roman" w:hAnsi="Times New Roman" w:cs="Times New Roman"/>
                      <w:color w:val="auto"/>
                      <w:sz w:val="21"/>
                      <w:szCs w:val="21"/>
                      <w:highlight w:val="none"/>
                    </w:rPr>
                    <w:t>1</w:t>
                  </w:r>
                </w:p>
              </w:tc>
            </w:tr>
            <w:tr w14:paraId="78DF0D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2" w:hRule="atLeast"/>
                <w:jc w:val="center"/>
              </w:trPr>
              <w:tc>
                <w:tcPr>
                  <w:tcW w:w="1233" w:type="pct"/>
                  <w:tcBorders>
                    <w:top w:val="single" w:color="auto" w:sz="4" w:space="0"/>
                    <w:left w:val="single" w:color="auto" w:sz="4" w:space="0"/>
                    <w:bottom w:val="single" w:color="auto" w:sz="4" w:space="0"/>
                    <w:right w:val="single" w:color="auto" w:sz="4" w:space="0"/>
                  </w:tcBorders>
                  <w:noWrap w:val="0"/>
                  <w:vAlign w:val="center"/>
                </w:tcPr>
                <w:p w14:paraId="55D2F800">
                  <w:pPr>
                    <w:keepNext w:val="0"/>
                    <w:keepLines w:val="0"/>
                    <w:widowControl/>
                    <w:suppressLineNumbers w:val="0"/>
                    <w:jc w:val="center"/>
                    <w:textAlignment w:val="center"/>
                    <w:rPr>
                      <w:rFonts w:hint="default" w:ascii="Times New Roman" w:hAnsi="Times New Roman" w:cs="Times New Roman"/>
                      <w:color w:val="auto"/>
                      <w:szCs w:val="21"/>
                      <w:highlight w:val="none"/>
                      <w:lang w:bidi="ar"/>
                    </w:rPr>
                  </w:pPr>
                  <w:r>
                    <w:rPr>
                      <w:rFonts w:hint="default" w:ascii="Times New Roman" w:hAnsi="Times New Roman" w:eastAsia="宋体" w:cs="Times New Roman"/>
                      <w:i w:val="0"/>
                      <w:iCs w:val="0"/>
                      <w:color w:val="auto"/>
                      <w:kern w:val="0"/>
                      <w:sz w:val="22"/>
                      <w:szCs w:val="22"/>
                      <w:highlight w:val="none"/>
                      <w:u w:val="none"/>
                      <w:lang w:val="en-US" w:eastAsia="zh-CN" w:bidi="ar"/>
                    </w:rPr>
                    <w:t>10</w:t>
                  </w:r>
                </w:p>
              </w:tc>
              <w:tc>
                <w:tcPr>
                  <w:tcW w:w="2253" w:type="pct"/>
                  <w:tcBorders>
                    <w:top w:val="single" w:color="auto" w:sz="4" w:space="0"/>
                    <w:left w:val="single" w:color="auto" w:sz="4" w:space="0"/>
                    <w:bottom w:val="single" w:color="auto" w:sz="4" w:space="0"/>
                    <w:right w:val="single" w:color="auto" w:sz="4" w:space="0"/>
                  </w:tcBorders>
                  <w:noWrap w:val="0"/>
                  <w:vAlign w:val="center"/>
                </w:tcPr>
                <w:p w14:paraId="6942E511">
                  <w:pPr>
                    <w:jc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sz w:val="21"/>
                      <w:szCs w:val="21"/>
                      <w:highlight w:val="none"/>
                    </w:rPr>
                    <w:t>尿素</w:t>
                  </w:r>
                </w:p>
              </w:tc>
              <w:tc>
                <w:tcPr>
                  <w:tcW w:w="1513" w:type="pct"/>
                  <w:tcBorders>
                    <w:top w:val="single" w:color="auto" w:sz="4" w:space="0"/>
                    <w:left w:val="single" w:color="auto" w:sz="4" w:space="0"/>
                    <w:bottom w:val="single" w:color="auto" w:sz="4" w:space="0"/>
                    <w:right w:val="single" w:color="auto" w:sz="4" w:space="0"/>
                  </w:tcBorders>
                  <w:noWrap w:val="0"/>
                  <w:vAlign w:val="center"/>
                </w:tcPr>
                <w:p w14:paraId="76EDE7D1">
                  <w:pPr>
                    <w:jc w:val="center"/>
                    <w:rPr>
                      <w:rFonts w:hint="default" w:ascii="Times New Roman" w:hAnsi="Times New Roman" w:cs="Times New Roman"/>
                      <w:color w:val="auto"/>
                      <w:kern w:val="0"/>
                      <w:szCs w:val="21"/>
                      <w:highlight w:val="none"/>
                      <w:lang w:bidi="ar"/>
                    </w:rPr>
                  </w:pPr>
                  <w:r>
                    <w:rPr>
                      <w:rFonts w:hint="default" w:ascii="Times New Roman" w:hAnsi="Times New Roman" w:cs="Times New Roman"/>
                      <w:color w:val="auto"/>
                      <w:sz w:val="21"/>
                      <w:szCs w:val="21"/>
                      <w:highlight w:val="none"/>
                    </w:rPr>
                    <w:t>1</w:t>
                  </w:r>
                </w:p>
              </w:tc>
            </w:tr>
            <w:tr w14:paraId="0EA059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2" w:hRule="atLeast"/>
                <w:jc w:val="center"/>
              </w:trPr>
              <w:tc>
                <w:tcPr>
                  <w:tcW w:w="1233" w:type="pct"/>
                  <w:tcBorders>
                    <w:top w:val="single" w:color="auto" w:sz="4" w:space="0"/>
                    <w:left w:val="single" w:color="auto" w:sz="4" w:space="0"/>
                    <w:bottom w:val="single" w:color="auto" w:sz="4" w:space="0"/>
                    <w:right w:val="single" w:color="auto" w:sz="4" w:space="0"/>
                  </w:tcBorders>
                  <w:noWrap w:val="0"/>
                  <w:vAlign w:val="center"/>
                </w:tcPr>
                <w:p w14:paraId="0E2C32D1">
                  <w:pPr>
                    <w:keepNext w:val="0"/>
                    <w:keepLines w:val="0"/>
                    <w:widowControl/>
                    <w:suppressLineNumbers w:val="0"/>
                    <w:jc w:val="center"/>
                    <w:textAlignment w:val="center"/>
                    <w:rPr>
                      <w:rFonts w:hint="default" w:ascii="Times New Roman" w:hAnsi="Times New Roman" w:cs="Times New Roman"/>
                      <w:color w:val="auto"/>
                      <w:szCs w:val="21"/>
                      <w:highlight w:val="none"/>
                      <w:lang w:bidi="ar"/>
                    </w:rPr>
                  </w:pPr>
                  <w:r>
                    <w:rPr>
                      <w:rFonts w:hint="default" w:ascii="Times New Roman" w:hAnsi="Times New Roman" w:eastAsia="宋体" w:cs="Times New Roman"/>
                      <w:i w:val="0"/>
                      <w:iCs w:val="0"/>
                      <w:color w:val="auto"/>
                      <w:kern w:val="0"/>
                      <w:sz w:val="22"/>
                      <w:szCs w:val="22"/>
                      <w:highlight w:val="none"/>
                      <w:u w:val="none"/>
                      <w:lang w:val="en-US" w:eastAsia="zh-CN" w:bidi="ar"/>
                    </w:rPr>
                    <w:t>11</w:t>
                  </w:r>
                </w:p>
              </w:tc>
              <w:tc>
                <w:tcPr>
                  <w:tcW w:w="2253" w:type="pct"/>
                  <w:tcBorders>
                    <w:top w:val="single" w:color="auto" w:sz="4" w:space="0"/>
                    <w:left w:val="single" w:color="auto" w:sz="4" w:space="0"/>
                    <w:bottom w:val="single" w:color="auto" w:sz="4" w:space="0"/>
                    <w:right w:val="single" w:color="auto" w:sz="4" w:space="0"/>
                  </w:tcBorders>
                  <w:noWrap w:val="0"/>
                  <w:vAlign w:val="center"/>
                </w:tcPr>
                <w:p w14:paraId="243E5D5D">
                  <w:pPr>
                    <w:jc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sz w:val="21"/>
                      <w:szCs w:val="21"/>
                      <w:highlight w:val="none"/>
                    </w:rPr>
                    <w:t>苯酚</w:t>
                  </w:r>
                </w:p>
              </w:tc>
              <w:tc>
                <w:tcPr>
                  <w:tcW w:w="1513" w:type="pct"/>
                  <w:tcBorders>
                    <w:top w:val="single" w:color="auto" w:sz="4" w:space="0"/>
                    <w:left w:val="single" w:color="auto" w:sz="4" w:space="0"/>
                    <w:bottom w:val="single" w:color="auto" w:sz="4" w:space="0"/>
                    <w:right w:val="single" w:color="auto" w:sz="4" w:space="0"/>
                  </w:tcBorders>
                  <w:noWrap w:val="0"/>
                  <w:vAlign w:val="center"/>
                </w:tcPr>
                <w:p w14:paraId="6E2F8348">
                  <w:pPr>
                    <w:jc w:val="center"/>
                    <w:rPr>
                      <w:rFonts w:hint="default" w:ascii="Times New Roman" w:hAnsi="Times New Roman" w:cs="Times New Roman"/>
                      <w:color w:val="auto"/>
                      <w:kern w:val="0"/>
                      <w:szCs w:val="21"/>
                      <w:highlight w:val="none"/>
                      <w:lang w:bidi="ar"/>
                    </w:rPr>
                  </w:pPr>
                  <w:r>
                    <w:rPr>
                      <w:rFonts w:hint="default" w:ascii="Times New Roman" w:hAnsi="Times New Roman" w:cs="Times New Roman"/>
                      <w:color w:val="auto"/>
                      <w:sz w:val="21"/>
                      <w:szCs w:val="21"/>
                      <w:highlight w:val="none"/>
                    </w:rPr>
                    <w:t>1</w:t>
                  </w:r>
                </w:p>
              </w:tc>
            </w:tr>
            <w:tr w14:paraId="2B02E3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2" w:hRule="atLeast"/>
                <w:jc w:val="center"/>
              </w:trPr>
              <w:tc>
                <w:tcPr>
                  <w:tcW w:w="1233" w:type="pct"/>
                  <w:tcBorders>
                    <w:top w:val="single" w:color="auto" w:sz="4" w:space="0"/>
                    <w:left w:val="single" w:color="auto" w:sz="4" w:space="0"/>
                    <w:bottom w:val="single" w:color="auto" w:sz="4" w:space="0"/>
                    <w:right w:val="single" w:color="auto" w:sz="4" w:space="0"/>
                  </w:tcBorders>
                  <w:noWrap w:val="0"/>
                  <w:vAlign w:val="center"/>
                </w:tcPr>
                <w:p w14:paraId="3D69D477">
                  <w:pPr>
                    <w:keepNext w:val="0"/>
                    <w:keepLines w:val="0"/>
                    <w:widowControl/>
                    <w:suppressLineNumbers w:val="0"/>
                    <w:jc w:val="center"/>
                    <w:textAlignment w:val="center"/>
                    <w:rPr>
                      <w:rFonts w:hint="default" w:ascii="Times New Roman" w:hAnsi="Times New Roman" w:cs="Times New Roman"/>
                      <w:color w:val="auto"/>
                      <w:kern w:val="2"/>
                      <w:sz w:val="21"/>
                      <w:szCs w:val="21"/>
                      <w:highlight w:val="none"/>
                      <w:lang w:val="en-US" w:eastAsia="zh-CN" w:bidi="ar"/>
                    </w:rPr>
                  </w:pPr>
                  <w:r>
                    <w:rPr>
                      <w:rFonts w:hint="default" w:ascii="Times New Roman" w:hAnsi="Times New Roman" w:eastAsia="宋体" w:cs="Times New Roman"/>
                      <w:i w:val="0"/>
                      <w:iCs w:val="0"/>
                      <w:color w:val="auto"/>
                      <w:kern w:val="0"/>
                      <w:sz w:val="22"/>
                      <w:szCs w:val="22"/>
                      <w:highlight w:val="none"/>
                      <w:u w:val="none"/>
                      <w:lang w:val="en-US" w:eastAsia="zh-CN" w:bidi="ar"/>
                    </w:rPr>
                    <w:t>12</w:t>
                  </w:r>
                </w:p>
              </w:tc>
              <w:tc>
                <w:tcPr>
                  <w:tcW w:w="2253" w:type="pct"/>
                  <w:tcBorders>
                    <w:top w:val="single" w:color="auto" w:sz="4" w:space="0"/>
                    <w:left w:val="single" w:color="auto" w:sz="4" w:space="0"/>
                    <w:bottom w:val="single" w:color="auto" w:sz="4" w:space="0"/>
                    <w:right w:val="single" w:color="auto" w:sz="4" w:space="0"/>
                  </w:tcBorders>
                  <w:noWrap w:val="0"/>
                  <w:vAlign w:val="center"/>
                </w:tcPr>
                <w:p w14:paraId="2B854785">
                  <w:pPr>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磷酸氢二铵</w:t>
                  </w:r>
                </w:p>
              </w:tc>
              <w:tc>
                <w:tcPr>
                  <w:tcW w:w="1513" w:type="pct"/>
                  <w:tcBorders>
                    <w:top w:val="single" w:color="auto" w:sz="4" w:space="0"/>
                    <w:left w:val="single" w:color="auto" w:sz="4" w:space="0"/>
                    <w:bottom w:val="single" w:color="auto" w:sz="4" w:space="0"/>
                    <w:right w:val="single" w:color="auto" w:sz="4" w:space="0"/>
                  </w:tcBorders>
                  <w:noWrap w:val="0"/>
                  <w:vAlign w:val="center"/>
                </w:tcPr>
                <w:p w14:paraId="2C00AE0E">
                  <w:pPr>
                    <w:jc w:val="center"/>
                    <w:rPr>
                      <w:rFonts w:hint="default" w:ascii="Times New Roman" w:hAnsi="Times New Roman" w:eastAsia="宋体" w:cs="Times New Roman"/>
                      <w:color w:val="auto"/>
                      <w:kern w:val="0"/>
                      <w:szCs w:val="21"/>
                      <w:highlight w:val="none"/>
                      <w:lang w:val="en-US" w:eastAsia="zh-CN" w:bidi="ar"/>
                    </w:rPr>
                  </w:pPr>
                  <w:r>
                    <w:rPr>
                      <w:rFonts w:hint="default" w:ascii="Times New Roman" w:hAnsi="Times New Roman" w:cs="Times New Roman"/>
                      <w:color w:val="auto"/>
                      <w:sz w:val="21"/>
                      <w:szCs w:val="21"/>
                      <w:highlight w:val="none"/>
                    </w:rPr>
                    <w:t>3.5</w:t>
                  </w:r>
                </w:p>
              </w:tc>
            </w:tr>
            <w:tr w14:paraId="07122D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2" w:hRule="atLeast"/>
                <w:jc w:val="center"/>
              </w:trPr>
              <w:tc>
                <w:tcPr>
                  <w:tcW w:w="1233" w:type="pct"/>
                  <w:tcBorders>
                    <w:top w:val="single" w:color="auto" w:sz="4" w:space="0"/>
                    <w:left w:val="single" w:color="auto" w:sz="4" w:space="0"/>
                    <w:bottom w:val="single" w:color="auto" w:sz="4" w:space="0"/>
                    <w:right w:val="single" w:color="auto" w:sz="4" w:space="0"/>
                  </w:tcBorders>
                  <w:noWrap w:val="0"/>
                  <w:vAlign w:val="center"/>
                </w:tcPr>
                <w:p w14:paraId="4D955F59">
                  <w:pPr>
                    <w:keepNext w:val="0"/>
                    <w:keepLines w:val="0"/>
                    <w:widowControl/>
                    <w:suppressLineNumbers w:val="0"/>
                    <w:jc w:val="center"/>
                    <w:textAlignment w:val="center"/>
                    <w:rPr>
                      <w:rFonts w:hint="default" w:ascii="Times New Roman" w:hAnsi="Times New Roman" w:cs="Times New Roman"/>
                      <w:color w:val="auto"/>
                      <w:kern w:val="2"/>
                      <w:sz w:val="21"/>
                      <w:szCs w:val="21"/>
                      <w:highlight w:val="none"/>
                      <w:lang w:val="en-US" w:eastAsia="zh-CN" w:bidi="ar"/>
                    </w:rPr>
                  </w:pPr>
                  <w:r>
                    <w:rPr>
                      <w:rFonts w:hint="default" w:ascii="Times New Roman" w:hAnsi="Times New Roman" w:eastAsia="宋体" w:cs="Times New Roman"/>
                      <w:i w:val="0"/>
                      <w:iCs w:val="0"/>
                      <w:color w:val="auto"/>
                      <w:kern w:val="0"/>
                      <w:sz w:val="22"/>
                      <w:szCs w:val="22"/>
                      <w:highlight w:val="none"/>
                      <w:u w:val="none"/>
                      <w:lang w:val="en-US" w:eastAsia="zh-CN" w:bidi="ar"/>
                    </w:rPr>
                    <w:t>13</w:t>
                  </w:r>
                </w:p>
              </w:tc>
              <w:tc>
                <w:tcPr>
                  <w:tcW w:w="2253" w:type="pct"/>
                  <w:tcBorders>
                    <w:top w:val="single" w:color="auto" w:sz="4" w:space="0"/>
                    <w:left w:val="single" w:color="auto" w:sz="4" w:space="0"/>
                    <w:bottom w:val="single" w:color="auto" w:sz="4" w:space="0"/>
                    <w:right w:val="single" w:color="auto" w:sz="4" w:space="0"/>
                  </w:tcBorders>
                  <w:noWrap w:val="0"/>
                  <w:vAlign w:val="center"/>
                </w:tcPr>
                <w:p w14:paraId="6C490042">
                  <w:pPr>
                    <w:jc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sz w:val="21"/>
                      <w:szCs w:val="21"/>
                      <w:highlight w:val="none"/>
                    </w:rPr>
                    <w:t>氯化铵</w:t>
                  </w:r>
                </w:p>
              </w:tc>
              <w:tc>
                <w:tcPr>
                  <w:tcW w:w="1513" w:type="pct"/>
                  <w:tcBorders>
                    <w:top w:val="single" w:color="auto" w:sz="4" w:space="0"/>
                    <w:left w:val="single" w:color="auto" w:sz="4" w:space="0"/>
                    <w:bottom w:val="single" w:color="auto" w:sz="4" w:space="0"/>
                    <w:right w:val="single" w:color="auto" w:sz="4" w:space="0"/>
                  </w:tcBorders>
                  <w:noWrap w:val="0"/>
                  <w:vAlign w:val="center"/>
                </w:tcPr>
                <w:p w14:paraId="49612FA6">
                  <w:pPr>
                    <w:jc w:val="center"/>
                    <w:rPr>
                      <w:rFonts w:hint="default" w:ascii="Times New Roman" w:hAnsi="Times New Roman" w:cs="Times New Roman"/>
                      <w:color w:val="auto"/>
                      <w:kern w:val="0"/>
                      <w:szCs w:val="21"/>
                      <w:highlight w:val="none"/>
                      <w:lang w:bidi="ar"/>
                    </w:rPr>
                  </w:pPr>
                  <w:r>
                    <w:rPr>
                      <w:rFonts w:hint="default" w:ascii="Times New Roman" w:hAnsi="Times New Roman" w:cs="Times New Roman"/>
                      <w:color w:val="auto"/>
                      <w:sz w:val="21"/>
                      <w:szCs w:val="21"/>
                      <w:highlight w:val="none"/>
                    </w:rPr>
                    <w:t>3</w:t>
                  </w:r>
                </w:p>
              </w:tc>
            </w:tr>
            <w:tr w14:paraId="5344B8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2" w:hRule="atLeast"/>
                <w:jc w:val="center"/>
              </w:trPr>
              <w:tc>
                <w:tcPr>
                  <w:tcW w:w="1233" w:type="pct"/>
                  <w:tcBorders>
                    <w:top w:val="single" w:color="auto" w:sz="4" w:space="0"/>
                    <w:left w:val="single" w:color="auto" w:sz="4" w:space="0"/>
                    <w:bottom w:val="single" w:color="auto" w:sz="4" w:space="0"/>
                    <w:right w:val="single" w:color="auto" w:sz="4" w:space="0"/>
                  </w:tcBorders>
                  <w:noWrap w:val="0"/>
                  <w:vAlign w:val="center"/>
                </w:tcPr>
                <w:p w14:paraId="51C503C1">
                  <w:pPr>
                    <w:keepNext w:val="0"/>
                    <w:keepLines w:val="0"/>
                    <w:widowControl/>
                    <w:suppressLineNumbers w:val="0"/>
                    <w:jc w:val="center"/>
                    <w:textAlignment w:val="center"/>
                    <w:rPr>
                      <w:rFonts w:hint="default" w:ascii="Times New Roman" w:hAnsi="Times New Roman" w:cs="Times New Roman"/>
                      <w:color w:val="auto"/>
                      <w:kern w:val="2"/>
                      <w:sz w:val="21"/>
                      <w:szCs w:val="21"/>
                      <w:highlight w:val="none"/>
                      <w:lang w:val="en-US" w:eastAsia="zh-CN" w:bidi="ar"/>
                    </w:rPr>
                  </w:pPr>
                  <w:r>
                    <w:rPr>
                      <w:rFonts w:hint="default" w:ascii="Times New Roman" w:hAnsi="Times New Roman" w:eastAsia="宋体" w:cs="Times New Roman"/>
                      <w:i w:val="0"/>
                      <w:iCs w:val="0"/>
                      <w:color w:val="auto"/>
                      <w:kern w:val="0"/>
                      <w:sz w:val="22"/>
                      <w:szCs w:val="22"/>
                      <w:highlight w:val="none"/>
                      <w:u w:val="none"/>
                      <w:lang w:val="en-US" w:eastAsia="zh-CN" w:bidi="ar"/>
                    </w:rPr>
                    <w:t>14</w:t>
                  </w:r>
                </w:p>
              </w:tc>
              <w:tc>
                <w:tcPr>
                  <w:tcW w:w="2253" w:type="pct"/>
                  <w:tcBorders>
                    <w:top w:val="single" w:color="auto" w:sz="4" w:space="0"/>
                    <w:left w:val="single" w:color="auto" w:sz="4" w:space="0"/>
                    <w:bottom w:val="single" w:color="auto" w:sz="4" w:space="0"/>
                    <w:right w:val="single" w:color="auto" w:sz="4" w:space="0"/>
                  </w:tcBorders>
                  <w:noWrap w:val="0"/>
                  <w:vAlign w:val="center"/>
                </w:tcPr>
                <w:p w14:paraId="6C279DE8">
                  <w:pPr>
                    <w:jc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sz w:val="21"/>
                      <w:szCs w:val="21"/>
                      <w:highlight w:val="none"/>
                    </w:rPr>
                    <w:t>氯化钠</w:t>
                  </w:r>
                </w:p>
              </w:tc>
              <w:tc>
                <w:tcPr>
                  <w:tcW w:w="1513" w:type="pct"/>
                  <w:tcBorders>
                    <w:top w:val="single" w:color="auto" w:sz="4" w:space="0"/>
                    <w:left w:val="single" w:color="auto" w:sz="4" w:space="0"/>
                    <w:bottom w:val="single" w:color="auto" w:sz="4" w:space="0"/>
                    <w:right w:val="single" w:color="auto" w:sz="4" w:space="0"/>
                  </w:tcBorders>
                  <w:noWrap w:val="0"/>
                  <w:vAlign w:val="center"/>
                </w:tcPr>
                <w:p w14:paraId="6D574848">
                  <w:pPr>
                    <w:jc w:val="center"/>
                    <w:rPr>
                      <w:rFonts w:hint="default" w:ascii="Times New Roman" w:hAnsi="Times New Roman" w:cs="Times New Roman"/>
                      <w:color w:val="auto"/>
                      <w:kern w:val="0"/>
                      <w:szCs w:val="21"/>
                      <w:highlight w:val="none"/>
                      <w:lang w:bidi="ar"/>
                    </w:rPr>
                  </w:pPr>
                  <w:r>
                    <w:rPr>
                      <w:rFonts w:hint="default" w:ascii="Times New Roman" w:hAnsi="Times New Roman" w:cs="Times New Roman"/>
                      <w:color w:val="auto"/>
                      <w:sz w:val="21"/>
                      <w:szCs w:val="21"/>
                      <w:highlight w:val="none"/>
                    </w:rPr>
                    <w:t>3</w:t>
                  </w:r>
                  <w:r>
                    <w:rPr>
                      <w:rFonts w:hint="eastAsia" w:ascii="Times New Roman" w:hAnsi="Times New Roman" w:cs="Times New Roman"/>
                      <w:color w:val="auto"/>
                      <w:sz w:val="21"/>
                      <w:szCs w:val="21"/>
                      <w:highlight w:val="none"/>
                      <w:lang w:val="en-US" w:eastAsia="zh-CN"/>
                    </w:rPr>
                    <w:t>.5</w:t>
                  </w:r>
                </w:p>
              </w:tc>
            </w:tr>
            <w:tr w14:paraId="3E0ACA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2" w:hRule="atLeast"/>
                <w:jc w:val="center"/>
              </w:trPr>
              <w:tc>
                <w:tcPr>
                  <w:tcW w:w="1233" w:type="pct"/>
                  <w:tcBorders>
                    <w:top w:val="single" w:color="auto" w:sz="4" w:space="0"/>
                    <w:left w:val="single" w:color="auto" w:sz="4" w:space="0"/>
                    <w:bottom w:val="single" w:color="auto" w:sz="4" w:space="0"/>
                    <w:right w:val="single" w:color="auto" w:sz="4" w:space="0"/>
                  </w:tcBorders>
                  <w:noWrap w:val="0"/>
                  <w:vAlign w:val="center"/>
                </w:tcPr>
                <w:p w14:paraId="7452B6EE">
                  <w:pPr>
                    <w:keepNext w:val="0"/>
                    <w:keepLines w:val="0"/>
                    <w:widowControl/>
                    <w:suppressLineNumbers w:val="0"/>
                    <w:jc w:val="center"/>
                    <w:textAlignment w:val="center"/>
                    <w:rPr>
                      <w:rFonts w:hint="default" w:ascii="Times New Roman" w:hAnsi="Times New Roman" w:cs="Times New Roman"/>
                      <w:color w:val="auto"/>
                      <w:kern w:val="2"/>
                      <w:sz w:val="21"/>
                      <w:szCs w:val="21"/>
                      <w:highlight w:val="none"/>
                      <w:lang w:val="en-US" w:eastAsia="zh-CN" w:bidi="ar"/>
                    </w:rPr>
                  </w:pPr>
                  <w:r>
                    <w:rPr>
                      <w:rFonts w:hint="default" w:ascii="Times New Roman" w:hAnsi="Times New Roman" w:eastAsia="宋体" w:cs="Times New Roman"/>
                      <w:i w:val="0"/>
                      <w:iCs w:val="0"/>
                      <w:color w:val="auto"/>
                      <w:kern w:val="0"/>
                      <w:sz w:val="22"/>
                      <w:szCs w:val="22"/>
                      <w:highlight w:val="none"/>
                      <w:u w:val="none"/>
                      <w:lang w:val="en-US" w:eastAsia="zh-CN" w:bidi="ar"/>
                    </w:rPr>
                    <w:t>15</w:t>
                  </w:r>
                </w:p>
              </w:tc>
              <w:tc>
                <w:tcPr>
                  <w:tcW w:w="2253" w:type="pct"/>
                  <w:tcBorders>
                    <w:top w:val="single" w:color="auto" w:sz="4" w:space="0"/>
                    <w:left w:val="single" w:color="auto" w:sz="4" w:space="0"/>
                    <w:bottom w:val="single" w:color="auto" w:sz="4" w:space="0"/>
                    <w:right w:val="single" w:color="auto" w:sz="4" w:space="0"/>
                  </w:tcBorders>
                  <w:noWrap w:val="0"/>
                  <w:vAlign w:val="center"/>
                </w:tcPr>
                <w:p w14:paraId="00DF8689">
                  <w:pPr>
                    <w:jc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sz w:val="21"/>
                      <w:szCs w:val="21"/>
                      <w:highlight w:val="none"/>
                    </w:rPr>
                    <w:t>氢氧化钠</w:t>
                  </w:r>
                </w:p>
              </w:tc>
              <w:tc>
                <w:tcPr>
                  <w:tcW w:w="1513" w:type="pct"/>
                  <w:tcBorders>
                    <w:top w:val="single" w:color="auto" w:sz="4" w:space="0"/>
                    <w:left w:val="single" w:color="auto" w:sz="4" w:space="0"/>
                    <w:bottom w:val="single" w:color="auto" w:sz="4" w:space="0"/>
                    <w:right w:val="single" w:color="auto" w:sz="4" w:space="0"/>
                  </w:tcBorders>
                  <w:noWrap w:val="0"/>
                  <w:vAlign w:val="center"/>
                </w:tcPr>
                <w:p w14:paraId="0D41C2E8">
                  <w:pPr>
                    <w:jc w:val="center"/>
                    <w:rPr>
                      <w:rFonts w:hint="default" w:ascii="Times New Roman" w:hAnsi="Times New Roman" w:cs="Times New Roman"/>
                      <w:color w:val="auto"/>
                      <w:kern w:val="0"/>
                      <w:szCs w:val="21"/>
                      <w:highlight w:val="none"/>
                      <w:lang w:bidi="ar"/>
                    </w:rPr>
                  </w:pPr>
                  <w:r>
                    <w:rPr>
                      <w:rFonts w:hint="default" w:ascii="Times New Roman" w:hAnsi="Times New Roman" w:cs="Times New Roman"/>
                      <w:color w:val="auto"/>
                      <w:sz w:val="21"/>
                      <w:szCs w:val="21"/>
                      <w:highlight w:val="none"/>
                    </w:rPr>
                    <w:t>1</w:t>
                  </w:r>
                  <w:r>
                    <w:rPr>
                      <w:rFonts w:hint="eastAsia" w:ascii="Times New Roman" w:hAnsi="Times New Roman" w:cs="Times New Roman"/>
                      <w:color w:val="auto"/>
                      <w:sz w:val="21"/>
                      <w:szCs w:val="21"/>
                      <w:highlight w:val="none"/>
                      <w:lang w:val="en-US" w:eastAsia="zh-CN"/>
                    </w:rPr>
                    <w:t>6</w:t>
                  </w:r>
                </w:p>
              </w:tc>
            </w:tr>
            <w:tr w14:paraId="1EF7A4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2" w:hRule="atLeast"/>
                <w:jc w:val="center"/>
              </w:trPr>
              <w:tc>
                <w:tcPr>
                  <w:tcW w:w="1233" w:type="pct"/>
                  <w:tcBorders>
                    <w:top w:val="single" w:color="auto" w:sz="4" w:space="0"/>
                    <w:left w:val="single" w:color="auto" w:sz="4" w:space="0"/>
                    <w:bottom w:val="single" w:color="auto" w:sz="4" w:space="0"/>
                    <w:right w:val="single" w:color="auto" w:sz="4" w:space="0"/>
                  </w:tcBorders>
                  <w:noWrap w:val="0"/>
                  <w:vAlign w:val="center"/>
                </w:tcPr>
                <w:p w14:paraId="4111F3EB">
                  <w:pPr>
                    <w:keepNext w:val="0"/>
                    <w:keepLines w:val="0"/>
                    <w:widowControl/>
                    <w:suppressLineNumbers w:val="0"/>
                    <w:jc w:val="center"/>
                    <w:textAlignment w:val="center"/>
                    <w:rPr>
                      <w:rFonts w:hint="default" w:ascii="Times New Roman" w:hAnsi="Times New Roman" w:cs="Times New Roman"/>
                      <w:color w:val="auto"/>
                      <w:kern w:val="2"/>
                      <w:sz w:val="21"/>
                      <w:szCs w:val="21"/>
                      <w:highlight w:val="none"/>
                      <w:lang w:val="en-US" w:eastAsia="zh-CN" w:bidi="ar"/>
                    </w:rPr>
                  </w:pPr>
                  <w:r>
                    <w:rPr>
                      <w:rFonts w:hint="default" w:ascii="Times New Roman" w:hAnsi="Times New Roman" w:eastAsia="宋体" w:cs="Times New Roman"/>
                      <w:i w:val="0"/>
                      <w:iCs w:val="0"/>
                      <w:color w:val="auto"/>
                      <w:kern w:val="0"/>
                      <w:sz w:val="22"/>
                      <w:szCs w:val="22"/>
                      <w:highlight w:val="none"/>
                      <w:u w:val="none"/>
                      <w:lang w:val="en-US" w:eastAsia="zh-CN" w:bidi="ar"/>
                    </w:rPr>
                    <w:t>16</w:t>
                  </w:r>
                </w:p>
              </w:tc>
              <w:tc>
                <w:tcPr>
                  <w:tcW w:w="2253" w:type="pct"/>
                  <w:tcBorders>
                    <w:top w:val="single" w:color="auto" w:sz="4" w:space="0"/>
                    <w:left w:val="single" w:color="auto" w:sz="4" w:space="0"/>
                    <w:bottom w:val="single" w:color="auto" w:sz="4" w:space="0"/>
                    <w:right w:val="single" w:color="auto" w:sz="4" w:space="0"/>
                  </w:tcBorders>
                  <w:noWrap w:val="0"/>
                  <w:vAlign w:val="center"/>
                </w:tcPr>
                <w:p w14:paraId="3A9225CA">
                  <w:pPr>
                    <w:jc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sz w:val="21"/>
                      <w:szCs w:val="21"/>
                      <w:highlight w:val="none"/>
                    </w:rPr>
                    <w:t>碳酸氢钠</w:t>
                  </w:r>
                </w:p>
              </w:tc>
              <w:tc>
                <w:tcPr>
                  <w:tcW w:w="1513" w:type="pct"/>
                  <w:tcBorders>
                    <w:top w:val="single" w:color="auto" w:sz="4" w:space="0"/>
                    <w:left w:val="single" w:color="auto" w:sz="4" w:space="0"/>
                    <w:bottom w:val="single" w:color="auto" w:sz="4" w:space="0"/>
                    <w:right w:val="single" w:color="auto" w:sz="4" w:space="0"/>
                  </w:tcBorders>
                  <w:noWrap w:val="0"/>
                  <w:vAlign w:val="center"/>
                </w:tcPr>
                <w:p w14:paraId="38CA511D">
                  <w:pPr>
                    <w:jc w:val="center"/>
                    <w:rPr>
                      <w:rFonts w:hint="default" w:ascii="Times New Roman" w:hAnsi="Times New Roman" w:cs="Times New Roman"/>
                      <w:color w:val="auto"/>
                      <w:kern w:val="0"/>
                      <w:szCs w:val="21"/>
                      <w:highlight w:val="none"/>
                      <w:lang w:bidi="ar"/>
                    </w:rPr>
                  </w:pPr>
                  <w:r>
                    <w:rPr>
                      <w:rFonts w:hint="default" w:ascii="Times New Roman" w:hAnsi="Times New Roman" w:cs="Times New Roman"/>
                      <w:color w:val="auto"/>
                      <w:sz w:val="21"/>
                      <w:szCs w:val="21"/>
                      <w:highlight w:val="none"/>
                    </w:rPr>
                    <w:t>3</w:t>
                  </w:r>
                </w:p>
              </w:tc>
            </w:tr>
            <w:tr w14:paraId="6E5C48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7" w:hRule="atLeast"/>
                <w:jc w:val="center"/>
              </w:trPr>
              <w:tc>
                <w:tcPr>
                  <w:tcW w:w="1233" w:type="pct"/>
                  <w:tcBorders>
                    <w:top w:val="single" w:color="auto" w:sz="4" w:space="0"/>
                    <w:left w:val="single" w:color="auto" w:sz="4" w:space="0"/>
                    <w:bottom w:val="single" w:color="auto" w:sz="4" w:space="0"/>
                    <w:right w:val="single" w:color="auto" w:sz="4" w:space="0"/>
                  </w:tcBorders>
                  <w:noWrap w:val="0"/>
                  <w:vAlign w:val="center"/>
                </w:tcPr>
                <w:p w14:paraId="552347A3">
                  <w:pPr>
                    <w:keepNext w:val="0"/>
                    <w:keepLines w:val="0"/>
                    <w:widowControl/>
                    <w:suppressLineNumbers w:val="0"/>
                    <w:jc w:val="center"/>
                    <w:textAlignment w:val="center"/>
                    <w:rPr>
                      <w:rFonts w:hint="default" w:ascii="Times New Roman" w:hAnsi="Times New Roman" w:cs="Times New Roman"/>
                      <w:color w:val="auto"/>
                      <w:kern w:val="2"/>
                      <w:sz w:val="21"/>
                      <w:szCs w:val="21"/>
                      <w:highlight w:val="none"/>
                      <w:lang w:val="en-US" w:eastAsia="zh-CN" w:bidi="ar"/>
                    </w:rPr>
                  </w:pPr>
                  <w:r>
                    <w:rPr>
                      <w:rFonts w:hint="default" w:ascii="Times New Roman" w:hAnsi="Times New Roman" w:eastAsia="宋体" w:cs="Times New Roman"/>
                      <w:i w:val="0"/>
                      <w:iCs w:val="0"/>
                      <w:color w:val="auto"/>
                      <w:kern w:val="0"/>
                      <w:sz w:val="22"/>
                      <w:szCs w:val="22"/>
                      <w:highlight w:val="none"/>
                      <w:u w:val="none"/>
                      <w:lang w:val="en-US" w:eastAsia="zh-CN" w:bidi="ar"/>
                    </w:rPr>
                    <w:t>17</w:t>
                  </w:r>
                </w:p>
              </w:tc>
              <w:tc>
                <w:tcPr>
                  <w:tcW w:w="2253" w:type="pct"/>
                  <w:tcBorders>
                    <w:top w:val="single" w:color="auto" w:sz="4" w:space="0"/>
                    <w:left w:val="single" w:color="auto" w:sz="4" w:space="0"/>
                    <w:bottom w:val="single" w:color="auto" w:sz="4" w:space="0"/>
                    <w:right w:val="single" w:color="auto" w:sz="4" w:space="0"/>
                  </w:tcBorders>
                  <w:noWrap w:val="0"/>
                  <w:vAlign w:val="center"/>
                </w:tcPr>
                <w:p w14:paraId="11FB4092">
                  <w:pPr>
                    <w:jc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sz w:val="21"/>
                      <w:szCs w:val="21"/>
                      <w:highlight w:val="none"/>
                    </w:rPr>
                    <w:t>硫酸铜</w:t>
                  </w:r>
                </w:p>
              </w:tc>
              <w:tc>
                <w:tcPr>
                  <w:tcW w:w="1513" w:type="pct"/>
                  <w:tcBorders>
                    <w:top w:val="single" w:color="auto" w:sz="4" w:space="0"/>
                    <w:left w:val="single" w:color="auto" w:sz="4" w:space="0"/>
                    <w:bottom w:val="single" w:color="auto" w:sz="4" w:space="0"/>
                    <w:right w:val="single" w:color="auto" w:sz="4" w:space="0"/>
                  </w:tcBorders>
                  <w:noWrap w:val="0"/>
                  <w:vAlign w:val="center"/>
                </w:tcPr>
                <w:p w14:paraId="5A4CB866">
                  <w:pPr>
                    <w:jc w:val="center"/>
                    <w:rPr>
                      <w:rFonts w:hint="default" w:ascii="Times New Roman" w:hAnsi="Times New Roman" w:cs="Times New Roman"/>
                      <w:color w:val="auto"/>
                      <w:kern w:val="0"/>
                      <w:szCs w:val="21"/>
                      <w:highlight w:val="none"/>
                      <w:lang w:bidi="ar"/>
                    </w:rPr>
                  </w:pPr>
                  <w:r>
                    <w:rPr>
                      <w:rFonts w:hint="default" w:ascii="Times New Roman" w:hAnsi="Times New Roman" w:cs="Times New Roman"/>
                      <w:color w:val="auto"/>
                      <w:sz w:val="21"/>
                      <w:szCs w:val="21"/>
                      <w:highlight w:val="none"/>
                    </w:rPr>
                    <w:t>2.5</w:t>
                  </w:r>
                </w:p>
              </w:tc>
            </w:tr>
            <w:tr w14:paraId="5FC6FB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2" w:hRule="atLeast"/>
                <w:jc w:val="center"/>
              </w:trPr>
              <w:tc>
                <w:tcPr>
                  <w:tcW w:w="1233" w:type="pct"/>
                  <w:tcBorders>
                    <w:top w:val="single" w:color="auto" w:sz="4" w:space="0"/>
                    <w:left w:val="single" w:color="auto" w:sz="4" w:space="0"/>
                    <w:bottom w:val="single" w:color="auto" w:sz="4" w:space="0"/>
                    <w:right w:val="single" w:color="auto" w:sz="4" w:space="0"/>
                  </w:tcBorders>
                  <w:noWrap w:val="0"/>
                  <w:vAlign w:val="center"/>
                </w:tcPr>
                <w:p w14:paraId="3EA4BA75">
                  <w:pPr>
                    <w:keepNext w:val="0"/>
                    <w:keepLines w:val="0"/>
                    <w:widowControl/>
                    <w:suppressLineNumbers w:val="0"/>
                    <w:jc w:val="center"/>
                    <w:textAlignment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2"/>
                      <w:szCs w:val="22"/>
                      <w:highlight w:val="none"/>
                      <w:u w:val="none"/>
                      <w:lang w:val="en-US" w:eastAsia="zh-CN" w:bidi="ar"/>
                    </w:rPr>
                    <w:t>18</w:t>
                  </w:r>
                </w:p>
              </w:tc>
              <w:tc>
                <w:tcPr>
                  <w:tcW w:w="2253" w:type="pct"/>
                  <w:tcBorders>
                    <w:top w:val="single" w:color="auto" w:sz="4" w:space="0"/>
                    <w:left w:val="single" w:color="auto" w:sz="4" w:space="0"/>
                    <w:bottom w:val="single" w:color="auto" w:sz="4" w:space="0"/>
                    <w:right w:val="single" w:color="auto" w:sz="4" w:space="0"/>
                  </w:tcBorders>
                  <w:noWrap w:val="0"/>
                  <w:vAlign w:val="center"/>
                </w:tcPr>
                <w:p w14:paraId="541CD154">
                  <w:pPr>
                    <w:jc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sz w:val="21"/>
                      <w:szCs w:val="21"/>
                      <w:highlight w:val="none"/>
                    </w:rPr>
                    <w:t>硫酸钾</w:t>
                  </w:r>
                </w:p>
              </w:tc>
              <w:tc>
                <w:tcPr>
                  <w:tcW w:w="1513" w:type="pct"/>
                  <w:tcBorders>
                    <w:top w:val="single" w:color="auto" w:sz="4" w:space="0"/>
                    <w:left w:val="single" w:color="auto" w:sz="4" w:space="0"/>
                    <w:bottom w:val="single" w:color="auto" w:sz="4" w:space="0"/>
                    <w:right w:val="single" w:color="auto" w:sz="4" w:space="0"/>
                  </w:tcBorders>
                  <w:noWrap w:val="0"/>
                  <w:vAlign w:val="center"/>
                </w:tcPr>
                <w:p w14:paraId="098643E7">
                  <w:pPr>
                    <w:jc w:val="center"/>
                    <w:rPr>
                      <w:rFonts w:hint="default" w:ascii="Times New Roman" w:hAnsi="Times New Roman" w:cs="Times New Roman"/>
                      <w:color w:val="auto"/>
                      <w:kern w:val="0"/>
                      <w:szCs w:val="21"/>
                      <w:highlight w:val="none"/>
                      <w:lang w:bidi="ar"/>
                    </w:rPr>
                  </w:pPr>
                  <w:r>
                    <w:rPr>
                      <w:rFonts w:hint="default" w:ascii="Times New Roman" w:hAnsi="Times New Roman" w:cs="Times New Roman"/>
                      <w:color w:val="auto"/>
                      <w:sz w:val="21"/>
                      <w:szCs w:val="21"/>
                      <w:highlight w:val="none"/>
                    </w:rPr>
                    <w:t>2.5</w:t>
                  </w:r>
                </w:p>
              </w:tc>
            </w:tr>
            <w:tr w14:paraId="6DA74D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2" w:hRule="atLeast"/>
                <w:jc w:val="center"/>
              </w:trPr>
              <w:tc>
                <w:tcPr>
                  <w:tcW w:w="1233" w:type="pct"/>
                  <w:tcBorders>
                    <w:top w:val="single" w:color="auto" w:sz="4" w:space="0"/>
                    <w:left w:val="single" w:color="auto" w:sz="4" w:space="0"/>
                    <w:bottom w:val="single" w:color="auto" w:sz="4" w:space="0"/>
                    <w:right w:val="single" w:color="auto" w:sz="4" w:space="0"/>
                  </w:tcBorders>
                  <w:noWrap w:val="0"/>
                  <w:vAlign w:val="center"/>
                </w:tcPr>
                <w:p w14:paraId="26F76FAF">
                  <w:pPr>
                    <w:keepNext w:val="0"/>
                    <w:keepLines w:val="0"/>
                    <w:widowControl/>
                    <w:suppressLineNumbers w:val="0"/>
                    <w:jc w:val="center"/>
                    <w:textAlignment w:val="center"/>
                    <w:rPr>
                      <w:rFonts w:hint="default" w:ascii="Times New Roman" w:hAnsi="Times New Roman" w:cs="Times New Roman"/>
                      <w:color w:val="auto"/>
                      <w:kern w:val="2"/>
                      <w:sz w:val="21"/>
                      <w:szCs w:val="21"/>
                      <w:highlight w:val="none"/>
                      <w:lang w:val="en-US" w:eastAsia="zh-CN" w:bidi="ar"/>
                    </w:rPr>
                  </w:pPr>
                  <w:r>
                    <w:rPr>
                      <w:rFonts w:hint="default" w:ascii="Times New Roman" w:hAnsi="Times New Roman" w:eastAsia="宋体" w:cs="Times New Roman"/>
                      <w:i w:val="0"/>
                      <w:iCs w:val="0"/>
                      <w:color w:val="auto"/>
                      <w:kern w:val="0"/>
                      <w:sz w:val="22"/>
                      <w:szCs w:val="22"/>
                      <w:highlight w:val="none"/>
                      <w:u w:val="none"/>
                      <w:lang w:val="en-US" w:eastAsia="zh-CN" w:bidi="ar"/>
                    </w:rPr>
                    <w:t>19</w:t>
                  </w:r>
                </w:p>
              </w:tc>
              <w:tc>
                <w:tcPr>
                  <w:tcW w:w="2253" w:type="pct"/>
                  <w:tcBorders>
                    <w:top w:val="single" w:color="auto" w:sz="4" w:space="0"/>
                    <w:left w:val="single" w:color="auto" w:sz="4" w:space="0"/>
                    <w:bottom w:val="single" w:color="auto" w:sz="4" w:space="0"/>
                    <w:right w:val="single" w:color="auto" w:sz="4" w:space="0"/>
                  </w:tcBorders>
                  <w:noWrap w:val="0"/>
                  <w:vAlign w:val="center"/>
                </w:tcPr>
                <w:p w14:paraId="57D22E76">
                  <w:pPr>
                    <w:jc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sz w:val="21"/>
                      <w:szCs w:val="21"/>
                      <w:highlight w:val="none"/>
                    </w:rPr>
                    <w:t>重铬酸钾</w:t>
                  </w:r>
                </w:p>
              </w:tc>
              <w:tc>
                <w:tcPr>
                  <w:tcW w:w="1513" w:type="pct"/>
                  <w:tcBorders>
                    <w:top w:val="single" w:color="auto" w:sz="4" w:space="0"/>
                    <w:left w:val="single" w:color="auto" w:sz="4" w:space="0"/>
                    <w:bottom w:val="single" w:color="auto" w:sz="4" w:space="0"/>
                    <w:right w:val="single" w:color="auto" w:sz="4" w:space="0"/>
                  </w:tcBorders>
                  <w:noWrap w:val="0"/>
                  <w:vAlign w:val="center"/>
                </w:tcPr>
                <w:p w14:paraId="15BA523D">
                  <w:pPr>
                    <w:jc w:val="center"/>
                    <w:rPr>
                      <w:rFonts w:hint="default" w:ascii="Times New Roman" w:hAnsi="Times New Roman" w:cs="Times New Roman"/>
                      <w:color w:val="auto"/>
                      <w:kern w:val="0"/>
                      <w:szCs w:val="21"/>
                      <w:highlight w:val="none"/>
                      <w:lang w:bidi="ar"/>
                    </w:rPr>
                  </w:pPr>
                  <w:r>
                    <w:rPr>
                      <w:rFonts w:hint="default" w:ascii="Times New Roman" w:hAnsi="Times New Roman" w:cs="Times New Roman"/>
                      <w:color w:val="auto"/>
                      <w:sz w:val="21"/>
                      <w:szCs w:val="21"/>
                      <w:highlight w:val="none"/>
                    </w:rPr>
                    <w:t>4</w:t>
                  </w:r>
                </w:p>
              </w:tc>
            </w:tr>
            <w:tr w14:paraId="76D3E0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2" w:hRule="atLeast"/>
                <w:jc w:val="center"/>
              </w:trPr>
              <w:tc>
                <w:tcPr>
                  <w:tcW w:w="1233" w:type="pct"/>
                  <w:tcBorders>
                    <w:top w:val="single" w:color="auto" w:sz="4" w:space="0"/>
                    <w:left w:val="single" w:color="auto" w:sz="4" w:space="0"/>
                    <w:bottom w:val="single" w:color="auto" w:sz="4" w:space="0"/>
                    <w:right w:val="single" w:color="auto" w:sz="4" w:space="0"/>
                  </w:tcBorders>
                  <w:noWrap w:val="0"/>
                  <w:vAlign w:val="center"/>
                </w:tcPr>
                <w:p w14:paraId="3F7DB41C">
                  <w:pPr>
                    <w:keepNext w:val="0"/>
                    <w:keepLines w:val="0"/>
                    <w:widowControl/>
                    <w:suppressLineNumbers w:val="0"/>
                    <w:jc w:val="center"/>
                    <w:textAlignment w:val="center"/>
                    <w:rPr>
                      <w:rFonts w:hint="default" w:ascii="Times New Roman" w:hAnsi="Times New Roman" w:cs="Times New Roman"/>
                      <w:color w:val="auto"/>
                      <w:kern w:val="2"/>
                      <w:sz w:val="21"/>
                      <w:szCs w:val="21"/>
                      <w:highlight w:val="none"/>
                      <w:lang w:val="en-US" w:eastAsia="zh-CN" w:bidi="ar"/>
                    </w:rPr>
                  </w:pPr>
                  <w:r>
                    <w:rPr>
                      <w:rFonts w:hint="default" w:ascii="Times New Roman" w:hAnsi="Times New Roman" w:eastAsia="宋体" w:cs="Times New Roman"/>
                      <w:i w:val="0"/>
                      <w:iCs w:val="0"/>
                      <w:color w:val="auto"/>
                      <w:kern w:val="0"/>
                      <w:sz w:val="22"/>
                      <w:szCs w:val="22"/>
                      <w:highlight w:val="none"/>
                      <w:u w:val="none"/>
                      <w:lang w:val="en-US" w:eastAsia="zh-CN" w:bidi="ar"/>
                    </w:rPr>
                    <w:t>20</w:t>
                  </w:r>
                </w:p>
              </w:tc>
              <w:tc>
                <w:tcPr>
                  <w:tcW w:w="2253" w:type="pct"/>
                  <w:tcBorders>
                    <w:top w:val="single" w:color="auto" w:sz="4" w:space="0"/>
                    <w:left w:val="single" w:color="auto" w:sz="4" w:space="0"/>
                    <w:bottom w:val="single" w:color="auto" w:sz="4" w:space="0"/>
                    <w:right w:val="single" w:color="auto" w:sz="4" w:space="0"/>
                  </w:tcBorders>
                  <w:noWrap w:val="0"/>
                  <w:vAlign w:val="center"/>
                </w:tcPr>
                <w:p w14:paraId="40AD5C1F">
                  <w:pPr>
                    <w:jc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sz w:val="21"/>
                      <w:szCs w:val="21"/>
                      <w:highlight w:val="none"/>
                    </w:rPr>
                    <w:t>硼酸</w:t>
                  </w:r>
                </w:p>
              </w:tc>
              <w:tc>
                <w:tcPr>
                  <w:tcW w:w="1513" w:type="pct"/>
                  <w:tcBorders>
                    <w:top w:val="single" w:color="auto" w:sz="4" w:space="0"/>
                    <w:left w:val="single" w:color="auto" w:sz="4" w:space="0"/>
                    <w:bottom w:val="single" w:color="auto" w:sz="4" w:space="0"/>
                    <w:right w:val="single" w:color="auto" w:sz="4" w:space="0"/>
                  </w:tcBorders>
                  <w:noWrap w:val="0"/>
                  <w:vAlign w:val="center"/>
                </w:tcPr>
                <w:p w14:paraId="7EE0D9B2">
                  <w:pPr>
                    <w:jc w:val="center"/>
                    <w:rPr>
                      <w:rFonts w:hint="eastAsia" w:ascii="Times New Roman" w:hAnsi="Times New Roman" w:eastAsia="宋体" w:cs="Times New Roman"/>
                      <w:color w:val="auto"/>
                      <w:kern w:val="0"/>
                      <w:szCs w:val="21"/>
                      <w:highlight w:val="none"/>
                      <w:lang w:val="en-US" w:eastAsia="zh-CN" w:bidi="ar"/>
                    </w:rPr>
                  </w:pPr>
                  <w:r>
                    <w:rPr>
                      <w:rFonts w:hint="eastAsia" w:cs="Times New Roman"/>
                      <w:color w:val="auto"/>
                      <w:kern w:val="0"/>
                      <w:szCs w:val="21"/>
                      <w:highlight w:val="none"/>
                      <w:lang w:val="en-US" w:eastAsia="zh-CN" w:bidi="ar"/>
                    </w:rPr>
                    <w:t>9</w:t>
                  </w:r>
                </w:p>
              </w:tc>
            </w:tr>
            <w:tr w14:paraId="6EE19E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2" w:hRule="atLeast"/>
                <w:jc w:val="center"/>
              </w:trPr>
              <w:tc>
                <w:tcPr>
                  <w:tcW w:w="1233" w:type="pct"/>
                  <w:tcBorders>
                    <w:top w:val="single" w:color="auto" w:sz="4" w:space="0"/>
                    <w:left w:val="single" w:color="auto" w:sz="4" w:space="0"/>
                    <w:bottom w:val="single" w:color="auto" w:sz="4" w:space="0"/>
                    <w:right w:val="single" w:color="auto" w:sz="4" w:space="0"/>
                  </w:tcBorders>
                  <w:noWrap w:val="0"/>
                  <w:vAlign w:val="center"/>
                </w:tcPr>
                <w:p w14:paraId="334DA30B">
                  <w:pPr>
                    <w:keepNext w:val="0"/>
                    <w:keepLines w:val="0"/>
                    <w:widowControl/>
                    <w:suppressLineNumbers w:val="0"/>
                    <w:jc w:val="center"/>
                    <w:textAlignment w:val="center"/>
                    <w:rPr>
                      <w:rFonts w:hint="default" w:ascii="Times New Roman" w:hAnsi="Times New Roman" w:cs="Times New Roman"/>
                      <w:color w:val="auto"/>
                      <w:kern w:val="2"/>
                      <w:sz w:val="21"/>
                      <w:szCs w:val="21"/>
                      <w:highlight w:val="none"/>
                      <w:lang w:val="en-US" w:eastAsia="zh-CN" w:bidi="ar"/>
                    </w:rPr>
                  </w:pPr>
                  <w:r>
                    <w:rPr>
                      <w:rFonts w:hint="default" w:ascii="Times New Roman" w:hAnsi="Times New Roman" w:eastAsia="宋体" w:cs="Times New Roman"/>
                      <w:i w:val="0"/>
                      <w:iCs w:val="0"/>
                      <w:color w:val="auto"/>
                      <w:kern w:val="0"/>
                      <w:sz w:val="22"/>
                      <w:szCs w:val="22"/>
                      <w:highlight w:val="none"/>
                      <w:u w:val="none"/>
                      <w:lang w:val="en-US" w:eastAsia="zh-CN" w:bidi="ar"/>
                    </w:rPr>
                    <w:t>21</w:t>
                  </w:r>
                </w:p>
              </w:tc>
              <w:tc>
                <w:tcPr>
                  <w:tcW w:w="2253" w:type="pct"/>
                  <w:tcBorders>
                    <w:top w:val="single" w:color="auto" w:sz="4" w:space="0"/>
                    <w:left w:val="single" w:color="auto" w:sz="4" w:space="0"/>
                    <w:bottom w:val="single" w:color="auto" w:sz="4" w:space="0"/>
                    <w:right w:val="single" w:color="auto" w:sz="4" w:space="0"/>
                  </w:tcBorders>
                  <w:noWrap w:val="0"/>
                  <w:vAlign w:val="center"/>
                </w:tcPr>
                <w:p w14:paraId="607CDF29">
                  <w:pPr>
                    <w:jc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sz w:val="21"/>
                      <w:szCs w:val="21"/>
                      <w:highlight w:val="none"/>
                    </w:rPr>
                    <w:t>无水硫酸钠</w:t>
                  </w:r>
                </w:p>
              </w:tc>
              <w:tc>
                <w:tcPr>
                  <w:tcW w:w="1513" w:type="pct"/>
                  <w:tcBorders>
                    <w:top w:val="single" w:color="auto" w:sz="4" w:space="0"/>
                    <w:left w:val="single" w:color="auto" w:sz="4" w:space="0"/>
                    <w:bottom w:val="single" w:color="auto" w:sz="4" w:space="0"/>
                    <w:right w:val="single" w:color="auto" w:sz="4" w:space="0"/>
                  </w:tcBorders>
                  <w:noWrap w:val="0"/>
                  <w:vAlign w:val="center"/>
                </w:tcPr>
                <w:p w14:paraId="5D6461F2">
                  <w:pPr>
                    <w:jc w:val="center"/>
                    <w:rPr>
                      <w:rFonts w:hint="default" w:ascii="Times New Roman" w:hAnsi="Times New Roman" w:cs="Times New Roman"/>
                      <w:color w:val="auto"/>
                      <w:kern w:val="0"/>
                      <w:szCs w:val="21"/>
                      <w:highlight w:val="none"/>
                      <w:lang w:bidi="ar"/>
                    </w:rPr>
                  </w:pPr>
                  <w:r>
                    <w:rPr>
                      <w:rFonts w:hint="default" w:ascii="Times New Roman" w:hAnsi="Times New Roman" w:cs="Times New Roman"/>
                      <w:color w:val="auto"/>
                      <w:sz w:val="21"/>
                      <w:szCs w:val="21"/>
                      <w:highlight w:val="none"/>
                    </w:rPr>
                    <w:t>1.5</w:t>
                  </w:r>
                </w:p>
              </w:tc>
            </w:tr>
            <w:tr w14:paraId="1929B6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2" w:hRule="atLeast"/>
                <w:jc w:val="center"/>
              </w:trPr>
              <w:tc>
                <w:tcPr>
                  <w:tcW w:w="1233" w:type="pct"/>
                  <w:tcBorders>
                    <w:top w:val="single" w:color="auto" w:sz="4" w:space="0"/>
                    <w:left w:val="single" w:color="auto" w:sz="4" w:space="0"/>
                    <w:bottom w:val="single" w:color="auto" w:sz="4" w:space="0"/>
                    <w:right w:val="single" w:color="auto" w:sz="4" w:space="0"/>
                  </w:tcBorders>
                  <w:noWrap w:val="0"/>
                  <w:vAlign w:val="center"/>
                </w:tcPr>
                <w:p w14:paraId="2E2740B0">
                  <w:pPr>
                    <w:keepNext w:val="0"/>
                    <w:keepLines w:val="0"/>
                    <w:widowControl/>
                    <w:suppressLineNumbers w:val="0"/>
                    <w:jc w:val="center"/>
                    <w:textAlignment w:val="center"/>
                    <w:rPr>
                      <w:rFonts w:hint="default" w:ascii="Times New Roman" w:hAnsi="Times New Roman" w:cs="Times New Roman"/>
                      <w:color w:val="auto"/>
                      <w:kern w:val="2"/>
                      <w:sz w:val="21"/>
                      <w:szCs w:val="21"/>
                      <w:highlight w:val="none"/>
                      <w:lang w:val="en-US" w:eastAsia="zh-CN" w:bidi="ar"/>
                    </w:rPr>
                  </w:pPr>
                  <w:r>
                    <w:rPr>
                      <w:rFonts w:hint="default" w:ascii="Times New Roman" w:hAnsi="Times New Roman" w:eastAsia="宋体" w:cs="Times New Roman"/>
                      <w:i w:val="0"/>
                      <w:iCs w:val="0"/>
                      <w:color w:val="auto"/>
                      <w:kern w:val="0"/>
                      <w:sz w:val="22"/>
                      <w:szCs w:val="22"/>
                      <w:highlight w:val="none"/>
                      <w:u w:val="none"/>
                      <w:lang w:val="en-US" w:eastAsia="zh-CN" w:bidi="ar"/>
                    </w:rPr>
                    <w:t>22</w:t>
                  </w:r>
                </w:p>
              </w:tc>
              <w:tc>
                <w:tcPr>
                  <w:tcW w:w="2253" w:type="pct"/>
                  <w:tcBorders>
                    <w:top w:val="single" w:color="auto" w:sz="4" w:space="0"/>
                    <w:left w:val="single" w:color="auto" w:sz="4" w:space="0"/>
                    <w:bottom w:val="single" w:color="auto" w:sz="4" w:space="0"/>
                    <w:right w:val="single" w:color="auto" w:sz="4" w:space="0"/>
                  </w:tcBorders>
                  <w:noWrap w:val="0"/>
                  <w:vAlign w:val="center"/>
                </w:tcPr>
                <w:p w14:paraId="17D510E4">
                  <w:pPr>
                    <w:jc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sz w:val="21"/>
                      <w:szCs w:val="21"/>
                      <w:highlight w:val="none"/>
                    </w:rPr>
                    <w:t>亚硝酸钠</w:t>
                  </w:r>
                </w:p>
              </w:tc>
              <w:tc>
                <w:tcPr>
                  <w:tcW w:w="1513" w:type="pct"/>
                  <w:tcBorders>
                    <w:top w:val="single" w:color="auto" w:sz="4" w:space="0"/>
                    <w:left w:val="single" w:color="auto" w:sz="4" w:space="0"/>
                    <w:bottom w:val="single" w:color="auto" w:sz="4" w:space="0"/>
                    <w:right w:val="single" w:color="auto" w:sz="4" w:space="0"/>
                  </w:tcBorders>
                  <w:noWrap w:val="0"/>
                  <w:vAlign w:val="center"/>
                </w:tcPr>
                <w:p w14:paraId="1CB67FB0">
                  <w:pPr>
                    <w:jc w:val="center"/>
                    <w:rPr>
                      <w:rFonts w:hint="default" w:ascii="Times New Roman" w:hAnsi="Times New Roman" w:cs="Times New Roman"/>
                      <w:color w:val="auto"/>
                      <w:kern w:val="0"/>
                      <w:szCs w:val="21"/>
                      <w:highlight w:val="none"/>
                      <w:lang w:bidi="ar"/>
                    </w:rPr>
                  </w:pPr>
                  <w:r>
                    <w:rPr>
                      <w:rFonts w:hint="default" w:ascii="Times New Roman" w:hAnsi="Times New Roman" w:cs="Times New Roman"/>
                      <w:color w:val="auto"/>
                      <w:sz w:val="21"/>
                      <w:szCs w:val="21"/>
                      <w:highlight w:val="none"/>
                    </w:rPr>
                    <w:t>1</w:t>
                  </w:r>
                </w:p>
              </w:tc>
            </w:tr>
            <w:tr w14:paraId="2D2EE8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2" w:hRule="atLeast"/>
                <w:jc w:val="center"/>
              </w:trPr>
              <w:tc>
                <w:tcPr>
                  <w:tcW w:w="1233" w:type="pct"/>
                  <w:tcBorders>
                    <w:top w:val="single" w:color="auto" w:sz="4" w:space="0"/>
                    <w:left w:val="single" w:color="auto" w:sz="4" w:space="0"/>
                    <w:bottom w:val="single" w:color="auto" w:sz="4" w:space="0"/>
                    <w:right w:val="single" w:color="auto" w:sz="4" w:space="0"/>
                  </w:tcBorders>
                  <w:noWrap w:val="0"/>
                  <w:vAlign w:val="center"/>
                </w:tcPr>
                <w:p w14:paraId="3CB91D6A">
                  <w:pPr>
                    <w:keepNext w:val="0"/>
                    <w:keepLines w:val="0"/>
                    <w:widowControl/>
                    <w:suppressLineNumbers w:val="0"/>
                    <w:jc w:val="center"/>
                    <w:textAlignment w:val="center"/>
                    <w:rPr>
                      <w:rFonts w:hint="default" w:ascii="Times New Roman" w:hAnsi="Times New Roman" w:cs="Times New Roman"/>
                      <w:color w:val="auto"/>
                      <w:kern w:val="2"/>
                      <w:sz w:val="21"/>
                      <w:szCs w:val="21"/>
                      <w:highlight w:val="none"/>
                      <w:lang w:val="en-US" w:eastAsia="zh-CN" w:bidi="ar"/>
                    </w:rPr>
                  </w:pPr>
                  <w:r>
                    <w:rPr>
                      <w:rFonts w:hint="default" w:ascii="Times New Roman" w:hAnsi="Times New Roman" w:eastAsia="宋体" w:cs="Times New Roman"/>
                      <w:i w:val="0"/>
                      <w:iCs w:val="0"/>
                      <w:color w:val="auto"/>
                      <w:kern w:val="0"/>
                      <w:sz w:val="22"/>
                      <w:szCs w:val="22"/>
                      <w:highlight w:val="none"/>
                      <w:u w:val="none"/>
                      <w:lang w:val="en-US" w:eastAsia="zh-CN" w:bidi="ar"/>
                    </w:rPr>
                    <w:t>23</w:t>
                  </w:r>
                </w:p>
              </w:tc>
              <w:tc>
                <w:tcPr>
                  <w:tcW w:w="2253" w:type="pct"/>
                  <w:tcBorders>
                    <w:top w:val="single" w:color="auto" w:sz="4" w:space="0"/>
                    <w:left w:val="single" w:color="auto" w:sz="4" w:space="0"/>
                    <w:bottom w:val="single" w:color="auto" w:sz="4" w:space="0"/>
                    <w:right w:val="single" w:color="auto" w:sz="4" w:space="0"/>
                  </w:tcBorders>
                  <w:noWrap w:val="0"/>
                  <w:vAlign w:val="center"/>
                </w:tcPr>
                <w:p w14:paraId="00ABF8F9">
                  <w:pPr>
                    <w:jc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sz w:val="21"/>
                      <w:szCs w:val="21"/>
                      <w:highlight w:val="none"/>
                    </w:rPr>
                    <w:t>亚硫酸氢钠</w:t>
                  </w:r>
                </w:p>
              </w:tc>
              <w:tc>
                <w:tcPr>
                  <w:tcW w:w="1513" w:type="pct"/>
                  <w:tcBorders>
                    <w:top w:val="single" w:color="auto" w:sz="4" w:space="0"/>
                    <w:left w:val="single" w:color="auto" w:sz="4" w:space="0"/>
                    <w:bottom w:val="single" w:color="auto" w:sz="4" w:space="0"/>
                    <w:right w:val="single" w:color="auto" w:sz="4" w:space="0"/>
                  </w:tcBorders>
                  <w:noWrap w:val="0"/>
                  <w:vAlign w:val="center"/>
                </w:tcPr>
                <w:p w14:paraId="7F78AFBE">
                  <w:pPr>
                    <w:jc w:val="center"/>
                    <w:rPr>
                      <w:rFonts w:hint="default" w:ascii="Times New Roman" w:hAnsi="Times New Roman" w:cs="Times New Roman"/>
                      <w:color w:val="auto"/>
                      <w:kern w:val="0"/>
                      <w:szCs w:val="21"/>
                      <w:highlight w:val="none"/>
                      <w:lang w:bidi="ar"/>
                    </w:rPr>
                  </w:pPr>
                  <w:r>
                    <w:rPr>
                      <w:rFonts w:hint="default" w:ascii="Times New Roman" w:hAnsi="Times New Roman" w:cs="Times New Roman"/>
                      <w:color w:val="auto"/>
                      <w:sz w:val="21"/>
                      <w:szCs w:val="21"/>
                      <w:highlight w:val="none"/>
                    </w:rPr>
                    <w:t>1</w:t>
                  </w:r>
                </w:p>
              </w:tc>
            </w:tr>
            <w:tr w14:paraId="3EFC90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2" w:hRule="atLeast"/>
                <w:jc w:val="center"/>
              </w:trPr>
              <w:tc>
                <w:tcPr>
                  <w:tcW w:w="1233" w:type="pct"/>
                  <w:tcBorders>
                    <w:top w:val="single" w:color="auto" w:sz="4" w:space="0"/>
                    <w:left w:val="single" w:color="auto" w:sz="4" w:space="0"/>
                    <w:bottom w:val="single" w:color="auto" w:sz="4" w:space="0"/>
                    <w:right w:val="single" w:color="auto" w:sz="4" w:space="0"/>
                  </w:tcBorders>
                  <w:noWrap w:val="0"/>
                  <w:vAlign w:val="center"/>
                </w:tcPr>
                <w:p w14:paraId="31DFB4F7">
                  <w:pPr>
                    <w:keepNext w:val="0"/>
                    <w:keepLines w:val="0"/>
                    <w:widowControl/>
                    <w:suppressLineNumbers w:val="0"/>
                    <w:jc w:val="center"/>
                    <w:textAlignment w:val="center"/>
                    <w:rPr>
                      <w:rFonts w:hint="default" w:ascii="Times New Roman" w:hAnsi="Times New Roman" w:cs="Times New Roman"/>
                      <w:color w:val="auto"/>
                      <w:kern w:val="2"/>
                      <w:sz w:val="21"/>
                      <w:szCs w:val="21"/>
                      <w:highlight w:val="none"/>
                      <w:lang w:val="en-US" w:eastAsia="zh-CN" w:bidi="ar"/>
                    </w:rPr>
                  </w:pPr>
                  <w:r>
                    <w:rPr>
                      <w:rFonts w:hint="default" w:ascii="Times New Roman" w:hAnsi="Times New Roman" w:eastAsia="宋体" w:cs="Times New Roman"/>
                      <w:i w:val="0"/>
                      <w:iCs w:val="0"/>
                      <w:color w:val="auto"/>
                      <w:kern w:val="0"/>
                      <w:sz w:val="22"/>
                      <w:szCs w:val="22"/>
                      <w:highlight w:val="none"/>
                      <w:u w:val="none"/>
                      <w:lang w:val="en-US" w:eastAsia="zh-CN" w:bidi="ar"/>
                    </w:rPr>
                    <w:t>24</w:t>
                  </w:r>
                </w:p>
              </w:tc>
              <w:tc>
                <w:tcPr>
                  <w:tcW w:w="2253" w:type="pct"/>
                  <w:tcBorders>
                    <w:top w:val="single" w:color="auto" w:sz="4" w:space="0"/>
                    <w:left w:val="single" w:color="auto" w:sz="4" w:space="0"/>
                    <w:bottom w:val="single" w:color="auto" w:sz="4" w:space="0"/>
                    <w:right w:val="single" w:color="auto" w:sz="4" w:space="0"/>
                  </w:tcBorders>
                  <w:noWrap w:val="0"/>
                  <w:vAlign w:val="center"/>
                </w:tcPr>
                <w:p w14:paraId="7ECE2169">
                  <w:pPr>
                    <w:jc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sz w:val="21"/>
                      <w:szCs w:val="21"/>
                      <w:highlight w:val="none"/>
                    </w:rPr>
                    <w:t>硫代硫酸钠</w:t>
                  </w:r>
                </w:p>
              </w:tc>
              <w:tc>
                <w:tcPr>
                  <w:tcW w:w="1513" w:type="pct"/>
                  <w:tcBorders>
                    <w:top w:val="single" w:color="auto" w:sz="4" w:space="0"/>
                    <w:left w:val="single" w:color="auto" w:sz="4" w:space="0"/>
                    <w:bottom w:val="single" w:color="auto" w:sz="4" w:space="0"/>
                    <w:right w:val="single" w:color="auto" w:sz="4" w:space="0"/>
                  </w:tcBorders>
                  <w:noWrap w:val="0"/>
                  <w:vAlign w:val="center"/>
                </w:tcPr>
                <w:p w14:paraId="0D1FD496">
                  <w:pPr>
                    <w:jc w:val="center"/>
                    <w:rPr>
                      <w:rFonts w:hint="default" w:ascii="Times New Roman" w:hAnsi="Times New Roman" w:cs="Times New Roman"/>
                      <w:color w:val="auto"/>
                      <w:kern w:val="0"/>
                      <w:szCs w:val="21"/>
                      <w:highlight w:val="none"/>
                      <w:lang w:bidi="ar"/>
                    </w:rPr>
                  </w:pPr>
                  <w:r>
                    <w:rPr>
                      <w:rFonts w:hint="default" w:ascii="Times New Roman" w:hAnsi="Times New Roman" w:cs="Times New Roman"/>
                      <w:color w:val="auto"/>
                      <w:sz w:val="21"/>
                      <w:szCs w:val="21"/>
                      <w:highlight w:val="none"/>
                    </w:rPr>
                    <w:t>1</w:t>
                  </w:r>
                </w:p>
              </w:tc>
            </w:tr>
            <w:tr w14:paraId="4C5427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2" w:hRule="atLeast"/>
                <w:jc w:val="center"/>
              </w:trPr>
              <w:tc>
                <w:tcPr>
                  <w:tcW w:w="1233" w:type="pct"/>
                  <w:tcBorders>
                    <w:top w:val="single" w:color="auto" w:sz="4" w:space="0"/>
                    <w:left w:val="single" w:color="auto" w:sz="4" w:space="0"/>
                    <w:bottom w:val="single" w:color="auto" w:sz="4" w:space="0"/>
                    <w:right w:val="single" w:color="auto" w:sz="4" w:space="0"/>
                  </w:tcBorders>
                  <w:noWrap w:val="0"/>
                  <w:vAlign w:val="center"/>
                </w:tcPr>
                <w:p w14:paraId="3B1584C0">
                  <w:pPr>
                    <w:keepNext w:val="0"/>
                    <w:keepLines w:val="0"/>
                    <w:widowControl/>
                    <w:suppressLineNumbers w:val="0"/>
                    <w:jc w:val="center"/>
                    <w:textAlignment w:val="center"/>
                    <w:rPr>
                      <w:rFonts w:hint="default" w:ascii="Times New Roman" w:hAnsi="Times New Roman" w:cs="Times New Roman"/>
                      <w:color w:val="auto"/>
                      <w:kern w:val="2"/>
                      <w:sz w:val="21"/>
                      <w:szCs w:val="21"/>
                      <w:highlight w:val="none"/>
                      <w:lang w:val="en-US" w:eastAsia="zh-CN" w:bidi="ar"/>
                    </w:rPr>
                  </w:pPr>
                  <w:r>
                    <w:rPr>
                      <w:rFonts w:hint="default" w:ascii="Times New Roman" w:hAnsi="Times New Roman" w:eastAsia="宋体" w:cs="Times New Roman"/>
                      <w:i w:val="0"/>
                      <w:iCs w:val="0"/>
                      <w:color w:val="auto"/>
                      <w:kern w:val="0"/>
                      <w:sz w:val="22"/>
                      <w:szCs w:val="22"/>
                      <w:highlight w:val="none"/>
                      <w:u w:val="none"/>
                      <w:lang w:val="en-US" w:eastAsia="zh-CN" w:bidi="ar"/>
                    </w:rPr>
                    <w:t>25</w:t>
                  </w:r>
                </w:p>
              </w:tc>
              <w:tc>
                <w:tcPr>
                  <w:tcW w:w="2253" w:type="pct"/>
                  <w:tcBorders>
                    <w:top w:val="single" w:color="auto" w:sz="4" w:space="0"/>
                    <w:left w:val="single" w:color="auto" w:sz="4" w:space="0"/>
                    <w:bottom w:val="single" w:color="auto" w:sz="4" w:space="0"/>
                    <w:right w:val="single" w:color="auto" w:sz="4" w:space="0"/>
                  </w:tcBorders>
                  <w:noWrap w:val="0"/>
                  <w:vAlign w:val="center"/>
                </w:tcPr>
                <w:p w14:paraId="297B0E3A">
                  <w:pPr>
                    <w:jc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sz w:val="21"/>
                      <w:szCs w:val="21"/>
                      <w:highlight w:val="none"/>
                    </w:rPr>
                    <w:t>磷酸氢二钠</w:t>
                  </w:r>
                </w:p>
              </w:tc>
              <w:tc>
                <w:tcPr>
                  <w:tcW w:w="1513" w:type="pct"/>
                  <w:tcBorders>
                    <w:top w:val="single" w:color="auto" w:sz="4" w:space="0"/>
                    <w:left w:val="single" w:color="auto" w:sz="4" w:space="0"/>
                    <w:bottom w:val="single" w:color="auto" w:sz="4" w:space="0"/>
                    <w:right w:val="single" w:color="auto" w:sz="4" w:space="0"/>
                  </w:tcBorders>
                  <w:noWrap w:val="0"/>
                  <w:vAlign w:val="center"/>
                </w:tcPr>
                <w:p w14:paraId="1085792F">
                  <w:pPr>
                    <w:jc w:val="center"/>
                    <w:rPr>
                      <w:rFonts w:hint="default" w:ascii="Times New Roman" w:hAnsi="Times New Roman" w:cs="Times New Roman"/>
                      <w:color w:val="auto"/>
                      <w:kern w:val="0"/>
                      <w:szCs w:val="21"/>
                      <w:highlight w:val="none"/>
                      <w:lang w:bidi="ar"/>
                    </w:rPr>
                  </w:pPr>
                  <w:r>
                    <w:rPr>
                      <w:rFonts w:hint="default" w:ascii="Times New Roman" w:hAnsi="Times New Roman" w:cs="Times New Roman"/>
                      <w:color w:val="auto"/>
                      <w:sz w:val="21"/>
                      <w:szCs w:val="21"/>
                      <w:highlight w:val="none"/>
                    </w:rPr>
                    <w:t>0.5</w:t>
                  </w:r>
                </w:p>
              </w:tc>
            </w:tr>
            <w:tr w14:paraId="122F3A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2" w:hRule="atLeast"/>
                <w:jc w:val="center"/>
              </w:trPr>
              <w:tc>
                <w:tcPr>
                  <w:tcW w:w="1233" w:type="pct"/>
                  <w:tcBorders>
                    <w:top w:val="single" w:color="auto" w:sz="4" w:space="0"/>
                    <w:left w:val="single" w:color="auto" w:sz="4" w:space="0"/>
                    <w:bottom w:val="single" w:color="auto" w:sz="4" w:space="0"/>
                    <w:right w:val="single" w:color="auto" w:sz="4" w:space="0"/>
                  </w:tcBorders>
                  <w:noWrap w:val="0"/>
                  <w:vAlign w:val="center"/>
                </w:tcPr>
                <w:p w14:paraId="6C6ECA13">
                  <w:pPr>
                    <w:keepNext w:val="0"/>
                    <w:keepLines w:val="0"/>
                    <w:widowControl/>
                    <w:suppressLineNumbers w:val="0"/>
                    <w:jc w:val="center"/>
                    <w:textAlignment w:val="center"/>
                    <w:rPr>
                      <w:rFonts w:hint="default" w:ascii="Times New Roman" w:hAnsi="Times New Roman" w:cs="Times New Roman"/>
                      <w:color w:val="auto"/>
                      <w:kern w:val="2"/>
                      <w:sz w:val="21"/>
                      <w:szCs w:val="21"/>
                      <w:highlight w:val="none"/>
                      <w:lang w:val="en-US" w:eastAsia="zh-CN" w:bidi="ar"/>
                    </w:rPr>
                  </w:pPr>
                  <w:r>
                    <w:rPr>
                      <w:rFonts w:hint="default" w:ascii="Times New Roman" w:hAnsi="Times New Roman" w:eastAsia="宋体" w:cs="Times New Roman"/>
                      <w:i w:val="0"/>
                      <w:iCs w:val="0"/>
                      <w:color w:val="auto"/>
                      <w:kern w:val="0"/>
                      <w:sz w:val="22"/>
                      <w:szCs w:val="22"/>
                      <w:highlight w:val="none"/>
                      <w:u w:val="none"/>
                      <w:lang w:val="en-US" w:eastAsia="zh-CN" w:bidi="ar"/>
                    </w:rPr>
                    <w:t>26</w:t>
                  </w:r>
                </w:p>
              </w:tc>
              <w:tc>
                <w:tcPr>
                  <w:tcW w:w="2253" w:type="pct"/>
                  <w:tcBorders>
                    <w:top w:val="single" w:color="auto" w:sz="4" w:space="0"/>
                    <w:left w:val="single" w:color="auto" w:sz="4" w:space="0"/>
                    <w:bottom w:val="single" w:color="auto" w:sz="4" w:space="0"/>
                    <w:right w:val="single" w:color="auto" w:sz="4" w:space="0"/>
                  </w:tcBorders>
                  <w:noWrap w:val="0"/>
                  <w:vAlign w:val="center"/>
                </w:tcPr>
                <w:p w14:paraId="7B29F5BF">
                  <w:pPr>
                    <w:jc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sz w:val="21"/>
                      <w:szCs w:val="21"/>
                      <w:highlight w:val="none"/>
                    </w:rPr>
                    <w:t>无水碳酸钾</w:t>
                  </w:r>
                </w:p>
              </w:tc>
              <w:tc>
                <w:tcPr>
                  <w:tcW w:w="1513" w:type="pct"/>
                  <w:tcBorders>
                    <w:top w:val="single" w:color="auto" w:sz="4" w:space="0"/>
                    <w:left w:val="single" w:color="auto" w:sz="4" w:space="0"/>
                    <w:bottom w:val="single" w:color="auto" w:sz="4" w:space="0"/>
                    <w:right w:val="single" w:color="auto" w:sz="4" w:space="0"/>
                  </w:tcBorders>
                  <w:noWrap w:val="0"/>
                  <w:vAlign w:val="center"/>
                </w:tcPr>
                <w:p w14:paraId="2654B77F">
                  <w:pPr>
                    <w:jc w:val="center"/>
                    <w:rPr>
                      <w:rFonts w:hint="default" w:ascii="Times New Roman" w:hAnsi="Times New Roman" w:cs="Times New Roman"/>
                      <w:color w:val="auto"/>
                      <w:kern w:val="0"/>
                      <w:szCs w:val="21"/>
                      <w:highlight w:val="none"/>
                      <w:lang w:bidi="ar"/>
                    </w:rPr>
                  </w:pPr>
                  <w:r>
                    <w:rPr>
                      <w:rFonts w:hint="default" w:ascii="Times New Roman" w:hAnsi="Times New Roman" w:cs="Times New Roman"/>
                      <w:color w:val="auto"/>
                      <w:sz w:val="21"/>
                      <w:szCs w:val="21"/>
                      <w:highlight w:val="none"/>
                    </w:rPr>
                    <w:t>1</w:t>
                  </w:r>
                </w:p>
              </w:tc>
            </w:tr>
            <w:tr w14:paraId="3CBA62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2" w:hRule="atLeast"/>
                <w:jc w:val="center"/>
              </w:trPr>
              <w:tc>
                <w:tcPr>
                  <w:tcW w:w="1233" w:type="pct"/>
                  <w:tcBorders>
                    <w:top w:val="single" w:color="auto" w:sz="4" w:space="0"/>
                    <w:left w:val="single" w:color="auto" w:sz="4" w:space="0"/>
                    <w:bottom w:val="single" w:color="auto" w:sz="4" w:space="0"/>
                    <w:right w:val="single" w:color="auto" w:sz="4" w:space="0"/>
                  </w:tcBorders>
                  <w:noWrap w:val="0"/>
                  <w:vAlign w:val="center"/>
                </w:tcPr>
                <w:p w14:paraId="1A28B965">
                  <w:pPr>
                    <w:keepNext w:val="0"/>
                    <w:keepLines w:val="0"/>
                    <w:widowControl/>
                    <w:suppressLineNumbers w:val="0"/>
                    <w:jc w:val="center"/>
                    <w:textAlignment w:val="center"/>
                    <w:rPr>
                      <w:rFonts w:hint="default" w:ascii="Times New Roman" w:hAnsi="Times New Roman" w:cs="Times New Roman"/>
                      <w:color w:val="auto"/>
                      <w:kern w:val="2"/>
                      <w:sz w:val="21"/>
                      <w:szCs w:val="21"/>
                      <w:highlight w:val="none"/>
                      <w:lang w:val="en-US" w:eastAsia="zh-CN" w:bidi="ar"/>
                    </w:rPr>
                  </w:pPr>
                  <w:r>
                    <w:rPr>
                      <w:rFonts w:hint="default" w:ascii="Times New Roman" w:hAnsi="Times New Roman" w:eastAsia="宋体" w:cs="Times New Roman"/>
                      <w:i w:val="0"/>
                      <w:iCs w:val="0"/>
                      <w:color w:val="auto"/>
                      <w:kern w:val="0"/>
                      <w:sz w:val="22"/>
                      <w:szCs w:val="22"/>
                      <w:highlight w:val="none"/>
                      <w:u w:val="none"/>
                      <w:lang w:val="en-US" w:eastAsia="zh-CN" w:bidi="ar"/>
                    </w:rPr>
                    <w:t>27</w:t>
                  </w:r>
                </w:p>
              </w:tc>
              <w:tc>
                <w:tcPr>
                  <w:tcW w:w="2253" w:type="pct"/>
                  <w:tcBorders>
                    <w:top w:val="single" w:color="auto" w:sz="4" w:space="0"/>
                    <w:left w:val="single" w:color="auto" w:sz="4" w:space="0"/>
                    <w:bottom w:val="single" w:color="auto" w:sz="4" w:space="0"/>
                    <w:right w:val="single" w:color="auto" w:sz="4" w:space="0"/>
                  </w:tcBorders>
                  <w:noWrap w:val="0"/>
                  <w:vAlign w:val="center"/>
                </w:tcPr>
                <w:p w14:paraId="4FB58907">
                  <w:pPr>
                    <w:jc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sz w:val="21"/>
                      <w:szCs w:val="21"/>
                      <w:highlight w:val="none"/>
                    </w:rPr>
                    <w:t>硝酸钾</w:t>
                  </w:r>
                </w:p>
              </w:tc>
              <w:tc>
                <w:tcPr>
                  <w:tcW w:w="1513" w:type="pct"/>
                  <w:tcBorders>
                    <w:top w:val="single" w:color="auto" w:sz="4" w:space="0"/>
                    <w:left w:val="single" w:color="auto" w:sz="4" w:space="0"/>
                    <w:bottom w:val="single" w:color="auto" w:sz="4" w:space="0"/>
                    <w:right w:val="single" w:color="auto" w:sz="4" w:space="0"/>
                  </w:tcBorders>
                  <w:noWrap w:val="0"/>
                  <w:vAlign w:val="center"/>
                </w:tcPr>
                <w:p w14:paraId="2B91B537">
                  <w:pPr>
                    <w:jc w:val="center"/>
                    <w:rPr>
                      <w:rFonts w:hint="default" w:ascii="Times New Roman" w:hAnsi="Times New Roman" w:cs="Times New Roman"/>
                      <w:color w:val="auto"/>
                      <w:kern w:val="0"/>
                      <w:szCs w:val="21"/>
                      <w:highlight w:val="none"/>
                      <w:lang w:bidi="ar"/>
                    </w:rPr>
                  </w:pPr>
                  <w:r>
                    <w:rPr>
                      <w:rFonts w:hint="default" w:ascii="Times New Roman" w:hAnsi="Times New Roman" w:cs="Times New Roman"/>
                      <w:color w:val="auto"/>
                      <w:sz w:val="21"/>
                      <w:szCs w:val="21"/>
                      <w:highlight w:val="none"/>
                    </w:rPr>
                    <w:t>1</w:t>
                  </w:r>
                </w:p>
              </w:tc>
            </w:tr>
            <w:tr w14:paraId="4BFF9B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2" w:hRule="atLeast"/>
                <w:jc w:val="center"/>
              </w:trPr>
              <w:tc>
                <w:tcPr>
                  <w:tcW w:w="1233" w:type="pct"/>
                  <w:tcBorders>
                    <w:top w:val="single" w:color="auto" w:sz="4" w:space="0"/>
                    <w:left w:val="single" w:color="auto" w:sz="4" w:space="0"/>
                    <w:bottom w:val="single" w:color="auto" w:sz="4" w:space="0"/>
                    <w:right w:val="single" w:color="auto" w:sz="4" w:space="0"/>
                  </w:tcBorders>
                  <w:noWrap w:val="0"/>
                  <w:vAlign w:val="center"/>
                </w:tcPr>
                <w:p w14:paraId="2518FAA7">
                  <w:pPr>
                    <w:keepNext w:val="0"/>
                    <w:keepLines w:val="0"/>
                    <w:widowControl/>
                    <w:suppressLineNumbers w:val="0"/>
                    <w:jc w:val="center"/>
                    <w:textAlignment w:val="center"/>
                    <w:rPr>
                      <w:rFonts w:hint="default" w:ascii="Times New Roman" w:hAnsi="Times New Roman" w:cs="Times New Roman"/>
                      <w:color w:val="auto"/>
                      <w:kern w:val="2"/>
                      <w:sz w:val="21"/>
                      <w:szCs w:val="21"/>
                      <w:highlight w:val="none"/>
                      <w:lang w:val="en-US" w:eastAsia="zh-CN" w:bidi="ar"/>
                    </w:rPr>
                  </w:pPr>
                  <w:r>
                    <w:rPr>
                      <w:rFonts w:hint="default" w:ascii="Times New Roman" w:hAnsi="Times New Roman" w:eastAsia="宋体" w:cs="Times New Roman"/>
                      <w:i w:val="0"/>
                      <w:iCs w:val="0"/>
                      <w:color w:val="auto"/>
                      <w:kern w:val="0"/>
                      <w:sz w:val="22"/>
                      <w:szCs w:val="22"/>
                      <w:highlight w:val="none"/>
                      <w:u w:val="none"/>
                      <w:lang w:val="en-US" w:eastAsia="zh-CN" w:bidi="ar"/>
                    </w:rPr>
                    <w:t>28</w:t>
                  </w:r>
                </w:p>
              </w:tc>
              <w:tc>
                <w:tcPr>
                  <w:tcW w:w="2253" w:type="pct"/>
                  <w:tcBorders>
                    <w:top w:val="single" w:color="auto" w:sz="4" w:space="0"/>
                    <w:left w:val="single" w:color="auto" w:sz="4" w:space="0"/>
                    <w:bottom w:val="single" w:color="auto" w:sz="4" w:space="0"/>
                    <w:right w:val="single" w:color="auto" w:sz="4" w:space="0"/>
                  </w:tcBorders>
                  <w:noWrap w:val="0"/>
                  <w:vAlign w:val="center"/>
                </w:tcPr>
                <w:p w14:paraId="4274E587">
                  <w:pPr>
                    <w:jc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sz w:val="21"/>
                      <w:szCs w:val="21"/>
                      <w:highlight w:val="none"/>
                    </w:rPr>
                    <w:t>氯化钡</w:t>
                  </w:r>
                </w:p>
              </w:tc>
              <w:tc>
                <w:tcPr>
                  <w:tcW w:w="1513" w:type="pct"/>
                  <w:tcBorders>
                    <w:top w:val="single" w:color="auto" w:sz="4" w:space="0"/>
                    <w:left w:val="single" w:color="auto" w:sz="4" w:space="0"/>
                    <w:bottom w:val="single" w:color="auto" w:sz="4" w:space="0"/>
                    <w:right w:val="single" w:color="auto" w:sz="4" w:space="0"/>
                  </w:tcBorders>
                  <w:noWrap w:val="0"/>
                  <w:vAlign w:val="center"/>
                </w:tcPr>
                <w:p w14:paraId="097FD93C">
                  <w:pPr>
                    <w:jc w:val="center"/>
                    <w:rPr>
                      <w:rFonts w:hint="default" w:ascii="Times New Roman" w:hAnsi="Times New Roman" w:cs="Times New Roman"/>
                      <w:color w:val="auto"/>
                      <w:kern w:val="0"/>
                      <w:szCs w:val="21"/>
                      <w:highlight w:val="none"/>
                      <w:lang w:bidi="ar"/>
                    </w:rPr>
                  </w:pPr>
                  <w:r>
                    <w:rPr>
                      <w:rFonts w:hint="default" w:ascii="Times New Roman" w:hAnsi="Times New Roman" w:cs="Times New Roman"/>
                      <w:color w:val="auto"/>
                      <w:sz w:val="21"/>
                      <w:szCs w:val="21"/>
                      <w:highlight w:val="none"/>
                    </w:rPr>
                    <w:t>2.5</w:t>
                  </w:r>
                </w:p>
              </w:tc>
            </w:tr>
            <w:tr w14:paraId="25A6A7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2" w:hRule="atLeast"/>
                <w:jc w:val="center"/>
              </w:trPr>
              <w:tc>
                <w:tcPr>
                  <w:tcW w:w="1233" w:type="pct"/>
                  <w:tcBorders>
                    <w:top w:val="single" w:color="auto" w:sz="4" w:space="0"/>
                    <w:left w:val="single" w:color="auto" w:sz="4" w:space="0"/>
                    <w:bottom w:val="single" w:color="auto" w:sz="4" w:space="0"/>
                    <w:right w:val="single" w:color="auto" w:sz="4" w:space="0"/>
                  </w:tcBorders>
                  <w:noWrap w:val="0"/>
                  <w:vAlign w:val="center"/>
                </w:tcPr>
                <w:p w14:paraId="2E9AFD82">
                  <w:pPr>
                    <w:keepNext w:val="0"/>
                    <w:keepLines w:val="0"/>
                    <w:widowControl/>
                    <w:suppressLineNumbers w:val="0"/>
                    <w:jc w:val="center"/>
                    <w:textAlignment w:val="center"/>
                    <w:rPr>
                      <w:rFonts w:hint="default" w:ascii="Times New Roman" w:hAnsi="Times New Roman" w:cs="Times New Roman"/>
                      <w:color w:val="auto"/>
                      <w:kern w:val="2"/>
                      <w:sz w:val="21"/>
                      <w:szCs w:val="21"/>
                      <w:highlight w:val="none"/>
                      <w:lang w:val="en-US" w:eastAsia="zh-CN" w:bidi="ar"/>
                    </w:rPr>
                  </w:pPr>
                  <w:r>
                    <w:rPr>
                      <w:rFonts w:hint="default" w:ascii="Times New Roman" w:hAnsi="Times New Roman" w:eastAsia="宋体" w:cs="Times New Roman"/>
                      <w:i w:val="0"/>
                      <w:iCs w:val="0"/>
                      <w:color w:val="auto"/>
                      <w:kern w:val="0"/>
                      <w:sz w:val="22"/>
                      <w:szCs w:val="22"/>
                      <w:highlight w:val="none"/>
                      <w:u w:val="none"/>
                      <w:lang w:val="en-US" w:eastAsia="zh-CN" w:bidi="ar"/>
                    </w:rPr>
                    <w:t>29</w:t>
                  </w:r>
                </w:p>
              </w:tc>
              <w:tc>
                <w:tcPr>
                  <w:tcW w:w="2253" w:type="pct"/>
                  <w:tcBorders>
                    <w:top w:val="single" w:color="auto" w:sz="4" w:space="0"/>
                    <w:left w:val="single" w:color="auto" w:sz="4" w:space="0"/>
                    <w:bottom w:val="single" w:color="auto" w:sz="4" w:space="0"/>
                    <w:right w:val="single" w:color="auto" w:sz="4" w:space="0"/>
                  </w:tcBorders>
                  <w:noWrap w:val="0"/>
                  <w:vAlign w:val="center"/>
                </w:tcPr>
                <w:p w14:paraId="5F7AA48E">
                  <w:pPr>
                    <w:jc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sz w:val="21"/>
                      <w:szCs w:val="21"/>
                      <w:highlight w:val="none"/>
                    </w:rPr>
                    <w:t>硫酸铁</w:t>
                  </w:r>
                </w:p>
              </w:tc>
              <w:tc>
                <w:tcPr>
                  <w:tcW w:w="1513" w:type="pct"/>
                  <w:tcBorders>
                    <w:top w:val="single" w:color="auto" w:sz="4" w:space="0"/>
                    <w:left w:val="single" w:color="auto" w:sz="4" w:space="0"/>
                    <w:bottom w:val="single" w:color="auto" w:sz="4" w:space="0"/>
                    <w:right w:val="single" w:color="auto" w:sz="4" w:space="0"/>
                  </w:tcBorders>
                  <w:noWrap w:val="0"/>
                  <w:vAlign w:val="center"/>
                </w:tcPr>
                <w:p w14:paraId="64E670A9">
                  <w:pPr>
                    <w:jc w:val="center"/>
                    <w:rPr>
                      <w:rFonts w:hint="default" w:ascii="Times New Roman" w:hAnsi="Times New Roman" w:cs="Times New Roman"/>
                      <w:color w:val="auto"/>
                      <w:kern w:val="0"/>
                      <w:szCs w:val="21"/>
                      <w:highlight w:val="none"/>
                      <w:lang w:bidi="ar"/>
                    </w:rPr>
                  </w:pPr>
                  <w:r>
                    <w:rPr>
                      <w:rFonts w:hint="default" w:ascii="Times New Roman" w:hAnsi="Times New Roman" w:cs="Times New Roman"/>
                      <w:color w:val="auto"/>
                      <w:sz w:val="21"/>
                      <w:szCs w:val="21"/>
                      <w:highlight w:val="none"/>
                    </w:rPr>
                    <w:t>0.5</w:t>
                  </w:r>
                </w:p>
              </w:tc>
            </w:tr>
            <w:tr w14:paraId="0A8EBA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2" w:hRule="atLeast"/>
                <w:jc w:val="center"/>
              </w:trPr>
              <w:tc>
                <w:tcPr>
                  <w:tcW w:w="3486" w:type="pct"/>
                  <w:gridSpan w:val="2"/>
                  <w:tcBorders>
                    <w:top w:val="single" w:color="auto" w:sz="4" w:space="0"/>
                    <w:left w:val="single" w:color="auto" w:sz="4" w:space="0"/>
                    <w:bottom w:val="single" w:color="auto" w:sz="4" w:space="0"/>
                    <w:right w:val="single" w:color="auto" w:sz="4" w:space="0"/>
                  </w:tcBorders>
                  <w:noWrap w:val="0"/>
                  <w:vAlign w:val="center"/>
                </w:tcPr>
                <w:p w14:paraId="667DE137">
                  <w:pPr>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合计</w:t>
                  </w:r>
                </w:p>
              </w:tc>
              <w:tc>
                <w:tcPr>
                  <w:tcW w:w="1513" w:type="pct"/>
                  <w:tcBorders>
                    <w:top w:val="single" w:color="auto" w:sz="4" w:space="0"/>
                    <w:left w:val="single" w:color="auto" w:sz="4" w:space="0"/>
                    <w:bottom w:val="single" w:color="auto" w:sz="4" w:space="0"/>
                    <w:right w:val="single" w:color="auto" w:sz="4" w:space="0"/>
                  </w:tcBorders>
                  <w:noWrap w:val="0"/>
                  <w:vAlign w:val="center"/>
                </w:tcPr>
                <w:p w14:paraId="3E55E60A">
                  <w:pPr>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68.775</w:t>
                  </w:r>
                </w:p>
              </w:tc>
            </w:tr>
          </w:tbl>
          <w:p w14:paraId="6427A723">
            <w:pPr>
              <w:pStyle w:val="32"/>
              <w:spacing w:after="0" w:line="360" w:lineRule="auto"/>
              <w:ind w:left="0" w:leftChars="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实验过程把粉状原料投加至实验容器，这个过程有少量的粉尘外逸，项目使用粉状原料合计68.775kg/a，外逸粉尘按5%计算，则粉尘产生量约为3.44kg/a。</w:t>
            </w:r>
          </w:p>
          <w:p w14:paraId="064140CD">
            <w:pPr>
              <w:pStyle w:val="32"/>
              <w:spacing w:after="0" w:line="360" w:lineRule="auto"/>
              <w:ind w:left="0" w:leftChars="0"/>
              <w:rPr>
                <w:rFonts w:hint="default"/>
                <w:color w:val="auto"/>
                <w:highlight w:val="none"/>
                <w:lang w:val="en-US" w:eastAsia="zh-CN"/>
              </w:rPr>
            </w:pPr>
            <w:r>
              <w:rPr>
                <w:rFonts w:hint="default" w:ascii="Times New Roman" w:hAnsi="Times New Roman" w:eastAsia="宋体" w:cs="Times New Roman"/>
                <w:color w:val="auto"/>
                <w:sz w:val="21"/>
                <w:szCs w:val="21"/>
                <w:highlight w:val="none"/>
              </w:rPr>
              <w:t>项目</w:t>
            </w:r>
            <w:r>
              <w:rPr>
                <w:rFonts w:hint="default" w:ascii="Times New Roman" w:hAnsi="Times New Roman" w:eastAsia="宋体" w:cs="Times New Roman"/>
                <w:color w:val="auto"/>
                <w:sz w:val="21"/>
                <w:szCs w:val="21"/>
                <w:highlight w:val="none"/>
                <w:lang w:val="en-US" w:eastAsia="zh-CN"/>
              </w:rPr>
              <w:t>粉尘废气与有机废气一起经</w:t>
            </w:r>
            <w:r>
              <w:rPr>
                <w:rFonts w:hint="default" w:ascii="Times New Roman" w:hAnsi="Times New Roman" w:eastAsia="宋体" w:cs="Times New Roman"/>
                <w:color w:val="auto"/>
                <w:sz w:val="21"/>
                <w:szCs w:val="21"/>
                <w:highlight w:val="none"/>
              </w:rPr>
              <w:t>密闭车间+</w:t>
            </w:r>
            <w:r>
              <w:rPr>
                <w:rFonts w:hint="default" w:ascii="Times New Roman" w:hAnsi="Times New Roman" w:eastAsia="宋体" w:cs="Times New Roman"/>
                <w:color w:val="auto"/>
                <w:sz w:val="21"/>
                <w:szCs w:val="21"/>
                <w:highlight w:val="none"/>
                <w:lang w:eastAsia="zh-CN"/>
              </w:rPr>
              <w:t>通风柜</w:t>
            </w:r>
            <w:r>
              <w:rPr>
                <w:rFonts w:hint="default" w:ascii="Times New Roman" w:hAnsi="Times New Roman" w:eastAsia="宋体" w:cs="Times New Roman"/>
                <w:color w:val="auto"/>
                <w:sz w:val="21"/>
                <w:szCs w:val="21"/>
                <w:highlight w:val="none"/>
                <w:lang w:val="en-US" w:eastAsia="zh-CN"/>
              </w:rPr>
              <w:t>收集后</w:t>
            </w:r>
            <w:r>
              <w:rPr>
                <w:rFonts w:hint="default" w:ascii="Times New Roman" w:hAnsi="Times New Roman" w:eastAsia="宋体" w:cs="Times New Roman"/>
                <w:color w:val="auto"/>
                <w:sz w:val="21"/>
                <w:szCs w:val="21"/>
                <w:highlight w:val="none"/>
              </w:rPr>
              <w:t>汇入到1套</w:t>
            </w:r>
            <w:r>
              <w:rPr>
                <w:rFonts w:hint="eastAsia" w:ascii="Times New Roman" w:hAnsi="Times New Roman" w:cs="Times New Roman"/>
                <w:color w:val="auto"/>
                <w:sz w:val="21"/>
                <w:szCs w:val="21"/>
                <w:highlight w:val="none"/>
                <w:lang w:val="en-US" w:eastAsia="zh-CN"/>
              </w:rPr>
              <w:t>单</w:t>
            </w:r>
            <w:r>
              <w:rPr>
                <w:rFonts w:hint="eastAsia" w:ascii="Times New Roman" w:hAnsi="Times New Roman" w:eastAsia="宋体" w:cs="Times New Roman"/>
                <w:color w:val="auto"/>
                <w:sz w:val="21"/>
                <w:szCs w:val="21"/>
                <w:highlight w:val="none"/>
                <w:lang w:val="en-US" w:eastAsia="zh-CN"/>
              </w:rPr>
              <w:t>级</w:t>
            </w:r>
            <w:r>
              <w:rPr>
                <w:rFonts w:hint="default" w:ascii="Times New Roman" w:hAnsi="Times New Roman" w:eastAsia="宋体" w:cs="Times New Roman"/>
                <w:color w:val="auto"/>
                <w:sz w:val="21"/>
                <w:szCs w:val="21"/>
                <w:highlight w:val="none"/>
              </w:rPr>
              <w:t>活性炭吸附装置进行处理后经排气筒排放。</w:t>
            </w:r>
            <w:r>
              <w:rPr>
                <w:rFonts w:hint="eastAsia" w:ascii="Times New Roman" w:hAnsi="Times New Roman" w:cs="Times New Roman"/>
                <w:color w:val="auto"/>
                <w:sz w:val="21"/>
                <w:szCs w:val="21"/>
                <w:highlight w:val="none"/>
                <w:lang w:val="en-US" w:eastAsia="zh-CN"/>
              </w:rPr>
              <w:t>根据经验</w:t>
            </w:r>
            <w:r>
              <w:rPr>
                <w:rFonts w:hint="default"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单</w:t>
            </w:r>
            <w:r>
              <w:rPr>
                <w:rFonts w:hint="default" w:ascii="Times New Roman" w:hAnsi="Times New Roman" w:cs="Times New Roman"/>
                <w:color w:val="auto"/>
                <w:sz w:val="21"/>
                <w:szCs w:val="21"/>
                <w:highlight w:val="none"/>
                <w:lang w:val="en-US" w:eastAsia="zh-CN"/>
              </w:rPr>
              <w:t>层密闭负压</w:t>
            </w:r>
            <w:r>
              <w:rPr>
                <w:rFonts w:hint="default" w:ascii="Times New Roman" w:hAnsi="Times New Roman" w:cs="Times New Roman"/>
                <w:color w:val="auto"/>
                <w:sz w:val="21"/>
                <w:szCs w:val="21"/>
                <w:highlight w:val="none"/>
              </w:rPr>
              <w:t>收集</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收集效率为</w:t>
            </w:r>
            <w:r>
              <w:rPr>
                <w:rFonts w:hint="default" w:ascii="Times New Roman" w:hAnsi="Times New Roman" w:cs="Times New Roman"/>
                <w:color w:val="auto"/>
                <w:sz w:val="21"/>
                <w:szCs w:val="21"/>
                <w:highlight w:val="none"/>
                <w:lang w:val="en-US" w:eastAsia="zh-CN"/>
              </w:rPr>
              <w:t>9</w:t>
            </w:r>
            <w:r>
              <w:rPr>
                <w:rFonts w:hint="eastAsia" w:hAnsi="Times New Roman" w:cs="Times New Roman"/>
                <w:color w:val="auto"/>
                <w:sz w:val="21"/>
                <w:szCs w:val="21"/>
                <w:highlight w:val="none"/>
                <w:lang w:val="en-US" w:eastAsia="zh-CN"/>
              </w:rPr>
              <w:t>0</w:t>
            </w:r>
            <w:r>
              <w:rPr>
                <w:rFonts w:hint="default" w:ascii="Times New Roman" w:hAnsi="Times New Roman" w:cs="Times New Roman"/>
                <w:color w:val="auto"/>
                <w:sz w:val="21"/>
                <w:szCs w:val="21"/>
                <w:highlight w:val="none"/>
              </w:rPr>
              <w:t>%，项目</w:t>
            </w:r>
            <w:r>
              <w:rPr>
                <w:rFonts w:hint="eastAsia" w:hAnsi="Times New Roman" w:cs="Times New Roman"/>
                <w:color w:val="auto"/>
                <w:sz w:val="21"/>
                <w:szCs w:val="21"/>
                <w:highlight w:val="none"/>
                <w:lang w:val="en-US" w:eastAsia="zh-CN"/>
              </w:rPr>
              <w:t>实验室为密闭负压设计，</w:t>
            </w:r>
            <w:r>
              <w:rPr>
                <w:rFonts w:hint="default" w:ascii="Times New Roman" w:hAnsi="Times New Roman" w:cs="Times New Roman"/>
                <w:color w:val="auto"/>
                <w:sz w:val="21"/>
                <w:szCs w:val="21"/>
                <w:highlight w:val="none"/>
              </w:rPr>
              <w:t>收集效率</w:t>
            </w:r>
            <w:r>
              <w:rPr>
                <w:rFonts w:hint="default" w:ascii="Times New Roman" w:hAnsi="Times New Roman" w:cs="Times New Roman"/>
                <w:color w:val="auto"/>
                <w:sz w:val="21"/>
                <w:szCs w:val="21"/>
                <w:highlight w:val="none"/>
                <w:lang w:val="en-US" w:eastAsia="zh-CN"/>
              </w:rPr>
              <w:t>按照</w:t>
            </w:r>
            <w:r>
              <w:rPr>
                <w:rFonts w:hint="default" w:ascii="Times New Roman" w:hAnsi="Times New Roman" w:cs="Times New Roman"/>
                <w:color w:val="auto"/>
                <w:sz w:val="21"/>
                <w:szCs w:val="21"/>
                <w:highlight w:val="none"/>
              </w:rPr>
              <w:t>90%</w:t>
            </w:r>
            <w:r>
              <w:rPr>
                <w:rFonts w:hint="default" w:ascii="Times New Roman" w:hAnsi="Times New Roman" w:cs="Times New Roman"/>
                <w:color w:val="auto"/>
                <w:sz w:val="21"/>
                <w:szCs w:val="21"/>
                <w:highlight w:val="none"/>
                <w:lang w:val="en-US" w:eastAsia="zh-CN"/>
              </w:rPr>
              <w:t>计算</w:t>
            </w:r>
            <w:r>
              <w:rPr>
                <w:rFonts w:hint="default" w:ascii="Times New Roman" w:hAnsi="Times New Roman" w:cs="Times New Roman"/>
                <w:color w:val="auto"/>
                <w:sz w:val="21"/>
                <w:szCs w:val="21"/>
                <w:highlight w:val="none"/>
              </w:rPr>
              <w:t>。</w:t>
            </w:r>
          </w:p>
          <w:p w14:paraId="668965AD">
            <w:pPr>
              <w:widowControl/>
              <w:numPr>
                <w:ilvl w:val="0"/>
                <w:numId w:val="0"/>
              </w:numPr>
              <w:spacing w:line="360" w:lineRule="auto"/>
              <w:ind w:leftChars="0"/>
              <w:contextualSpacing/>
              <w:jc w:val="center"/>
              <w:rPr>
                <w:rFonts w:hint="default" w:ascii="Times New Roman" w:hAnsi="Times New Roman" w:eastAsia="宋体" w:cs="Times New Roman"/>
                <w:b/>
                <w:bCs/>
                <w:color w:val="auto"/>
                <w:kern w:val="2"/>
                <w:sz w:val="21"/>
                <w:szCs w:val="21"/>
                <w:highlight w:val="none"/>
                <w:lang w:val="zh-CN" w:eastAsia="zh-CN" w:bidi="ar-SA"/>
              </w:rPr>
            </w:pPr>
            <w:r>
              <w:rPr>
                <w:rFonts w:hint="eastAsia" w:cs="Times New Roman"/>
                <w:b/>
                <w:bCs/>
                <w:color w:val="auto"/>
                <w:kern w:val="2"/>
                <w:sz w:val="21"/>
                <w:szCs w:val="21"/>
                <w:highlight w:val="none"/>
                <w:lang w:val="en-US" w:eastAsia="zh-CN" w:bidi="ar-SA"/>
              </w:rPr>
              <w:t>表25</w:t>
            </w:r>
            <w:r>
              <w:rPr>
                <w:rFonts w:hint="default" w:ascii="Times New Roman" w:hAnsi="Times New Roman" w:eastAsia="宋体" w:cs="Times New Roman"/>
                <w:b/>
                <w:bCs/>
                <w:color w:val="auto"/>
                <w:kern w:val="2"/>
                <w:sz w:val="21"/>
                <w:szCs w:val="21"/>
                <w:highlight w:val="none"/>
                <w:lang w:val="zh-CN" w:eastAsia="zh-CN" w:bidi="ar-SA"/>
              </w:rPr>
              <w:t>废气产排情况一览表（</w:t>
            </w:r>
            <w:r>
              <w:rPr>
                <w:rFonts w:hint="default" w:ascii="Times New Roman" w:hAnsi="Times New Roman" w:eastAsia="宋体" w:cs="Times New Roman"/>
                <w:b/>
                <w:bCs/>
                <w:color w:val="auto"/>
                <w:kern w:val="2"/>
                <w:sz w:val="21"/>
                <w:szCs w:val="21"/>
                <w:highlight w:val="none"/>
                <w:lang w:val="en-US" w:eastAsia="zh-CN" w:bidi="ar-SA"/>
              </w:rPr>
              <w:t>G2排气筒</w:t>
            </w:r>
            <w:r>
              <w:rPr>
                <w:rFonts w:hint="default" w:ascii="Times New Roman" w:hAnsi="Times New Roman" w:eastAsia="宋体" w:cs="Times New Roman"/>
                <w:b/>
                <w:bCs/>
                <w:color w:val="auto"/>
                <w:kern w:val="2"/>
                <w:sz w:val="21"/>
                <w:szCs w:val="21"/>
                <w:highlight w:val="none"/>
                <w:lang w:val="zh-CN" w:eastAsia="zh-CN" w:bidi="ar-SA"/>
              </w:rPr>
              <w:t>）</w:t>
            </w:r>
          </w:p>
          <w:tbl>
            <w:tblPr>
              <w:tblStyle w:val="33"/>
              <w:tblW w:w="430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31"/>
              <w:gridCol w:w="1262"/>
              <w:gridCol w:w="920"/>
              <w:gridCol w:w="1416"/>
              <w:gridCol w:w="1190"/>
              <w:gridCol w:w="1192"/>
            </w:tblGrid>
            <w:tr w14:paraId="1B16DD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73" w:type="pct"/>
                  <w:gridSpan w:val="2"/>
                  <w:noWrap w:val="0"/>
                  <w:vAlign w:val="center"/>
                </w:tcPr>
                <w:p w14:paraId="1E009B63">
                  <w:pPr>
                    <w:widowControl/>
                    <w:jc w:val="center"/>
                    <w:textAlignment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污染物</w:t>
                  </w:r>
                </w:p>
              </w:tc>
              <w:tc>
                <w:tcPr>
                  <w:tcW w:w="629" w:type="pct"/>
                  <w:noWrap w:val="0"/>
                  <w:vAlign w:val="center"/>
                </w:tcPr>
                <w:p w14:paraId="0275FE7E">
                  <w:pPr>
                    <w:widowControl/>
                    <w:jc w:val="center"/>
                    <w:textAlignment w:val="center"/>
                    <w:rPr>
                      <w:rFonts w:hint="default" w:ascii="Times New Roman" w:hAnsi="Times New Roman" w:eastAsia="宋体" w:cs="Times New Roman"/>
                      <w:b/>
                      <w:bCs/>
                      <w:color w:val="auto"/>
                      <w:szCs w:val="21"/>
                      <w:highlight w:val="none"/>
                      <w:lang w:eastAsia="zh-CN"/>
                    </w:rPr>
                  </w:pPr>
                  <w:r>
                    <w:rPr>
                      <w:rFonts w:hint="default" w:ascii="Times New Roman" w:hAnsi="Times New Roman" w:cs="Times New Roman"/>
                      <w:b/>
                      <w:bCs/>
                      <w:color w:val="auto"/>
                      <w:kern w:val="0"/>
                      <w:szCs w:val="21"/>
                      <w:highlight w:val="none"/>
                      <w:lang w:val="en-US" w:eastAsia="zh-CN" w:bidi="ar"/>
                    </w:rPr>
                    <w:t>颗粒物</w:t>
                  </w:r>
                </w:p>
              </w:tc>
              <w:tc>
                <w:tcPr>
                  <w:tcW w:w="968" w:type="pct"/>
                  <w:noWrap w:val="0"/>
                  <w:vAlign w:val="center"/>
                </w:tcPr>
                <w:p w14:paraId="6B345800">
                  <w:pPr>
                    <w:jc w:val="center"/>
                    <w:rPr>
                      <w:rFonts w:hint="default" w:ascii="Times New Roman" w:hAnsi="Times New Roman" w:cs="Times New Roman"/>
                      <w:b/>
                      <w:bCs/>
                      <w:color w:val="auto"/>
                      <w:kern w:val="0"/>
                      <w:szCs w:val="21"/>
                      <w:highlight w:val="none"/>
                      <w:lang w:val="en-US" w:eastAsia="zh-CN" w:bidi="ar"/>
                    </w:rPr>
                  </w:pPr>
                  <w:r>
                    <w:rPr>
                      <w:rFonts w:hint="default" w:ascii="Times New Roman" w:hAnsi="Times New Roman" w:cs="Times New Roman"/>
                      <w:b/>
                      <w:bCs/>
                      <w:color w:val="auto"/>
                      <w:szCs w:val="21"/>
                      <w:highlight w:val="none"/>
                    </w:rPr>
                    <w:t>非甲烷总烃</w:t>
                  </w:r>
                  <w:r>
                    <w:rPr>
                      <w:rFonts w:hint="eastAsia" w:cs="Times New Roman"/>
                      <w:b/>
                      <w:bCs/>
                      <w:color w:val="auto"/>
                      <w:szCs w:val="21"/>
                      <w:highlight w:val="none"/>
                      <w:lang w:eastAsia="zh-CN"/>
                    </w:rPr>
                    <w:t>（</w:t>
                  </w:r>
                  <w:r>
                    <w:rPr>
                      <w:rFonts w:hint="default" w:ascii="Times New Roman" w:hAnsi="Times New Roman" w:cs="Times New Roman"/>
                      <w:b/>
                      <w:bCs/>
                      <w:color w:val="auto"/>
                      <w:szCs w:val="21"/>
                      <w:highlight w:val="none"/>
                      <w:lang w:val="en-US" w:eastAsia="zh-CN"/>
                    </w:rPr>
                    <w:t>TVOC</w:t>
                  </w:r>
                  <w:r>
                    <w:rPr>
                      <w:rFonts w:hint="eastAsia" w:cs="Times New Roman"/>
                      <w:b/>
                      <w:bCs/>
                      <w:color w:val="auto"/>
                      <w:szCs w:val="21"/>
                      <w:highlight w:val="none"/>
                      <w:lang w:val="en-US" w:eastAsia="zh-CN"/>
                    </w:rPr>
                    <w:t>）</w:t>
                  </w:r>
                </w:p>
              </w:tc>
              <w:tc>
                <w:tcPr>
                  <w:tcW w:w="814" w:type="pct"/>
                  <w:noWrap w:val="0"/>
                  <w:vAlign w:val="center"/>
                </w:tcPr>
                <w:p w14:paraId="366A4F97">
                  <w:pPr>
                    <w:jc w:val="center"/>
                    <w:rPr>
                      <w:rFonts w:hint="default" w:ascii="Times New Roman" w:hAnsi="Times New Roman" w:eastAsia="宋体" w:cs="Times New Roman"/>
                      <w:b/>
                      <w:bCs/>
                      <w:color w:val="auto"/>
                      <w:szCs w:val="21"/>
                      <w:highlight w:val="none"/>
                      <w:lang w:val="en-US" w:eastAsia="zh-CN"/>
                    </w:rPr>
                  </w:pPr>
                  <w:r>
                    <w:rPr>
                      <w:rFonts w:hint="eastAsia" w:cs="Times New Roman"/>
                      <w:b/>
                      <w:bCs/>
                      <w:color w:val="auto"/>
                      <w:szCs w:val="21"/>
                      <w:highlight w:val="none"/>
                      <w:lang w:val="en-US" w:eastAsia="zh-CN"/>
                    </w:rPr>
                    <w:t>其中：</w:t>
                  </w:r>
                  <w:r>
                    <w:rPr>
                      <w:rFonts w:hint="default" w:ascii="Times New Roman" w:hAnsi="Times New Roman" w:cs="Times New Roman"/>
                      <w:b/>
                      <w:bCs/>
                      <w:color w:val="auto"/>
                      <w:szCs w:val="21"/>
                      <w:highlight w:val="none"/>
                      <w:lang w:val="en-US" w:eastAsia="zh-CN"/>
                    </w:rPr>
                    <w:t>甲醇</w:t>
                  </w:r>
                </w:p>
              </w:tc>
              <w:tc>
                <w:tcPr>
                  <w:tcW w:w="813" w:type="pct"/>
                  <w:noWrap w:val="0"/>
                  <w:vAlign w:val="center"/>
                </w:tcPr>
                <w:p w14:paraId="0EDBD869">
                  <w:pPr>
                    <w:jc w:val="center"/>
                    <w:rPr>
                      <w:rFonts w:hint="default" w:ascii="Times New Roman" w:hAnsi="Times New Roman" w:cs="Times New Roman"/>
                      <w:b/>
                      <w:bCs/>
                      <w:color w:val="auto"/>
                      <w:szCs w:val="21"/>
                      <w:highlight w:val="none"/>
                      <w:lang w:val="en-US" w:eastAsia="zh-CN"/>
                    </w:rPr>
                  </w:pPr>
                  <w:r>
                    <w:rPr>
                      <w:rFonts w:hint="eastAsia" w:cs="Times New Roman"/>
                      <w:b/>
                      <w:bCs/>
                      <w:color w:val="auto"/>
                      <w:szCs w:val="21"/>
                      <w:highlight w:val="none"/>
                      <w:lang w:val="en-US" w:eastAsia="zh-CN"/>
                    </w:rPr>
                    <w:t>其中：甲苯</w:t>
                  </w:r>
                </w:p>
              </w:tc>
            </w:tr>
            <w:tr w14:paraId="6D3171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73" w:type="pct"/>
                  <w:gridSpan w:val="2"/>
                  <w:noWrap w:val="0"/>
                  <w:vAlign w:val="center"/>
                </w:tcPr>
                <w:p w14:paraId="497ADB9A">
                  <w:pPr>
                    <w:jc w:val="center"/>
                    <w:rPr>
                      <w:rFonts w:hint="default" w:ascii="Times New Roman" w:hAnsi="Times New Roman" w:cs="Times New Roman"/>
                      <w:color w:val="auto"/>
                      <w:szCs w:val="21"/>
                      <w:highlight w:val="none"/>
                    </w:rPr>
                  </w:pPr>
                  <w:r>
                    <w:rPr>
                      <w:rFonts w:hint="default" w:ascii="Times New Roman" w:hAnsi="Times New Roman" w:cs="Times New Roman"/>
                      <w:bCs/>
                      <w:color w:val="auto"/>
                      <w:szCs w:val="21"/>
                      <w:highlight w:val="none"/>
                    </w:rPr>
                    <w:t>收集率</w:t>
                  </w:r>
                </w:p>
              </w:tc>
              <w:tc>
                <w:tcPr>
                  <w:tcW w:w="629" w:type="pct"/>
                  <w:noWrap w:val="0"/>
                  <w:vAlign w:val="center"/>
                </w:tcPr>
                <w:p w14:paraId="2C95B88B">
                  <w:pPr>
                    <w:widowControl/>
                    <w:jc w:val="center"/>
                    <w:textAlignment w:val="center"/>
                    <w:rPr>
                      <w:rFonts w:hint="default" w:ascii="Times New Roman" w:hAnsi="Times New Roman" w:cs="Times New Roman"/>
                      <w:color w:val="auto"/>
                      <w:szCs w:val="21"/>
                      <w:highlight w:val="none"/>
                    </w:rPr>
                  </w:pPr>
                  <w:r>
                    <w:rPr>
                      <w:rFonts w:hint="default" w:ascii="Times New Roman" w:hAnsi="Times New Roman" w:cs="Times New Roman"/>
                      <w:color w:val="auto"/>
                      <w:kern w:val="0"/>
                      <w:szCs w:val="21"/>
                      <w:highlight w:val="none"/>
                      <w:lang w:bidi="ar"/>
                    </w:rPr>
                    <w:t>90%</w:t>
                  </w:r>
                </w:p>
              </w:tc>
              <w:tc>
                <w:tcPr>
                  <w:tcW w:w="968" w:type="pct"/>
                  <w:noWrap w:val="0"/>
                  <w:vAlign w:val="center"/>
                </w:tcPr>
                <w:p w14:paraId="379B16EE">
                  <w:pPr>
                    <w:widowControl/>
                    <w:jc w:val="center"/>
                    <w:textAlignment w:val="center"/>
                    <w:rPr>
                      <w:rFonts w:hint="default" w:ascii="Times New Roman" w:hAnsi="Times New Roman" w:eastAsia="宋体" w:cs="Times New Roman"/>
                      <w:color w:val="auto"/>
                      <w:kern w:val="0"/>
                      <w:szCs w:val="21"/>
                      <w:highlight w:val="none"/>
                      <w:lang w:val="en-US" w:eastAsia="zh-CN" w:bidi="ar"/>
                    </w:rPr>
                  </w:pPr>
                  <w:r>
                    <w:rPr>
                      <w:rFonts w:hint="default" w:ascii="Times New Roman" w:hAnsi="Times New Roman" w:cs="Times New Roman"/>
                      <w:color w:val="auto"/>
                      <w:kern w:val="0"/>
                      <w:szCs w:val="21"/>
                      <w:highlight w:val="none"/>
                      <w:lang w:bidi="ar"/>
                    </w:rPr>
                    <w:t>90%</w:t>
                  </w:r>
                </w:p>
              </w:tc>
              <w:tc>
                <w:tcPr>
                  <w:tcW w:w="814" w:type="pct"/>
                  <w:noWrap w:val="0"/>
                  <w:vAlign w:val="center"/>
                </w:tcPr>
                <w:p w14:paraId="6FA7D7C5">
                  <w:pPr>
                    <w:widowControl/>
                    <w:jc w:val="center"/>
                    <w:textAlignment w:val="center"/>
                    <w:rPr>
                      <w:rFonts w:hint="default" w:ascii="Times New Roman" w:hAnsi="Times New Roman" w:cs="Times New Roman"/>
                      <w:color w:val="auto"/>
                      <w:kern w:val="0"/>
                      <w:szCs w:val="21"/>
                      <w:highlight w:val="none"/>
                      <w:lang w:bidi="ar"/>
                    </w:rPr>
                  </w:pPr>
                  <w:r>
                    <w:rPr>
                      <w:rFonts w:hint="default" w:ascii="Times New Roman" w:hAnsi="Times New Roman" w:cs="Times New Roman"/>
                      <w:color w:val="auto"/>
                      <w:kern w:val="0"/>
                      <w:szCs w:val="21"/>
                      <w:highlight w:val="none"/>
                      <w:lang w:bidi="ar"/>
                    </w:rPr>
                    <w:t>90%</w:t>
                  </w:r>
                </w:p>
              </w:tc>
              <w:tc>
                <w:tcPr>
                  <w:tcW w:w="813" w:type="pct"/>
                  <w:noWrap w:val="0"/>
                  <w:vAlign w:val="center"/>
                </w:tcPr>
                <w:p w14:paraId="26264C4C">
                  <w:pPr>
                    <w:widowControl/>
                    <w:jc w:val="center"/>
                    <w:textAlignment w:val="center"/>
                    <w:rPr>
                      <w:rFonts w:hint="default" w:ascii="Times New Roman" w:hAnsi="Times New Roman" w:eastAsia="宋体" w:cs="Times New Roman"/>
                      <w:color w:val="auto"/>
                      <w:kern w:val="0"/>
                      <w:szCs w:val="21"/>
                      <w:highlight w:val="none"/>
                      <w:lang w:val="en-US" w:eastAsia="zh-CN" w:bidi="ar"/>
                    </w:rPr>
                  </w:pPr>
                  <w:r>
                    <w:rPr>
                      <w:rFonts w:hint="eastAsia" w:cs="Times New Roman"/>
                      <w:color w:val="auto"/>
                      <w:kern w:val="0"/>
                      <w:szCs w:val="21"/>
                      <w:highlight w:val="none"/>
                      <w:lang w:val="en-US" w:eastAsia="zh-CN" w:bidi="ar"/>
                    </w:rPr>
                    <w:t>90%</w:t>
                  </w:r>
                </w:p>
              </w:tc>
            </w:tr>
            <w:tr w14:paraId="42AAC4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73" w:type="pct"/>
                  <w:gridSpan w:val="2"/>
                  <w:noWrap w:val="0"/>
                  <w:vAlign w:val="center"/>
                </w:tcPr>
                <w:p w14:paraId="7373ADBD">
                  <w:pPr>
                    <w:jc w:val="center"/>
                    <w:rPr>
                      <w:rFonts w:hint="default" w:ascii="Times New Roman" w:hAnsi="Times New Roman" w:cs="Times New Roman"/>
                      <w:color w:val="auto"/>
                      <w:szCs w:val="21"/>
                      <w:highlight w:val="none"/>
                    </w:rPr>
                  </w:pPr>
                  <w:r>
                    <w:rPr>
                      <w:rFonts w:hint="default" w:ascii="Times New Roman" w:hAnsi="Times New Roman" w:cs="Times New Roman"/>
                      <w:bCs/>
                      <w:color w:val="auto"/>
                      <w:szCs w:val="21"/>
                      <w:highlight w:val="none"/>
                    </w:rPr>
                    <w:t>去除率</w:t>
                  </w:r>
                </w:p>
              </w:tc>
              <w:tc>
                <w:tcPr>
                  <w:tcW w:w="629" w:type="pct"/>
                  <w:noWrap w:val="0"/>
                  <w:vAlign w:val="center"/>
                </w:tcPr>
                <w:p w14:paraId="3A166366">
                  <w:pPr>
                    <w:jc w:val="center"/>
                    <w:rPr>
                      <w:rFonts w:hint="default" w:ascii="Times New Roman" w:hAnsi="Times New Roman" w:eastAsia="宋体" w:cs="Times New Roman"/>
                      <w:color w:val="auto"/>
                      <w:szCs w:val="21"/>
                      <w:highlight w:val="none"/>
                      <w:lang w:eastAsia="zh-CN"/>
                    </w:rPr>
                  </w:pPr>
                  <w:r>
                    <w:rPr>
                      <w:rFonts w:hint="default" w:ascii="Times New Roman" w:hAnsi="Times New Roman" w:cs="Times New Roman"/>
                      <w:color w:val="auto"/>
                      <w:szCs w:val="21"/>
                      <w:highlight w:val="none"/>
                      <w:lang w:val="en-US" w:eastAsia="zh-CN"/>
                    </w:rPr>
                    <w:t>0</w:t>
                  </w:r>
                </w:p>
              </w:tc>
              <w:tc>
                <w:tcPr>
                  <w:tcW w:w="968" w:type="pct"/>
                  <w:noWrap w:val="0"/>
                  <w:vAlign w:val="center"/>
                </w:tcPr>
                <w:p w14:paraId="122AC82B">
                  <w:pPr>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60%</w:t>
                  </w:r>
                </w:p>
              </w:tc>
              <w:tc>
                <w:tcPr>
                  <w:tcW w:w="814" w:type="pct"/>
                  <w:noWrap w:val="0"/>
                  <w:vAlign w:val="center"/>
                </w:tcPr>
                <w:p w14:paraId="574C0374">
                  <w:pPr>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60%</w:t>
                  </w:r>
                </w:p>
              </w:tc>
              <w:tc>
                <w:tcPr>
                  <w:tcW w:w="813" w:type="pct"/>
                  <w:noWrap w:val="0"/>
                  <w:vAlign w:val="center"/>
                </w:tcPr>
                <w:p w14:paraId="6EA1D73E">
                  <w:pPr>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60%</w:t>
                  </w:r>
                </w:p>
              </w:tc>
            </w:tr>
            <w:tr w14:paraId="38AA36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73" w:type="pct"/>
                  <w:gridSpan w:val="2"/>
                  <w:noWrap w:val="0"/>
                  <w:vAlign w:val="center"/>
                </w:tcPr>
                <w:p w14:paraId="2871B519">
                  <w:pPr>
                    <w:widowControl/>
                    <w:jc w:val="center"/>
                    <w:textAlignment w:val="center"/>
                    <w:rPr>
                      <w:rFonts w:hint="default" w:ascii="Times New Roman" w:hAnsi="Times New Roman" w:cs="Times New Roman"/>
                      <w:color w:val="auto"/>
                      <w:kern w:val="0"/>
                      <w:szCs w:val="21"/>
                      <w:highlight w:val="none"/>
                      <w:lang w:bidi="ar"/>
                    </w:rPr>
                  </w:pPr>
                  <w:r>
                    <w:rPr>
                      <w:rFonts w:hint="default" w:ascii="Times New Roman" w:hAnsi="Times New Roman" w:cs="Times New Roman"/>
                      <w:color w:val="auto"/>
                      <w:kern w:val="0"/>
                      <w:szCs w:val="21"/>
                      <w:highlight w:val="none"/>
                      <w:lang w:bidi="ar"/>
                    </w:rPr>
                    <w:t>总产生量</w:t>
                  </w:r>
                </w:p>
                <w:p w14:paraId="70E1802E">
                  <w:pPr>
                    <w:widowControl/>
                    <w:jc w:val="center"/>
                    <w:textAlignment w:val="center"/>
                    <w:rPr>
                      <w:rFonts w:hint="default" w:ascii="Times New Roman" w:hAnsi="Times New Roman" w:cs="Times New Roman"/>
                      <w:bCs/>
                      <w:color w:val="auto"/>
                      <w:szCs w:val="21"/>
                      <w:highlight w:val="none"/>
                    </w:rPr>
                  </w:pPr>
                  <w:r>
                    <w:rPr>
                      <w:rFonts w:hint="default" w:ascii="Times New Roman" w:hAnsi="Times New Roman" w:cs="Times New Roman"/>
                      <w:color w:val="auto"/>
                      <w:kern w:val="0"/>
                      <w:szCs w:val="21"/>
                      <w:highlight w:val="none"/>
                      <w:lang w:bidi="ar"/>
                    </w:rPr>
                    <w:t>（kg/a）</w:t>
                  </w:r>
                </w:p>
              </w:tc>
              <w:tc>
                <w:tcPr>
                  <w:tcW w:w="629" w:type="pct"/>
                  <w:noWrap w:val="0"/>
                  <w:vAlign w:val="center"/>
                </w:tcPr>
                <w:p w14:paraId="61532A6C">
                  <w:pPr>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3.44</w:t>
                  </w:r>
                </w:p>
              </w:tc>
              <w:tc>
                <w:tcPr>
                  <w:tcW w:w="968" w:type="pct"/>
                  <w:noWrap w:val="0"/>
                  <w:vAlign w:val="center"/>
                </w:tcPr>
                <w:p w14:paraId="6BA07F22">
                  <w:pPr>
                    <w:jc w:val="center"/>
                    <w:rPr>
                      <w:rFonts w:hint="default" w:ascii="Times New Roman" w:hAnsi="Times New Roman" w:eastAsia="宋体" w:cs="Times New Roman"/>
                      <w:color w:val="auto"/>
                      <w:kern w:val="0"/>
                      <w:szCs w:val="21"/>
                      <w:highlight w:val="none"/>
                      <w:lang w:val="en-US" w:eastAsia="zh-CN"/>
                    </w:rPr>
                  </w:pPr>
                  <w:r>
                    <w:rPr>
                      <w:rFonts w:hint="eastAsia" w:cs="Times New Roman"/>
                      <w:color w:val="auto"/>
                      <w:kern w:val="0"/>
                      <w:szCs w:val="21"/>
                      <w:highlight w:val="none"/>
                      <w:lang w:val="en-US" w:eastAsia="zh-CN"/>
                    </w:rPr>
                    <w:t>6.892</w:t>
                  </w:r>
                </w:p>
              </w:tc>
              <w:tc>
                <w:tcPr>
                  <w:tcW w:w="814" w:type="pct"/>
                  <w:noWrap w:val="0"/>
                  <w:vAlign w:val="center"/>
                </w:tcPr>
                <w:p w14:paraId="465B3A97">
                  <w:pPr>
                    <w:jc w:val="center"/>
                    <w:rPr>
                      <w:rFonts w:hint="default" w:ascii="Times New Roman" w:hAnsi="Times New Roman" w:eastAsia="宋体" w:cs="Times New Roman"/>
                      <w:color w:val="auto"/>
                      <w:kern w:val="0"/>
                      <w:szCs w:val="21"/>
                      <w:highlight w:val="none"/>
                      <w:lang w:val="en-US" w:eastAsia="zh-CN"/>
                    </w:rPr>
                  </w:pPr>
                  <w:r>
                    <w:rPr>
                      <w:rFonts w:hint="eastAsia" w:cs="Times New Roman"/>
                      <w:color w:val="auto"/>
                      <w:kern w:val="0"/>
                      <w:szCs w:val="21"/>
                      <w:highlight w:val="none"/>
                      <w:lang w:val="en-US" w:eastAsia="zh-CN"/>
                    </w:rPr>
                    <w:t>0.75</w:t>
                  </w:r>
                </w:p>
              </w:tc>
              <w:tc>
                <w:tcPr>
                  <w:tcW w:w="813" w:type="pct"/>
                  <w:noWrap w:val="0"/>
                  <w:vAlign w:val="center"/>
                </w:tcPr>
                <w:p w14:paraId="3078FE71">
                  <w:pPr>
                    <w:jc w:val="center"/>
                    <w:rPr>
                      <w:rFonts w:hint="default" w:ascii="Times New Roman" w:hAnsi="Times New Roman" w:eastAsia="宋体" w:cs="Times New Roman"/>
                      <w:color w:val="auto"/>
                      <w:kern w:val="0"/>
                      <w:szCs w:val="21"/>
                      <w:highlight w:val="none"/>
                      <w:lang w:val="en-US" w:eastAsia="zh-CN"/>
                    </w:rPr>
                  </w:pPr>
                  <w:r>
                    <w:rPr>
                      <w:rFonts w:hint="eastAsia" w:cs="Times New Roman"/>
                      <w:color w:val="auto"/>
                      <w:kern w:val="0"/>
                      <w:szCs w:val="21"/>
                      <w:highlight w:val="none"/>
                      <w:lang w:val="en-US" w:eastAsia="zh-CN"/>
                    </w:rPr>
                    <w:t>1.5</w:t>
                  </w:r>
                </w:p>
              </w:tc>
            </w:tr>
            <w:tr w14:paraId="0C1DB5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73" w:type="pct"/>
                  <w:gridSpan w:val="2"/>
                  <w:noWrap w:val="0"/>
                  <w:vAlign w:val="center"/>
                </w:tcPr>
                <w:p w14:paraId="2B8FCCFB">
                  <w:pPr>
                    <w:widowControl/>
                    <w:jc w:val="center"/>
                    <w:textAlignment w:val="center"/>
                    <w:rPr>
                      <w:rFonts w:hint="default" w:ascii="Times New Roman" w:hAnsi="Times New Roman" w:cs="Times New Roman"/>
                      <w:color w:val="auto"/>
                      <w:kern w:val="0"/>
                      <w:szCs w:val="21"/>
                      <w:highlight w:val="none"/>
                      <w:lang w:bidi="ar"/>
                    </w:rPr>
                  </w:pPr>
                  <w:r>
                    <w:rPr>
                      <w:rFonts w:hint="default" w:ascii="Times New Roman" w:hAnsi="Times New Roman" w:cs="Times New Roman"/>
                      <w:color w:val="auto"/>
                      <w:kern w:val="0"/>
                      <w:szCs w:val="21"/>
                      <w:highlight w:val="none"/>
                      <w:lang w:bidi="ar"/>
                    </w:rPr>
                    <w:t>风量（m</w:t>
                  </w:r>
                  <w:r>
                    <w:rPr>
                      <w:rFonts w:hint="default" w:ascii="Times New Roman" w:hAnsi="Times New Roman" w:cs="Times New Roman"/>
                      <w:color w:val="auto"/>
                      <w:kern w:val="0"/>
                      <w:szCs w:val="21"/>
                      <w:highlight w:val="none"/>
                      <w:vertAlign w:val="superscript"/>
                      <w:lang w:bidi="ar"/>
                    </w:rPr>
                    <w:t>3</w:t>
                  </w:r>
                  <w:r>
                    <w:rPr>
                      <w:rFonts w:hint="default" w:ascii="Times New Roman" w:hAnsi="Times New Roman" w:cs="Times New Roman"/>
                      <w:color w:val="auto"/>
                      <w:kern w:val="0"/>
                      <w:szCs w:val="21"/>
                      <w:highlight w:val="none"/>
                      <w:lang w:bidi="ar"/>
                    </w:rPr>
                    <w:t>/h）</w:t>
                  </w:r>
                </w:p>
              </w:tc>
              <w:tc>
                <w:tcPr>
                  <w:tcW w:w="3226" w:type="pct"/>
                  <w:gridSpan w:val="4"/>
                  <w:noWrap w:val="0"/>
                  <w:vAlign w:val="center"/>
                </w:tcPr>
                <w:p w14:paraId="2109ABEE">
                  <w:pPr>
                    <w:jc w:val="center"/>
                    <w:rPr>
                      <w:rFonts w:hint="default" w:ascii="Times New Roman" w:hAnsi="Times New Roman" w:cs="Times New Roman"/>
                      <w:bCs/>
                      <w:color w:val="auto"/>
                      <w:szCs w:val="21"/>
                      <w:highlight w:val="none"/>
                      <w:lang w:val="en-US" w:eastAsia="zh-CN"/>
                    </w:rPr>
                  </w:pPr>
                  <w:r>
                    <w:rPr>
                      <w:rFonts w:hint="eastAsia" w:cs="Times New Roman"/>
                      <w:bCs/>
                      <w:color w:val="auto"/>
                      <w:szCs w:val="21"/>
                      <w:highlight w:val="none"/>
                      <w:lang w:val="en-US" w:eastAsia="zh-CN"/>
                    </w:rPr>
                    <w:t>13000</w:t>
                  </w:r>
                </w:p>
              </w:tc>
            </w:tr>
            <w:tr w14:paraId="0AE2D7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73" w:type="pct"/>
                  <w:gridSpan w:val="2"/>
                  <w:noWrap w:val="0"/>
                  <w:vAlign w:val="center"/>
                </w:tcPr>
                <w:p w14:paraId="7C875950">
                  <w:pPr>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工作时间（h）</w:t>
                  </w:r>
                </w:p>
              </w:tc>
              <w:tc>
                <w:tcPr>
                  <w:tcW w:w="3226" w:type="pct"/>
                  <w:gridSpan w:val="4"/>
                  <w:noWrap w:val="0"/>
                  <w:vAlign w:val="center"/>
                </w:tcPr>
                <w:p w14:paraId="7E8A11D4">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w:t>
                  </w:r>
                  <w:r>
                    <w:rPr>
                      <w:rFonts w:hint="default" w:ascii="Times New Roman" w:hAnsi="Times New Roman" w:cs="Times New Roman"/>
                      <w:color w:val="auto"/>
                      <w:szCs w:val="21"/>
                      <w:highlight w:val="none"/>
                      <w:lang w:val="en-US" w:eastAsia="zh-CN"/>
                    </w:rPr>
                    <w:t>40</w:t>
                  </w:r>
                  <w:r>
                    <w:rPr>
                      <w:rFonts w:hint="default" w:ascii="Times New Roman" w:hAnsi="Times New Roman" w:cs="Times New Roman"/>
                      <w:color w:val="auto"/>
                      <w:szCs w:val="21"/>
                      <w:highlight w:val="none"/>
                    </w:rPr>
                    <w:t>0</w:t>
                  </w:r>
                </w:p>
              </w:tc>
            </w:tr>
            <w:tr w14:paraId="613139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0" w:type="pct"/>
                  <w:vMerge w:val="restart"/>
                  <w:noWrap w:val="0"/>
                  <w:vAlign w:val="center"/>
                </w:tcPr>
                <w:p w14:paraId="39539366">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有组织排放</w:t>
                  </w:r>
                </w:p>
              </w:tc>
              <w:tc>
                <w:tcPr>
                  <w:tcW w:w="862" w:type="pct"/>
                  <w:noWrap w:val="0"/>
                  <w:vAlign w:val="center"/>
                </w:tcPr>
                <w:p w14:paraId="7C6F1A4E">
                  <w:pPr>
                    <w:widowControl/>
                    <w:jc w:val="center"/>
                    <w:textAlignment w:val="center"/>
                    <w:rPr>
                      <w:rFonts w:hint="default" w:ascii="Times New Roman" w:hAnsi="Times New Roman" w:cs="Times New Roman"/>
                      <w:color w:val="auto"/>
                      <w:szCs w:val="21"/>
                      <w:highlight w:val="none"/>
                    </w:rPr>
                  </w:pPr>
                  <w:r>
                    <w:rPr>
                      <w:rFonts w:hint="eastAsia" w:cs="Times New Roman"/>
                      <w:color w:val="auto"/>
                      <w:kern w:val="0"/>
                      <w:szCs w:val="21"/>
                      <w:highlight w:val="none"/>
                      <w:lang w:val="en-US" w:eastAsia="zh-CN" w:bidi="ar"/>
                    </w:rPr>
                    <w:t>收集</w:t>
                  </w:r>
                  <w:r>
                    <w:rPr>
                      <w:rFonts w:hint="default" w:ascii="Times New Roman" w:hAnsi="Times New Roman" w:cs="Times New Roman"/>
                      <w:color w:val="auto"/>
                      <w:kern w:val="0"/>
                      <w:szCs w:val="21"/>
                      <w:highlight w:val="none"/>
                      <w:lang w:bidi="ar"/>
                    </w:rPr>
                    <w:t>量（kg/a）</w:t>
                  </w:r>
                </w:p>
              </w:tc>
              <w:tc>
                <w:tcPr>
                  <w:tcW w:w="920" w:type="dxa"/>
                  <w:noWrap w:val="0"/>
                  <w:vAlign w:val="center"/>
                </w:tcPr>
                <w:p w14:paraId="4FD2F5B6">
                  <w:pPr>
                    <w:keepNext w:val="0"/>
                    <w:keepLines w:val="0"/>
                    <w:widowControl/>
                    <w:suppressLineNumbers w:val="0"/>
                    <w:jc w:val="center"/>
                    <w:textAlignment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3.096</w:t>
                  </w:r>
                </w:p>
              </w:tc>
              <w:tc>
                <w:tcPr>
                  <w:tcW w:w="1416" w:type="dxa"/>
                  <w:noWrap w:val="0"/>
                  <w:vAlign w:val="center"/>
                </w:tcPr>
                <w:p w14:paraId="2F8FC731">
                  <w:pPr>
                    <w:keepNext w:val="0"/>
                    <w:keepLines w:val="0"/>
                    <w:widowControl/>
                    <w:suppressLineNumbers w:val="0"/>
                    <w:jc w:val="center"/>
                    <w:textAlignment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6.2028</w:t>
                  </w:r>
                </w:p>
              </w:tc>
              <w:tc>
                <w:tcPr>
                  <w:tcW w:w="1190" w:type="dxa"/>
                  <w:noWrap w:val="0"/>
                  <w:vAlign w:val="center"/>
                </w:tcPr>
                <w:p w14:paraId="27A2821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0.675</w:t>
                  </w:r>
                </w:p>
              </w:tc>
              <w:tc>
                <w:tcPr>
                  <w:tcW w:w="1192" w:type="dxa"/>
                  <w:noWrap w:val="0"/>
                  <w:vAlign w:val="center"/>
                </w:tcPr>
                <w:p w14:paraId="18B5BE4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1.35</w:t>
                  </w:r>
                </w:p>
              </w:tc>
            </w:tr>
            <w:tr w14:paraId="6BD0E5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0" w:type="pct"/>
                  <w:vMerge w:val="continue"/>
                  <w:noWrap w:val="0"/>
                  <w:vAlign w:val="center"/>
                </w:tcPr>
                <w:p w14:paraId="0D93498C">
                  <w:pPr>
                    <w:jc w:val="center"/>
                    <w:rPr>
                      <w:rFonts w:hint="default" w:ascii="Times New Roman" w:hAnsi="Times New Roman" w:cs="Times New Roman"/>
                      <w:color w:val="auto"/>
                      <w:szCs w:val="21"/>
                      <w:highlight w:val="none"/>
                    </w:rPr>
                  </w:pPr>
                </w:p>
              </w:tc>
              <w:tc>
                <w:tcPr>
                  <w:tcW w:w="862" w:type="pct"/>
                  <w:noWrap w:val="0"/>
                  <w:vAlign w:val="center"/>
                </w:tcPr>
                <w:p w14:paraId="1BFFADAA">
                  <w:pPr>
                    <w:widowControl/>
                    <w:jc w:val="center"/>
                    <w:textAlignment w:val="center"/>
                    <w:rPr>
                      <w:rFonts w:hint="default" w:ascii="Times New Roman" w:hAnsi="Times New Roman" w:cs="Times New Roman"/>
                      <w:color w:val="auto"/>
                      <w:kern w:val="0"/>
                      <w:szCs w:val="21"/>
                      <w:highlight w:val="none"/>
                      <w:lang w:bidi="ar"/>
                    </w:rPr>
                  </w:pPr>
                  <w:r>
                    <w:rPr>
                      <w:rFonts w:hint="default" w:ascii="Times New Roman" w:hAnsi="Times New Roman" w:cs="Times New Roman"/>
                      <w:color w:val="auto"/>
                      <w:kern w:val="0"/>
                      <w:szCs w:val="21"/>
                      <w:highlight w:val="none"/>
                      <w:lang w:bidi="ar"/>
                    </w:rPr>
                    <w:t>产生速率（kg/h）</w:t>
                  </w:r>
                </w:p>
              </w:tc>
              <w:tc>
                <w:tcPr>
                  <w:tcW w:w="920" w:type="dxa"/>
                  <w:noWrap w:val="0"/>
                  <w:vAlign w:val="center"/>
                </w:tcPr>
                <w:p w14:paraId="6E1B2BCD">
                  <w:pPr>
                    <w:keepNext w:val="0"/>
                    <w:keepLines w:val="0"/>
                    <w:widowControl/>
                    <w:suppressLineNumbers w:val="0"/>
                    <w:jc w:val="center"/>
                    <w:textAlignment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0.00129</w:t>
                  </w:r>
                </w:p>
              </w:tc>
              <w:tc>
                <w:tcPr>
                  <w:tcW w:w="1416" w:type="dxa"/>
                  <w:noWrap w:val="0"/>
                  <w:vAlign w:val="center"/>
                </w:tcPr>
                <w:p w14:paraId="56BBC5C4">
                  <w:pPr>
                    <w:keepNext w:val="0"/>
                    <w:keepLines w:val="0"/>
                    <w:widowControl/>
                    <w:suppressLineNumbers w:val="0"/>
                    <w:jc w:val="center"/>
                    <w:textAlignment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0.00258</w:t>
                  </w:r>
                </w:p>
              </w:tc>
              <w:tc>
                <w:tcPr>
                  <w:tcW w:w="1190" w:type="dxa"/>
                  <w:noWrap w:val="0"/>
                  <w:vAlign w:val="center"/>
                </w:tcPr>
                <w:p w14:paraId="3C4DE24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0.00028</w:t>
                  </w:r>
                </w:p>
              </w:tc>
              <w:tc>
                <w:tcPr>
                  <w:tcW w:w="1192" w:type="dxa"/>
                  <w:noWrap w:val="0"/>
                  <w:vAlign w:val="center"/>
                </w:tcPr>
                <w:p w14:paraId="4A3F04A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0.00056</w:t>
                  </w:r>
                </w:p>
              </w:tc>
            </w:tr>
            <w:tr w14:paraId="504176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0" w:type="pct"/>
                  <w:vMerge w:val="continue"/>
                  <w:noWrap w:val="0"/>
                  <w:vAlign w:val="center"/>
                </w:tcPr>
                <w:p w14:paraId="5E54DBFA">
                  <w:pPr>
                    <w:jc w:val="center"/>
                    <w:rPr>
                      <w:rFonts w:hint="default" w:ascii="Times New Roman" w:hAnsi="Times New Roman" w:cs="Times New Roman"/>
                      <w:color w:val="auto"/>
                      <w:szCs w:val="21"/>
                      <w:highlight w:val="none"/>
                    </w:rPr>
                  </w:pPr>
                </w:p>
              </w:tc>
              <w:tc>
                <w:tcPr>
                  <w:tcW w:w="862" w:type="pct"/>
                  <w:noWrap w:val="0"/>
                  <w:vAlign w:val="center"/>
                </w:tcPr>
                <w:p w14:paraId="10275493">
                  <w:pPr>
                    <w:widowControl/>
                    <w:jc w:val="center"/>
                    <w:textAlignment w:val="center"/>
                    <w:rPr>
                      <w:rFonts w:hint="default" w:ascii="Times New Roman" w:hAnsi="Times New Roman" w:cs="Times New Roman"/>
                      <w:color w:val="auto"/>
                      <w:kern w:val="0"/>
                      <w:szCs w:val="21"/>
                      <w:highlight w:val="none"/>
                      <w:lang w:bidi="ar"/>
                    </w:rPr>
                  </w:pPr>
                  <w:r>
                    <w:rPr>
                      <w:rFonts w:hint="default" w:ascii="Times New Roman" w:hAnsi="Times New Roman" w:cs="Times New Roman"/>
                      <w:color w:val="auto"/>
                      <w:kern w:val="0"/>
                      <w:szCs w:val="21"/>
                      <w:highlight w:val="none"/>
                      <w:lang w:bidi="ar"/>
                    </w:rPr>
                    <w:t>产生浓度（mg/m</w:t>
                  </w:r>
                  <w:r>
                    <w:rPr>
                      <w:rFonts w:hint="default" w:ascii="Times New Roman" w:hAnsi="Times New Roman" w:cs="Times New Roman"/>
                      <w:color w:val="auto"/>
                      <w:kern w:val="0"/>
                      <w:szCs w:val="21"/>
                      <w:highlight w:val="none"/>
                      <w:vertAlign w:val="superscript"/>
                      <w:lang w:bidi="ar"/>
                    </w:rPr>
                    <w:t>3</w:t>
                  </w:r>
                  <w:r>
                    <w:rPr>
                      <w:rFonts w:hint="default" w:ascii="Times New Roman" w:hAnsi="Times New Roman" w:cs="Times New Roman"/>
                      <w:color w:val="auto"/>
                      <w:kern w:val="0"/>
                      <w:szCs w:val="21"/>
                      <w:highlight w:val="none"/>
                      <w:lang w:bidi="ar"/>
                    </w:rPr>
                    <w:t>）</w:t>
                  </w:r>
                </w:p>
              </w:tc>
              <w:tc>
                <w:tcPr>
                  <w:tcW w:w="920" w:type="dxa"/>
                  <w:noWrap w:val="0"/>
                  <w:vAlign w:val="center"/>
                </w:tcPr>
                <w:p w14:paraId="64D52C2D">
                  <w:pPr>
                    <w:keepNext w:val="0"/>
                    <w:keepLines w:val="0"/>
                    <w:widowControl/>
                    <w:suppressLineNumbers w:val="0"/>
                    <w:jc w:val="center"/>
                    <w:textAlignment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0.0992</w:t>
                  </w:r>
                </w:p>
              </w:tc>
              <w:tc>
                <w:tcPr>
                  <w:tcW w:w="1416" w:type="dxa"/>
                  <w:noWrap w:val="0"/>
                  <w:vAlign w:val="center"/>
                </w:tcPr>
                <w:p w14:paraId="3EEA9542">
                  <w:pPr>
                    <w:keepNext w:val="0"/>
                    <w:keepLines w:val="0"/>
                    <w:widowControl/>
                    <w:suppressLineNumbers w:val="0"/>
                    <w:jc w:val="center"/>
                    <w:textAlignment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0.1985</w:t>
                  </w:r>
                </w:p>
              </w:tc>
              <w:tc>
                <w:tcPr>
                  <w:tcW w:w="1190" w:type="dxa"/>
                  <w:noWrap w:val="0"/>
                  <w:vAlign w:val="center"/>
                </w:tcPr>
                <w:p w14:paraId="3DA31DA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0.0215</w:t>
                  </w:r>
                </w:p>
              </w:tc>
              <w:tc>
                <w:tcPr>
                  <w:tcW w:w="1192" w:type="dxa"/>
                  <w:noWrap w:val="0"/>
                  <w:vAlign w:val="center"/>
                </w:tcPr>
                <w:p w14:paraId="4DA0FD1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0.0431</w:t>
                  </w:r>
                </w:p>
              </w:tc>
            </w:tr>
            <w:tr w14:paraId="20760A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0" w:type="pct"/>
                  <w:vMerge w:val="continue"/>
                  <w:noWrap w:val="0"/>
                  <w:vAlign w:val="center"/>
                </w:tcPr>
                <w:p w14:paraId="6A27A58A">
                  <w:pPr>
                    <w:jc w:val="center"/>
                    <w:rPr>
                      <w:rFonts w:hint="default" w:ascii="Times New Roman" w:hAnsi="Times New Roman" w:cs="Times New Roman"/>
                      <w:color w:val="auto"/>
                      <w:szCs w:val="21"/>
                      <w:highlight w:val="none"/>
                    </w:rPr>
                  </w:pPr>
                </w:p>
              </w:tc>
              <w:tc>
                <w:tcPr>
                  <w:tcW w:w="862" w:type="pct"/>
                  <w:noWrap w:val="0"/>
                  <w:vAlign w:val="center"/>
                </w:tcPr>
                <w:p w14:paraId="087DBC82">
                  <w:pPr>
                    <w:widowControl/>
                    <w:jc w:val="center"/>
                    <w:textAlignment w:val="center"/>
                    <w:rPr>
                      <w:rFonts w:hint="default" w:ascii="Times New Roman" w:hAnsi="Times New Roman" w:cs="Times New Roman"/>
                      <w:color w:val="auto"/>
                      <w:kern w:val="0"/>
                      <w:szCs w:val="21"/>
                      <w:highlight w:val="none"/>
                      <w:lang w:bidi="ar"/>
                    </w:rPr>
                  </w:pPr>
                  <w:r>
                    <w:rPr>
                      <w:rFonts w:hint="default" w:ascii="Times New Roman" w:hAnsi="Times New Roman" w:cs="Times New Roman"/>
                      <w:color w:val="auto"/>
                      <w:kern w:val="0"/>
                      <w:szCs w:val="21"/>
                      <w:highlight w:val="none"/>
                      <w:lang w:bidi="ar"/>
                    </w:rPr>
                    <w:t>排放量（kg/a）</w:t>
                  </w:r>
                </w:p>
              </w:tc>
              <w:tc>
                <w:tcPr>
                  <w:tcW w:w="920" w:type="dxa"/>
                  <w:noWrap w:val="0"/>
                  <w:vAlign w:val="center"/>
                </w:tcPr>
                <w:p w14:paraId="5E07CAC3">
                  <w:pPr>
                    <w:keepNext w:val="0"/>
                    <w:keepLines w:val="0"/>
                    <w:widowControl/>
                    <w:suppressLineNumbers w:val="0"/>
                    <w:jc w:val="center"/>
                    <w:textAlignment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3.096</w:t>
                  </w:r>
                </w:p>
              </w:tc>
              <w:tc>
                <w:tcPr>
                  <w:tcW w:w="1416" w:type="dxa"/>
                  <w:noWrap w:val="0"/>
                  <w:vAlign w:val="center"/>
                </w:tcPr>
                <w:p w14:paraId="15075587">
                  <w:pPr>
                    <w:keepNext w:val="0"/>
                    <w:keepLines w:val="0"/>
                    <w:widowControl/>
                    <w:suppressLineNumbers w:val="0"/>
                    <w:jc w:val="center"/>
                    <w:textAlignment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2.4811</w:t>
                  </w:r>
                </w:p>
              </w:tc>
              <w:tc>
                <w:tcPr>
                  <w:tcW w:w="1190" w:type="dxa"/>
                  <w:noWrap w:val="0"/>
                  <w:vAlign w:val="center"/>
                </w:tcPr>
                <w:p w14:paraId="73A1E12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0.27</w:t>
                  </w:r>
                </w:p>
              </w:tc>
              <w:tc>
                <w:tcPr>
                  <w:tcW w:w="1192" w:type="dxa"/>
                  <w:noWrap w:val="0"/>
                  <w:vAlign w:val="center"/>
                </w:tcPr>
                <w:p w14:paraId="1B2F15C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0.54</w:t>
                  </w:r>
                </w:p>
              </w:tc>
            </w:tr>
            <w:tr w14:paraId="30721B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0" w:type="pct"/>
                  <w:vMerge w:val="continue"/>
                  <w:noWrap w:val="0"/>
                  <w:vAlign w:val="center"/>
                </w:tcPr>
                <w:p w14:paraId="56EE7015">
                  <w:pPr>
                    <w:jc w:val="center"/>
                    <w:rPr>
                      <w:rFonts w:hint="default" w:ascii="Times New Roman" w:hAnsi="Times New Roman" w:cs="Times New Roman"/>
                      <w:color w:val="auto"/>
                      <w:szCs w:val="21"/>
                      <w:highlight w:val="none"/>
                    </w:rPr>
                  </w:pPr>
                </w:p>
              </w:tc>
              <w:tc>
                <w:tcPr>
                  <w:tcW w:w="862" w:type="pct"/>
                  <w:noWrap w:val="0"/>
                  <w:vAlign w:val="center"/>
                </w:tcPr>
                <w:p w14:paraId="072135B6">
                  <w:pPr>
                    <w:widowControl/>
                    <w:jc w:val="center"/>
                    <w:textAlignment w:val="center"/>
                    <w:rPr>
                      <w:rFonts w:hint="default" w:ascii="Times New Roman" w:hAnsi="Times New Roman" w:cs="Times New Roman"/>
                      <w:color w:val="auto"/>
                      <w:kern w:val="0"/>
                      <w:szCs w:val="21"/>
                      <w:highlight w:val="none"/>
                      <w:lang w:bidi="ar"/>
                    </w:rPr>
                  </w:pPr>
                  <w:r>
                    <w:rPr>
                      <w:rFonts w:hint="default" w:ascii="Times New Roman" w:hAnsi="Times New Roman" w:cs="Times New Roman"/>
                      <w:color w:val="auto"/>
                      <w:kern w:val="0"/>
                      <w:szCs w:val="21"/>
                      <w:highlight w:val="none"/>
                      <w:lang w:bidi="ar"/>
                    </w:rPr>
                    <w:t>排放速率（kg/h）</w:t>
                  </w:r>
                </w:p>
              </w:tc>
              <w:tc>
                <w:tcPr>
                  <w:tcW w:w="920" w:type="dxa"/>
                  <w:noWrap w:val="0"/>
                  <w:vAlign w:val="center"/>
                </w:tcPr>
                <w:p w14:paraId="7CD8F4C1">
                  <w:pPr>
                    <w:keepNext w:val="0"/>
                    <w:keepLines w:val="0"/>
                    <w:widowControl/>
                    <w:suppressLineNumbers w:val="0"/>
                    <w:jc w:val="center"/>
                    <w:textAlignment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0.00129</w:t>
                  </w:r>
                </w:p>
              </w:tc>
              <w:tc>
                <w:tcPr>
                  <w:tcW w:w="1416" w:type="dxa"/>
                  <w:noWrap w:val="0"/>
                  <w:vAlign w:val="center"/>
                </w:tcPr>
                <w:p w14:paraId="0DD8D919">
                  <w:pPr>
                    <w:keepNext w:val="0"/>
                    <w:keepLines w:val="0"/>
                    <w:widowControl/>
                    <w:suppressLineNumbers w:val="0"/>
                    <w:jc w:val="center"/>
                    <w:textAlignment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0.00103</w:t>
                  </w:r>
                </w:p>
              </w:tc>
              <w:tc>
                <w:tcPr>
                  <w:tcW w:w="1190" w:type="dxa"/>
                  <w:noWrap w:val="0"/>
                  <w:vAlign w:val="center"/>
                </w:tcPr>
                <w:p w14:paraId="53C5FC6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0.00011</w:t>
                  </w:r>
                </w:p>
              </w:tc>
              <w:tc>
                <w:tcPr>
                  <w:tcW w:w="1192" w:type="dxa"/>
                  <w:noWrap w:val="0"/>
                  <w:vAlign w:val="center"/>
                </w:tcPr>
                <w:p w14:paraId="7B00CAC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0.00023</w:t>
                  </w:r>
                </w:p>
              </w:tc>
            </w:tr>
            <w:tr w14:paraId="4388DA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0" w:type="pct"/>
                  <w:vMerge w:val="continue"/>
                  <w:noWrap w:val="0"/>
                  <w:vAlign w:val="center"/>
                </w:tcPr>
                <w:p w14:paraId="4D8FEC2E">
                  <w:pPr>
                    <w:jc w:val="center"/>
                    <w:rPr>
                      <w:rFonts w:hint="default" w:ascii="Times New Roman" w:hAnsi="Times New Roman" w:cs="Times New Roman"/>
                      <w:color w:val="auto"/>
                      <w:szCs w:val="21"/>
                      <w:highlight w:val="none"/>
                    </w:rPr>
                  </w:pPr>
                </w:p>
              </w:tc>
              <w:tc>
                <w:tcPr>
                  <w:tcW w:w="862" w:type="pct"/>
                  <w:noWrap w:val="0"/>
                  <w:vAlign w:val="center"/>
                </w:tcPr>
                <w:p w14:paraId="5D909220">
                  <w:pPr>
                    <w:widowControl/>
                    <w:jc w:val="center"/>
                    <w:textAlignment w:val="center"/>
                    <w:rPr>
                      <w:rFonts w:hint="default" w:ascii="Times New Roman" w:hAnsi="Times New Roman" w:cs="Times New Roman"/>
                      <w:color w:val="auto"/>
                      <w:szCs w:val="21"/>
                      <w:highlight w:val="none"/>
                    </w:rPr>
                  </w:pPr>
                  <w:r>
                    <w:rPr>
                      <w:rFonts w:hint="default" w:ascii="Times New Roman" w:hAnsi="Times New Roman" w:cs="Times New Roman"/>
                      <w:color w:val="auto"/>
                      <w:kern w:val="0"/>
                      <w:szCs w:val="21"/>
                      <w:highlight w:val="none"/>
                      <w:lang w:bidi="ar"/>
                    </w:rPr>
                    <w:t>排放浓度（mg/m</w:t>
                  </w:r>
                  <w:r>
                    <w:rPr>
                      <w:rFonts w:hint="default" w:ascii="Times New Roman" w:hAnsi="Times New Roman" w:cs="Times New Roman"/>
                      <w:color w:val="auto"/>
                      <w:kern w:val="0"/>
                      <w:szCs w:val="21"/>
                      <w:highlight w:val="none"/>
                      <w:vertAlign w:val="superscript"/>
                      <w:lang w:bidi="ar"/>
                    </w:rPr>
                    <w:t>3</w:t>
                  </w:r>
                  <w:r>
                    <w:rPr>
                      <w:rFonts w:hint="default" w:ascii="Times New Roman" w:hAnsi="Times New Roman" w:cs="Times New Roman"/>
                      <w:color w:val="auto"/>
                      <w:kern w:val="0"/>
                      <w:szCs w:val="21"/>
                      <w:highlight w:val="none"/>
                      <w:lang w:bidi="ar"/>
                    </w:rPr>
                    <w:t>）</w:t>
                  </w:r>
                </w:p>
              </w:tc>
              <w:tc>
                <w:tcPr>
                  <w:tcW w:w="920" w:type="dxa"/>
                  <w:noWrap w:val="0"/>
                  <w:vAlign w:val="center"/>
                </w:tcPr>
                <w:p w14:paraId="78A70CE3">
                  <w:pPr>
                    <w:keepNext w:val="0"/>
                    <w:keepLines w:val="0"/>
                    <w:widowControl/>
                    <w:suppressLineNumbers w:val="0"/>
                    <w:jc w:val="center"/>
                    <w:textAlignment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0.09923</w:t>
                  </w:r>
                </w:p>
              </w:tc>
              <w:tc>
                <w:tcPr>
                  <w:tcW w:w="1416" w:type="dxa"/>
                  <w:noWrap w:val="0"/>
                  <w:vAlign w:val="center"/>
                </w:tcPr>
                <w:p w14:paraId="346BC148">
                  <w:pPr>
                    <w:keepNext w:val="0"/>
                    <w:keepLines w:val="0"/>
                    <w:widowControl/>
                    <w:suppressLineNumbers w:val="0"/>
                    <w:jc w:val="center"/>
                    <w:textAlignment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0.0792</w:t>
                  </w:r>
                </w:p>
              </w:tc>
              <w:tc>
                <w:tcPr>
                  <w:tcW w:w="1190" w:type="dxa"/>
                  <w:noWrap w:val="0"/>
                  <w:vAlign w:val="center"/>
                </w:tcPr>
                <w:p w14:paraId="2D4EFAD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0.0085</w:t>
                  </w:r>
                </w:p>
              </w:tc>
              <w:tc>
                <w:tcPr>
                  <w:tcW w:w="1192" w:type="dxa"/>
                  <w:noWrap w:val="0"/>
                  <w:vAlign w:val="center"/>
                </w:tcPr>
                <w:p w14:paraId="05F5627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0.0177</w:t>
                  </w:r>
                </w:p>
              </w:tc>
            </w:tr>
            <w:tr w14:paraId="168274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0" w:type="pct"/>
                  <w:vMerge w:val="restart"/>
                  <w:noWrap w:val="0"/>
                  <w:vAlign w:val="center"/>
                </w:tcPr>
                <w:p w14:paraId="51526EFB">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无组织排放</w:t>
                  </w:r>
                </w:p>
              </w:tc>
              <w:tc>
                <w:tcPr>
                  <w:tcW w:w="862" w:type="pct"/>
                  <w:noWrap w:val="0"/>
                  <w:vAlign w:val="center"/>
                </w:tcPr>
                <w:p w14:paraId="7F2F6609">
                  <w:pPr>
                    <w:widowControl/>
                    <w:jc w:val="center"/>
                    <w:textAlignment w:val="center"/>
                    <w:rPr>
                      <w:rFonts w:hint="default" w:ascii="Times New Roman" w:hAnsi="Times New Roman" w:cs="Times New Roman"/>
                      <w:color w:val="auto"/>
                      <w:szCs w:val="21"/>
                      <w:highlight w:val="none"/>
                    </w:rPr>
                  </w:pPr>
                  <w:r>
                    <w:rPr>
                      <w:rFonts w:hint="default" w:ascii="Times New Roman" w:hAnsi="Times New Roman" w:cs="Times New Roman"/>
                      <w:color w:val="auto"/>
                      <w:kern w:val="0"/>
                      <w:szCs w:val="21"/>
                      <w:highlight w:val="none"/>
                      <w:lang w:bidi="ar"/>
                    </w:rPr>
                    <w:t>排放量（kg/a）</w:t>
                  </w:r>
                </w:p>
              </w:tc>
              <w:tc>
                <w:tcPr>
                  <w:tcW w:w="920" w:type="dxa"/>
                  <w:noWrap w:val="0"/>
                  <w:vAlign w:val="center"/>
                </w:tcPr>
                <w:p w14:paraId="0FE30AFE">
                  <w:pPr>
                    <w:keepNext w:val="0"/>
                    <w:keepLines w:val="0"/>
                    <w:widowControl/>
                    <w:suppressLineNumbers w:val="0"/>
                    <w:jc w:val="center"/>
                    <w:textAlignment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0.344</w:t>
                  </w:r>
                </w:p>
              </w:tc>
              <w:tc>
                <w:tcPr>
                  <w:tcW w:w="1416" w:type="dxa"/>
                  <w:noWrap w:val="0"/>
                  <w:vAlign w:val="center"/>
                </w:tcPr>
                <w:p w14:paraId="4F2D7423">
                  <w:pPr>
                    <w:keepNext w:val="0"/>
                    <w:keepLines w:val="0"/>
                    <w:widowControl/>
                    <w:suppressLineNumbers w:val="0"/>
                    <w:jc w:val="center"/>
                    <w:textAlignment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0.6892</w:t>
                  </w:r>
                </w:p>
              </w:tc>
              <w:tc>
                <w:tcPr>
                  <w:tcW w:w="1190" w:type="dxa"/>
                  <w:noWrap w:val="0"/>
                  <w:vAlign w:val="center"/>
                </w:tcPr>
                <w:p w14:paraId="14ABA19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0.075</w:t>
                  </w:r>
                </w:p>
              </w:tc>
              <w:tc>
                <w:tcPr>
                  <w:tcW w:w="1192" w:type="dxa"/>
                  <w:noWrap w:val="0"/>
                  <w:vAlign w:val="center"/>
                </w:tcPr>
                <w:p w14:paraId="3E87C9D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0.15</w:t>
                  </w:r>
                </w:p>
              </w:tc>
            </w:tr>
            <w:tr w14:paraId="2B0326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0" w:type="pct"/>
                  <w:vMerge w:val="continue"/>
                  <w:noWrap w:val="0"/>
                  <w:vAlign w:val="center"/>
                </w:tcPr>
                <w:p w14:paraId="37B80573">
                  <w:pPr>
                    <w:jc w:val="center"/>
                    <w:rPr>
                      <w:rFonts w:hint="default" w:ascii="Times New Roman" w:hAnsi="Times New Roman" w:cs="Times New Roman"/>
                      <w:color w:val="auto"/>
                      <w:szCs w:val="21"/>
                      <w:highlight w:val="none"/>
                    </w:rPr>
                  </w:pPr>
                </w:p>
              </w:tc>
              <w:tc>
                <w:tcPr>
                  <w:tcW w:w="862" w:type="pct"/>
                  <w:noWrap w:val="0"/>
                  <w:vAlign w:val="center"/>
                </w:tcPr>
                <w:p w14:paraId="50527A18">
                  <w:pPr>
                    <w:widowControl/>
                    <w:jc w:val="center"/>
                    <w:textAlignment w:val="center"/>
                    <w:rPr>
                      <w:rFonts w:hint="default" w:ascii="Times New Roman" w:hAnsi="Times New Roman" w:cs="Times New Roman"/>
                      <w:color w:val="auto"/>
                      <w:szCs w:val="21"/>
                      <w:highlight w:val="none"/>
                    </w:rPr>
                  </w:pPr>
                  <w:r>
                    <w:rPr>
                      <w:rFonts w:hint="default" w:ascii="Times New Roman" w:hAnsi="Times New Roman" w:cs="Times New Roman"/>
                      <w:color w:val="auto"/>
                      <w:kern w:val="0"/>
                      <w:szCs w:val="21"/>
                      <w:highlight w:val="none"/>
                      <w:lang w:bidi="ar"/>
                    </w:rPr>
                    <w:t>排放速率（kg/h）</w:t>
                  </w:r>
                </w:p>
              </w:tc>
              <w:tc>
                <w:tcPr>
                  <w:tcW w:w="920" w:type="dxa"/>
                  <w:noWrap w:val="0"/>
                  <w:vAlign w:val="center"/>
                </w:tcPr>
                <w:p w14:paraId="605477FA">
                  <w:pPr>
                    <w:keepNext w:val="0"/>
                    <w:keepLines w:val="0"/>
                    <w:widowControl/>
                    <w:suppressLineNumbers w:val="0"/>
                    <w:jc w:val="center"/>
                    <w:textAlignment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0.00014</w:t>
                  </w:r>
                </w:p>
              </w:tc>
              <w:tc>
                <w:tcPr>
                  <w:tcW w:w="1416" w:type="dxa"/>
                  <w:noWrap w:val="0"/>
                  <w:vAlign w:val="center"/>
                </w:tcPr>
                <w:p w14:paraId="489CB158">
                  <w:pPr>
                    <w:keepNext w:val="0"/>
                    <w:keepLines w:val="0"/>
                    <w:widowControl/>
                    <w:suppressLineNumbers w:val="0"/>
                    <w:jc w:val="center"/>
                    <w:textAlignment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0.00029</w:t>
                  </w:r>
                </w:p>
              </w:tc>
              <w:tc>
                <w:tcPr>
                  <w:tcW w:w="1190" w:type="dxa"/>
                  <w:noWrap w:val="0"/>
                  <w:vAlign w:val="center"/>
                </w:tcPr>
                <w:p w14:paraId="5F59A21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0.00003</w:t>
                  </w:r>
                </w:p>
              </w:tc>
              <w:tc>
                <w:tcPr>
                  <w:tcW w:w="1192" w:type="dxa"/>
                  <w:noWrap w:val="0"/>
                  <w:vAlign w:val="center"/>
                </w:tcPr>
                <w:p w14:paraId="2372A96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0.00006</w:t>
                  </w:r>
                </w:p>
              </w:tc>
            </w:tr>
            <w:tr w14:paraId="577254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73" w:type="pct"/>
                  <w:gridSpan w:val="2"/>
                  <w:noWrap w:val="0"/>
                  <w:vAlign w:val="center"/>
                </w:tcPr>
                <w:p w14:paraId="312E7C6B">
                  <w:pPr>
                    <w:widowControl/>
                    <w:jc w:val="center"/>
                    <w:textAlignment w:val="center"/>
                    <w:rPr>
                      <w:rFonts w:hint="default" w:ascii="Times New Roman" w:hAnsi="Times New Roman" w:cs="Times New Roman"/>
                      <w:color w:val="auto"/>
                      <w:kern w:val="0"/>
                      <w:szCs w:val="21"/>
                      <w:highlight w:val="none"/>
                      <w:lang w:bidi="ar"/>
                    </w:rPr>
                  </w:pPr>
                  <w:r>
                    <w:rPr>
                      <w:rFonts w:hint="default" w:ascii="Times New Roman" w:hAnsi="Times New Roman" w:cs="Times New Roman"/>
                      <w:color w:val="auto"/>
                      <w:szCs w:val="21"/>
                      <w:highlight w:val="none"/>
                    </w:rPr>
                    <w:t>总排放量（</w:t>
                  </w:r>
                  <w:r>
                    <w:rPr>
                      <w:rFonts w:hint="default" w:ascii="Times New Roman" w:hAnsi="Times New Roman" w:cs="Times New Roman"/>
                      <w:color w:val="auto"/>
                      <w:kern w:val="0"/>
                      <w:szCs w:val="21"/>
                      <w:highlight w:val="none"/>
                      <w:lang w:bidi="ar"/>
                    </w:rPr>
                    <w:t>kg/a</w:t>
                  </w:r>
                  <w:r>
                    <w:rPr>
                      <w:rFonts w:hint="default" w:ascii="Times New Roman" w:hAnsi="Times New Roman" w:cs="Times New Roman"/>
                      <w:color w:val="auto"/>
                      <w:szCs w:val="21"/>
                      <w:highlight w:val="none"/>
                    </w:rPr>
                    <w:t>）</w:t>
                  </w:r>
                </w:p>
              </w:tc>
              <w:tc>
                <w:tcPr>
                  <w:tcW w:w="920" w:type="dxa"/>
                  <w:noWrap w:val="0"/>
                  <w:vAlign w:val="center"/>
                </w:tcPr>
                <w:p w14:paraId="399CD11B">
                  <w:pPr>
                    <w:keepNext w:val="0"/>
                    <w:keepLines w:val="0"/>
                    <w:widowControl/>
                    <w:suppressLineNumbers w:val="0"/>
                    <w:jc w:val="center"/>
                    <w:textAlignment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3.44</w:t>
                  </w:r>
                </w:p>
              </w:tc>
              <w:tc>
                <w:tcPr>
                  <w:tcW w:w="1416" w:type="dxa"/>
                  <w:noWrap w:val="0"/>
                  <w:vAlign w:val="center"/>
                </w:tcPr>
                <w:p w14:paraId="1BF06EF2">
                  <w:pPr>
                    <w:keepNext w:val="0"/>
                    <w:keepLines w:val="0"/>
                    <w:widowControl/>
                    <w:suppressLineNumbers w:val="0"/>
                    <w:jc w:val="center"/>
                    <w:textAlignment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3.1703</w:t>
                  </w:r>
                </w:p>
              </w:tc>
              <w:tc>
                <w:tcPr>
                  <w:tcW w:w="1190" w:type="dxa"/>
                  <w:noWrap w:val="0"/>
                  <w:vAlign w:val="center"/>
                </w:tcPr>
                <w:p w14:paraId="2F4A711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0.345</w:t>
                  </w:r>
                </w:p>
              </w:tc>
              <w:tc>
                <w:tcPr>
                  <w:tcW w:w="1192" w:type="dxa"/>
                  <w:noWrap w:val="0"/>
                  <w:vAlign w:val="center"/>
                </w:tcPr>
                <w:p w14:paraId="7D85725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0.69</w:t>
                  </w:r>
                </w:p>
              </w:tc>
            </w:tr>
          </w:tbl>
          <w:p w14:paraId="31484799">
            <w:pPr>
              <w:pStyle w:val="19"/>
              <w:keepNext w:val="0"/>
              <w:keepLines w:val="0"/>
              <w:pageBreakBefore w:val="0"/>
              <w:widowControl w:val="0"/>
              <w:shd w:val="clear"/>
              <w:kinsoku/>
              <w:wordWrap/>
              <w:overflowPunct/>
              <w:topLinePunct w:val="0"/>
              <w:autoSpaceDE/>
              <w:autoSpaceDN/>
              <w:bidi w:val="0"/>
              <w:adjustRightInd/>
              <w:snapToGrid w:val="0"/>
              <w:spacing w:before="0" w:line="360" w:lineRule="auto"/>
              <w:ind w:left="0" w:right="0" w:firstLine="420" w:firstLineChars="200"/>
              <w:jc w:val="both"/>
              <w:textAlignment w:val="auto"/>
              <w:rPr>
                <w:rFonts w:hint="eastAsia"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综上，项目酸雾废气硫酸雾、氯化氢、氮氧化物达到广东省地方标准《大气污染物排放限值》（DB44/27-2001）第二时段二级标准；有机废气TVOC、非甲烷总烃和苯系物（甲苯）达到广东省地方标准《固定污染源挥发性有机物综合排放标准》（DB44/2367-2022）表1挥发性有机物排放限值、甲醇达到广东省地方标准《大气污染物排放限值》（DB44/27-2001）第二时段二级标准、氨和臭气浓度达到《恶臭污染物排放标准》（GB14554-93）中表2恶臭污染物排放标准值；粉尘废气颗粒物达到广东省地方标准《大气污染物排放限值》（DB44/27-2001）第二时段二级标准。</w:t>
            </w:r>
          </w:p>
          <w:p w14:paraId="001EE5A5">
            <w:pPr>
              <w:pStyle w:val="19"/>
              <w:keepNext w:val="0"/>
              <w:keepLines w:val="0"/>
              <w:pageBreakBefore w:val="0"/>
              <w:widowControl w:val="0"/>
              <w:shd w:val="clear"/>
              <w:kinsoku/>
              <w:wordWrap/>
              <w:overflowPunct/>
              <w:topLinePunct w:val="0"/>
              <w:autoSpaceDE/>
              <w:autoSpaceDN/>
              <w:bidi w:val="0"/>
              <w:adjustRightInd/>
              <w:snapToGrid w:val="0"/>
              <w:spacing w:before="0" w:line="360" w:lineRule="auto"/>
              <w:ind w:left="0" w:right="0" w:firstLine="420" w:firstLineChars="200"/>
              <w:jc w:val="both"/>
              <w:textAlignment w:val="auto"/>
              <w:rPr>
                <w:rFonts w:hint="eastAsia"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无组织废气中，非甲烷总烃、甲醇、甲苯、硫酸雾、氯化氢、颗粒物、氮氧化物达到广东省地方标准《大气污染物排放限值》（DB44/27-2001）第二时段无组织排放监控浓度限值；臭气浓度、氨达到《恶臭污染物排放标准》（GB14554-93）表1恶臭污染物厂界标准值。项目厂区非甲烷总烃浓度限值执行广东省地方标准《固定污染源挥发性有机物综合排放标准》（DB44/2367-2022）表3厂区内VOCs无组织排放限值。</w:t>
            </w:r>
          </w:p>
          <w:p w14:paraId="3AABC1B2">
            <w:pPr>
              <w:pStyle w:val="19"/>
              <w:keepNext w:val="0"/>
              <w:keepLines w:val="0"/>
              <w:pageBreakBefore w:val="0"/>
              <w:widowControl w:val="0"/>
              <w:shd w:val="clear"/>
              <w:kinsoku/>
              <w:wordWrap/>
              <w:overflowPunct/>
              <w:topLinePunct w:val="0"/>
              <w:autoSpaceDE/>
              <w:autoSpaceDN/>
              <w:bidi w:val="0"/>
              <w:adjustRightInd/>
              <w:snapToGrid w:val="0"/>
              <w:spacing w:before="0" w:line="360" w:lineRule="auto"/>
              <w:ind w:left="0" w:right="0" w:firstLine="482" w:firstLineChars="200"/>
              <w:jc w:val="both"/>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b/>
                <w:bCs/>
                <w:color w:val="auto"/>
                <w:sz w:val="24"/>
                <w:szCs w:val="24"/>
                <w:highlight w:val="none"/>
              </w:rPr>
              <w:t>本项目全厂废气排放</w:t>
            </w:r>
            <w:r>
              <w:rPr>
                <w:rFonts w:hint="default" w:ascii="Times New Roman" w:hAnsi="Times New Roman" w:eastAsia="宋体" w:cs="Times New Roman"/>
                <w:b/>
                <w:bCs/>
                <w:color w:val="auto"/>
                <w:sz w:val="24"/>
                <w:szCs w:val="24"/>
                <w:highlight w:val="none"/>
                <w:lang w:val="en-US" w:eastAsia="zh-CN"/>
              </w:rPr>
              <w:t>情况如下</w:t>
            </w:r>
            <w:r>
              <w:rPr>
                <w:rFonts w:hint="default" w:ascii="Times New Roman" w:hAnsi="Times New Roman" w:eastAsia="宋体" w:cs="Times New Roman"/>
                <w:b/>
                <w:bCs/>
                <w:color w:val="auto"/>
                <w:sz w:val="24"/>
                <w:szCs w:val="24"/>
                <w:highlight w:val="none"/>
              </w:rPr>
              <w:t>：</w:t>
            </w:r>
          </w:p>
          <w:p w14:paraId="225A3E18">
            <w:pPr>
              <w:shd w:val="clear"/>
              <w:adjustRightInd w:val="0"/>
              <w:snapToGrid w:val="0"/>
              <w:spacing w:line="360" w:lineRule="auto"/>
              <w:ind w:firstLine="482" w:firstLineChars="200"/>
              <w:jc w:val="center"/>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表2</w:t>
            </w:r>
            <w:r>
              <w:rPr>
                <w:rFonts w:hint="eastAsia" w:cs="Times New Roman"/>
                <w:b/>
                <w:bCs/>
                <w:color w:val="auto"/>
                <w:kern w:val="2"/>
                <w:sz w:val="24"/>
                <w:szCs w:val="24"/>
                <w:highlight w:val="none"/>
                <w:lang w:val="en-US" w:eastAsia="zh-CN" w:bidi="ar-SA"/>
              </w:rPr>
              <w:t>6</w:t>
            </w:r>
            <w:r>
              <w:rPr>
                <w:rFonts w:hint="default" w:ascii="Times New Roman" w:hAnsi="Times New Roman" w:eastAsia="宋体" w:cs="Times New Roman"/>
                <w:b/>
                <w:bCs/>
                <w:color w:val="auto"/>
                <w:kern w:val="2"/>
                <w:sz w:val="24"/>
                <w:szCs w:val="24"/>
                <w:highlight w:val="none"/>
                <w:lang w:val="en-US" w:eastAsia="zh-CN" w:bidi="ar-SA"/>
              </w:rPr>
              <w:t>大气污染物有组织排放核算表</w:t>
            </w:r>
          </w:p>
          <w:tbl>
            <w:tblPr>
              <w:tblStyle w:val="34"/>
              <w:tblW w:w="6900" w:type="dxa"/>
              <w:tblInd w:w="51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68"/>
              <w:gridCol w:w="1331"/>
              <w:gridCol w:w="1550"/>
              <w:gridCol w:w="1508"/>
              <w:gridCol w:w="1243"/>
            </w:tblGrid>
            <w:tr w14:paraId="7EB5C3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7" w:hRule="exact"/>
              </w:trPr>
              <w:tc>
                <w:tcPr>
                  <w:tcW w:w="1268" w:type="dxa"/>
                  <w:noWrap w:val="0"/>
                  <w:vAlign w:val="center"/>
                </w:tcPr>
                <w:p w14:paraId="19612DC9">
                  <w:pPr>
                    <w:shd w:val="clear"/>
                    <w:adjustRightInd w:val="0"/>
                    <w:snapToGrid w:val="0"/>
                    <w:spacing w:line="240" w:lineRule="auto"/>
                    <w:jc w:val="center"/>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default" w:ascii="Times New Roman" w:hAnsi="Times New Roman" w:eastAsia="宋体" w:cs="Times New Roman"/>
                      <w:b/>
                      <w:bCs/>
                      <w:color w:val="auto"/>
                      <w:kern w:val="2"/>
                      <w:sz w:val="21"/>
                      <w:szCs w:val="21"/>
                      <w:highlight w:val="none"/>
                      <w:vertAlign w:val="baseline"/>
                      <w:lang w:val="en-US" w:eastAsia="zh-CN" w:bidi="ar-SA"/>
                    </w:rPr>
                    <w:t>排放口</w:t>
                  </w:r>
                </w:p>
              </w:tc>
              <w:tc>
                <w:tcPr>
                  <w:tcW w:w="1331" w:type="dxa"/>
                  <w:noWrap w:val="0"/>
                  <w:vAlign w:val="center"/>
                </w:tcPr>
                <w:p w14:paraId="52CF6A73">
                  <w:pPr>
                    <w:shd w:val="clear"/>
                    <w:adjustRightInd w:val="0"/>
                    <w:snapToGrid w:val="0"/>
                    <w:spacing w:line="240" w:lineRule="auto"/>
                    <w:jc w:val="center"/>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default" w:ascii="Times New Roman" w:hAnsi="Times New Roman" w:eastAsia="宋体" w:cs="Times New Roman"/>
                      <w:b/>
                      <w:bCs/>
                      <w:color w:val="auto"/>
                      <w:kern w:val="2"/>
                      <w:sz w:val="21"/>
                      <w:szCs w:val="21"/>
                      <w:highlight w:val="none"/>
                      <w:vertAlign w:val="baseline"/>
                      <w:lang w:val="en-US" w:eastAsia="zh-CN" w:bidi="ar-SA"/>
                    </w:rPr>
                    <w:t>污染物</w:t>
                  </w:r>
                </w:p>
              </w:tc>
              <w:tc>
                <w:tcPr>
                  <w:tcW w:w="1550" w:type="dxa"/>
                  <w:noWrap w:val="0"/>
                  <w:vAlign w:val="center"/>
                </w:tcPr>
                <w:p w14:paraId="2ACAEEFA">
                  <w:pPr>
                    <w:shd w:val="clear"/>
                    <w:adjustRightInd w:val="0"/>
                    <w:snapToGrid w:val="0"/>
                    <w:spacing w:line="240" w:lineRule="auto"/>
                    <w:jc w:val="center"/>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default" w:ascii="Times New Roman" w:hAnsi="Times New Roman" w:eastAsia="宋体" w:cs="Times New Roman"/>
                      <w:b/>
                      <w:bCs/>
                      <w:color w:val="auto"/>
                      <w:kern w:val="2"/>
                      <w:sz w:val="21"/>
                      <w:szCs w:val="21"/>
                      <w:highlight w:val="none"/>
                      <w:vertAlign w:val="baseline"/>
                      <w:lang w:val="en-US" w:eastAsia="zh-CN" w:bidi="ar-SA"/>
                    </w:rPr>
                    <w:t>排放浓度</w:t>
                  </w:r>
                  <w:r>
                    <w:rPr>
                      <w:rFonts w:hint="default" w:ascii="Times New Roman" w:hAnsi="Times New Roman" w:eastAsia="宋体" w:cs="Times New Roman"/>
                      <w:b/>
                      <w:color w:val="auto"/>
                      <w:sz w:val="21"/>
                      <w:szCs w:val="21"/>
                      <w:highlight w:val="none"/>
                      <w:lang w:val="zh-CN" w:bidi="ar"/>
                    </w:rPr>
                    <w:t>（</w:t>
                  </w:r>
                  <w:r>
                    <w:rPr>
                      <w:rFonts w:hint="default" w:ascii="Times New Roman" w:hAnsi="Times New Roman" w:eastAsia="宋体" w:cs="Times New Roman"/>
                      <w:b/>
                      <w:color w:val="auto"/>
                      <w:sz w:val="21"/>
                      <w:szCs w:val="21"/>
                      <w:highlight w:val="none"/>
                      <w:lang w:bidi="ar"/>
                    </w:rPr>
                    <w:t>m</w:t>
                  </w:r>
                  <w:r>
                    <w:rPr>
                      <w:rFonts w:hint="default" w:ascii="Times New Roman" w:hAnsi="Times New Roman" w:eastAsia="宋体" w:cs="Times New Roman"/>
                      <w:b/>
                      <w:color w:val="auto"/>
                      <w:sz w:val="21"/>
                      <w:szCs w:val="21"/>
                      <w:highlight w:val="none"/>
                      <w:lang w:val="zh-CN" w:bidi="ar"/>
                    </w:rPr>
                    <w:t>g/m</w:t>
                  </w:r>
                  <w:r>
                    <w:rPr>
                      <w:rFonts w:hint="default" w:ascii="Times New Roman" w:hAnsi="Times New Roman" w:eastAsia="宋体" w:cs="Times New Roman"/>
                      <w:b/>
                      <w:color w:val="auto"/>
                      <w:sz w:val="21"/>
                      <w:szCs w:val="21"/>
                      <w:highlight w:val="none"/>
                      <w:vertAlign w:val="superscript"/>
                      <w:lang w:val="zh-CN" w:bidi="ar"/>
                    </w:rPr>
                    <w:t>3</w:t>
                  </w:r>
                  <w:r>
                    <w:rPr>
                      <w:rFonts w:hint="default" w:ascii="Times New Roman" w:hAnsi="Times New Roman" w:eastAsia="宋体" w:cs="Times New Roman"/>
                      <w:b/>
                      <w:color w:val="auto"/>
                      <w:sz w:val="21"/>
                      <w:szCs w:val="21"/>
                      <w:highlight w:val="none"/>
                      <w:lang w:val="zh-CN" w:bidi="ar"/>
                    </w:rPr>
                    <w:t>）</w:t>
                  </w:r>
                </w:p>
              </w:tc>
              <w:tc>
                <w:tcPr>
                  <w:tcW w:w="1508" w:type="dxa"/>
                  <w:noWrap w:val="0"/>
                  <w:vAlign w:val="center"/>
                </w:tcPr>
                <w:p w14:paraId="380C8534">
                  <w:pPr>
                    <w:shd w:val="clear"/>
                    <w:adjustRightInd w:val="0"/>
                    <w:snapToGrid w:val="0"/>
                    <w:spacing w:line="240" w:lineRule="auto"/>
                    <w:jc w:val="center"/>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default" w:ascii="Times New Roman" w:hAnsi="Times New Roman" w:eastAsia="宋体" w:cs="Times New Roman"/>
                      <w:b/>
                      <w:bCs/>
                      <w:color w:val="auto"/>
                      <w:kern w:val="2"/>
                      <w:sz w:val="21"/>
                      <w:szCs w:val="21"/>
                      <w:highlight w:val="none"/>
                      <w:vertAlign w:val="baseline"/>
                      <w:lang w:val="en-US" w:eastAsia="zh-CN" w:bidi="ar-SA"/>
                    </w:rPr>
                    <w:t>排放速率</w:t>
                  </w:r>
                  <w:r>
                    <w:rPr>
                      <w:rFonts w:hint="default" w:ascii="Times New Roman" w:hAnsi="Times New Roman" w:eastAsia="宋体" w:cs="Times New Roman"/>
                      <w:b/>
                      <w:color w:val="auto"/>
                      <w:sz w:val="21"/>
                      <w:szCs w:val="21"/>
                      <w:highlight w:val="none"/>
                      <w:lang w:val="zh-CN" w:bidi="ar"/>
                    </w:rPr>
                    <w:t>（kg/h）</w:t>
                  </w:r>
                </w:p>
              </w:tc>
              <w:tc>
                <w:tcPr>
                  <w:tcW w:w="1243" w:type="dxa"/>
                  <w:noWrap w:val="0"/>
                  <w:vAlign w:val="center"/>
                </w:tcPr>
                <w:p w14:paraId="54C3BAE1">
                  <w:pPr>
                    <w:shd w:val="clear"/>
                    <w:adjustRightInd w:val="0"/>
                    <w:snapToGrid w:val="0"/>
                    <w:spacing w:line="240" w:lineRule="auto"/>
                    <w:jc w:val="center"/>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default" w:ascii="Times New Roman" w:hAnsi="Times New Roman" w:eastAsia="宋体" w:cs="Times New Roman"/>
                      <w:b/>
                      <w:bCs/>
                      <w:color w:val="auto"/>
                      <w:kern w:val="2"/>
                      <w:sz w:val="21"/>
                      <w:szCs w:val="21"/>
                      <w:highlight w:val="none"/>
                      <w:vertAlign w:val="baseline"/>
                      <w:lang w:val="en-US" w:eastAsia="zh-CN" w:bidi="ar-SA"/>
                    </w:rPr>
                    <w:t>年排放量</w:t>
                  </w:r>
                  <w:r>
                    <w:rPr>
                      <w:rFonts w:hint="default" w:ascii="Times New Roman" w:hAnsi="Times New Roman" w:eastAsia="宋体" w:cs="Times New Roman"/>
                      <w:b/>
                      <w:color w:val="auto"/>
                      <w:sz w:val="21"/>
                      <w:szCs w:val="21"/>
                      <w:highlight w:val="none"/>
                      <w:lang w:val="zh-CN" w:bidi="ar"/>
                    </w:rPr>
                    <w:t>（</w:t>
                  </w:r>
                  <w:r>
                    <w:rPr>
                      <w:rFonts w:hint="eastAsia" w:cs="Times New Roman"/>
                      <w:b/>
                      <w:color w:val="auto"/>
                      <w:sz w:val="21"/>
                      <w:szCs w:val="21"/>
                      <w:highlight w:val="none"/>
                      <w:lang w:val="en-US" w:eastAsia="zh-CN" w:bidi="ar"/>
                    </w:rPr>
                    <w:t>kg</w:t>
                  </w:r>
                  <w:r>
                    <w:rPr>
                      <w:rFonts w:hint="default" w:ascii="Times New Roman" w:hAnsi="Times New Roman" w:eastAsia="宋体" w:cs="Times New Roman"/>
                      <w:b/>
                      <w:color w:val="auto"/>
                      <w:sz w:val="21"/>
                      <w:szCs w:val="21"/>
                      <w:highlight w:val="none"/>
                      <w:lang w:val="zh-CN" w:bidi="ar"/>
                    </w:rPr>
                    <w:t>/a）</w:t>
                  </w:r>
                </w:p>
              </w:tc>
            </w:tr>
            <w:tr w14:paraId="4B3B69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268" w:type="dxa"/>
                  <w:vMerge w:val="restart"/>
                  <w:noWrap w:val="0"/>
                  <w:vAlign w:val="center"/>
                </w:tcPr>
                <w:p w14:paraId="7F7815A2">
                  <w:pPr>
                    <w:shd w:val="clear"/>
                    <w:adjustRightInd w:val="0"/>
                    <w:snapToGrid w:val="0"/>
                    <w:spacing w:line="240" w:lineRule="auto"/>
                    <w:jc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kern w:val="2"/>
                      <w:sz w:val="21"/>
                      <w:szCs w:val="21"/>
                      <w:highlight w:val="none"/>
                      <w:vertAlign w:val="baseline"/>
                      <w:lang w:val="en-US" w:eastAsia="zh-CN" w:bidi="ar-SA"/>
                    </w:rPr>
                    <w:t>G1</w:t>
                  </w:r>
                </w:p>
              </w:tc>
              <w:tc>
                <w:tcPr>
                  <w:tcW w:w="1331" w:type="dxa"/>
                  <w:noWrap w:val="0"/>
                  <w:vAlign w:val="center"/>
                </w:tcPr>
                <w:p w14:paraId="4674C1A1">
                  <w:pPr>
                    <w:keepNext w:val="0"/>
                    <w:keepLines w:val="0"/>
                    <w:pageBreakBefore w:val="0"/>
                    <w:widowControl w:val="0"/>
                    <w:shd w:val="clear"/>
                    <w:kinsoku/>
                    <w:wordWrap/>
                    <w:overflowPunct/>
                    <w:topLinePunct w:val="0"/>
                    <w:autoSpaceDE/>
                    <w:autoSpaceDN/>
                    <w:bidi w:val="0"/>
                    <w:adjustRightInd/>
                    <w:snapToGrid w:val="0"/>
                    <w:spacing w:before="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硫酸雾</w:t>
                  </w:r>
                </w:p>
              </w:tc>
              <w:tc>
                <w:tcPr>
                  <w:tcW w:w="1550" w:type="dxa"/>
                  <w:noWrap w:val="0"/>
                  <w:vAlign w:val="center"/>
                </w:tcPr>
                <w:p w14:paraId="34D15CD2">
                  <w:pPr>
                    <w:keepNext w:val="0"/>
                    <w:keepLines w:val="0"/>
                    <w:pageBreakBefore w:val="0"/>
                    <w:widowControl w:val="0"/>
                    <w:shd w:val="clear"/>
                    <w:kinsoku/>
                    <w:wordWrap/>
                    <w:overflowPunct/>
                    <w:topLinePunct w:val="0"/>
                    <w:autoSpaceDE/>
                    <w:autoSpaceDN/>
                    <w:bidi w:val="0"/>
                    <w:adjustRightInd/>
                    <w:snapToGrid w:val="0"/>
                    <w:spacing w:before="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0.00143</w:t>
                  </w:r>
                </w:p>
              </w:tc>
              <w:tc>
                <w:tcPr>
                  <w:tcW w:w="1508" w:type="dxa"/>
                  <w:noWrap w:val="0"/>
                  <w:vAlign w:val="center"/>
                </w:tcPr>
                <w:p w14:paraId="18D61F34">
                  <w:pPr>
                    <w:pStyle w:val="19"/>
                    <w:keepNext w:val="0"/>
                    <w:keepLines w:val="0"/>
                    <w:pageBreakBefore w:val="0"/>
                    <w:widowControl w:val="0"/>
                    <w:shd w:val="clear"/>
                    <w:kinsoku/>
                    <w:wordWrap/>
                    <w:overflowPunct/>
                    <w:topLinePunct w:val="0"/>
                    <w:autoSpaceDE/>
                    <w:autoSpaceDN/>
                    <w:bidi w:val="0"/>
                    <w:adjustRightInd/>
                    <w:snapToGrid w:val="0"/>
                    <w:spacing w:before="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0.00002</w:t>
                  </w:r>
                </w:p>
              </w:tc>
              <w:tc>
                <w:tcPr>
                  <w:tcW w:w="1243" w:type="dxa"/>
                  <w:noWrap w:val="0"/>
                  <w:vAlign w:val="center"/>
                </w:tcPr>
                <w:p w14:paraId="74BDEEE4">
                  <w:pPr>
                    <w:pStyle w:val="19"/>
                    <w:keepNext w:val="0"/>
                    <w:keepLines w:val="0"/>
                    <w:pageBreakBefore w:val="0"/>
                    <w:widowControl w:val="0"/>
                    <w:shd w:val="clear"/>
                    <w:kinsoku/>
                    <w:wordWrap/>
                    <w:overflowPunct/>
                    <w:topLinePunct w:val="0"/>
                    <w:autoSpaceDE/>
                    <w:autoSpaceDN/>
                    <w:bidi w:val="0"/>
                    <w:adjustRightInd/>
                    <w:snapToGrid w:val="0"/>
                    <w:spacing w:before="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0.03803</w:t>
                  </w:r>
                </w:p>
              </w:tc>
            </w:tr>
            <w:tr w14:paraId="422D12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268" w:type="dxa"/>
                  <w:vMerge w:val="continue"/>
                  <w:noWrap w:val="0"/>
                  <w:vAlign w:val="center"/>
                </w:tcPr>
                <w:p w14:paraId="52AFAFCF">
                  <w:pPr>
                    <w:shd w:val="clear"/>
                    <w:adjustRightInd w:val="0"/>
                    <w:snapToGrid w:val="0"/>
                    <w:spacing w:line="240" w:lineRule="auto"/>
                    <w:jc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p>
              </w:tc>
              <w:tc>
                <w:tcPr>
                  <w:tcW w:w="1331" w:type="dxa"/>
                  <w:noWrap w:val="0"/>
                  <w:vAlign w:val="center"/>
                </w:tcPr>
                <w:p w14:paraId="19107687">
                  <w:pPr>
                    <w:keepNext w:val="0"/>
                    <w:keepLines w:val="0"/>
                    <w:pageBreakBefore w:val="0"/>
                    <w:widowControl w:val="0"/>
                    <w:shd w:val="clear"/>
                    <w:kinsoku/>
                    <w:wordWrap/>
                    <w:overflowPunct/>
                    <w:topLinePunct w:val="0"/>
                    <w:autoSpaceDE/>
                    <w:autoSpaceDN/>
                    <w:bidi w:val="0"/>
                    <w:adjustRightInd/>
                    <w:snapToGrid w:val="0"/>
                    <w:spacing w:before="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氯化氢</w:t>
                  </w:r>
                </w:p>
              </w:tc>
              <w:tc>
                <w:tcPr>
                  <w:tcW w:w="1550" w:type="dxa"/>
                  <w:noWrap w:val="0"/>
                  <w:vAlign w:val="center"/>
                </w:tcPr>
                <w:p w14:paraId="593DC7D5">
                  <w:pPr>
                    <w:keepNext w:val="0"/>
                    <w:keepLines w:val="0"/>
                    <w:pageBreakBefore w:val="0"/>
                    <w:widowControl w:val="0"/>
                    <w:shd w:val="clear"/>
                    <w:kinsoku/>
                    <w:wordWrap/>
                    <w:overflowPunct/>
                    <w:topLinePunct w:val="0"/>
                    <w:autoSpaceDE/>
                    <w:autoSpaceDN/>
                    <w:bidi w:val="0"/>
                    <w:adjustRightInd/>
                    <w:snapToGrid w:val="0"/>
                    <w:spacing w:before="0" w:line="240" w:lineRule="auto"/>
                    <w:ind w:left="0" w:leftChars="0" w:right="0" w:rightChars="0" w:firstLine="0" w:firstLineChars="0"/>
                    <w:jc w:val="center"/>
                    <w:textAlignment w:val="auto"/>
                    <w:rPr>
                      <w:rFonts w:hint="default"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0.05</w:t>
                  </w:r>
                </w:p>
              </w:tc>
              <w:tc>
                <w:tcPr>
                  <w:tcW w:w="1508" w:type="dxa"/>
                  <w:noWrap w:val="0"/>
                  <w:vAlign w:val="center"/>
                </w:tcPr>
                <w:p w14:paraId="4B723E3F">
                  <w:pPr>
                    <w:pStyle w:val="19"/>
                    <w:keepNext w:val="0"/>
                    <w:keepLines w:val="0"/>
                    <w:pageBreakBefore w:val="0"/>
                    <w:widowControl w:val="0"/>
                    <w:shd w:val="clear"/>
                    <w:kinsoku/>
                    <w:wordWrap/>
                    <w:overflowPunct/>
                    <w:topLinePunct w:val="0"/>
                    <w:autoSpaceDE/>
                    <w:autoSpaceDN/>
                    <w:bidi w:val="0"/>
                    <w:adjustRightInd/>
                    <w:snapToGrid w:val="0"/>
                    <w:spacing w:before="0" w:line="240" w:lineRule="auto"/>
                    <w:ind w:left="0" w:leftChars="0" w:right="0" w:rightChars="0" w:firstLine="0" w:firstLineChars="0"/>
                    <w:jc w:val="center"/>
                    <w:textAlignment w:val="auto"/>
                    <w:rPr>
                      <w:rFonts w:hint="default"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0.0007</w:t>
                  </w:r>
                </w:p>
              </w:tc>
              <w:tc>
                <w:tcPr>
                  <w:tcW w:w="1243" w:type="dxa"/>
                  <w:noWrap w:val="0"/>
                  <w:vAlign w:val="center"/>
                </w:tcPr>
                <w:p w14:paraId="5DA3FA3F">
                  <w:pPr>
                    <w:pStyle w:val="19"/>
                    <w:keepNext w:val="0"/>
                    <w:keepLines w:val="0"/>
                    <w:pageBreakBefore w:val="0"/>
                    <w:widowControl w:val="0"/>
                    <w:shd w:val="clear"/>
                    <w:kinsoku/>
                    <w:wordWrap/>
                    <w:overflowPunct/>
                    <w:topLinePunct w:val="0"/>
                    <w:autoSpaceDE/>
                    <w:autoSpaceDN/>
                    <w:bidi w:val="0"/>
                    <w:adjustRightInd/>
                    <w:snapToGrid w:val="0"/>
                    <w:spacing w:before="0" w:line="240" w:lineRule="auto"/>
                    <w:ind w:left="0" w:leftChars="0" w:right="0" w:rightChars="0" w:firstLine="0" w:firstLineChars="0"/>
                    <w:jc w:val="center"/>
                    <w:textAlignment w:val="auto"/>
                    <w:rPr>
                      <w:rFonts w:hint="default"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1.78425</w:t>
                  </w:r>
                </w:p>
              </w:tc>
            </w:tr>
            <w:tr w14:paraId="47F314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268" w:type="dxa"/>
                  <w:vMerge w:val="continue"/>
                  <w:noWrap w:val="0"/>
                  <w:vAlign w:val="center"/>
                </w:tcPr>
                <w:p w14:paraId="5995FCBC">
                  <w:pPr>
                    <w:shd w:val="clear"/>
                    <w:adjustRightInd w:val="0"/>
                    <w:snapToGrid w:val="0"/>
                    <w:spacing w:line="240" w:lineRule="auto"/>
                    <w:jc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p>
              </w:tc>
              <w:tc>
                <w:tcPr>
                  <w:tcW w:w="1331" w:type="dxa"/>
                  <w:noWrap w:val="0"/>
                  <w:vAlign w:val="center"/>
                </w:tcPr>
                <w:p w14:paraId="37C1FFC2">
                  <w:pPr>
                    <w:keepNext w:val="0"/>
                    <w:keepLines w:val="0"/>
                    <w:pageBreakBefore w:val="0"/>
                    <w:widowControl w:val="0"/>
                    <w:shd w:val="clear"/>
                    <w:kinsoku/>
                    <w:wordWrap/>
                    <w:overflowPunct/>
                    <w:topLinePunct w:val="0"/>
                    <w:autoSpaceDE/>
                    <w:autoSpaceDN/>
                    <w:bidi w:val="0"/>
                    <w:adjustRightInd/>
                    <w:snapToGrid w:val="0"/>
                    <w:spacing w:before="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氮氧化物</w:t>
                  </w:r>
                </w:p>
              </w:tc>
              <w:tc>
                <w:tcPr>
                  <w:tcW w:w="1550" w:type="dxa"/>
                  <w:noWrap w:val="0"/>
                  <w:vAlign w:val="center"/>
                </w:tcPr>
                <w:p w14:paraId="777CCE04">
                  <w:pPr>
                    <w:keepNext w:val="0"/>
                    <w:keepLines w:val="0"/>
                    <w:pageBreakBefore w:val="0"/>
                    <w:widowControl w:val="0"/>
                    <w:shd w:val="clear"/>
                    <w:kinsoku/>
                    <w:wordWrap/>
                    <w:overflowPunct/>
                    <w:topLinePunct w:val="0"/>
                    <w:autoSpaceDE/>
                    <w:autoSpaceDN/>
                    <w:bidi w:val="0"/>
                    <w:adjustRightInd/>
                    <w:snapToGrid w:val="0"/>
                    <w:spacing w:before="0" w:line="240" w:lineRule="auto"/>
                    <w:ind w:left="0" w:leftChars="0" w:right="0" w:rightChars="0" w:firstLine="0" w:firstLineChars="0"/>
                    <w:jc w:val="center"/>
                    <w:textAlignment w:val="auto"/>
                    <w:rPr>
                      <w:rFonts w:hint="default"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0.01</w:t>
                  </w:r>
                </w:p>
              </w:tc>
              <w:tc>
                <w:tcPr>
                  <w:tcW w:w="1508" w:type="dxa"/>
                  <w:noWrap w:val="0"/>
                  <w:vAlign w:val="center"/>
                </w:tcPr>
                <w:p w14:paraId="0F5B70EF">
                  <w:pPr>
                    <w:pStyle w:val="19"/>
                    <w:keepNext w:val="0"/>
                    <w:keepLines w:val="0"/>
                    <w:pageBreakBefore w:val="0"/>
                    <w:widowControl w:val="0"/>
                    <w:shd w:val="clear"/>
                    <w:kinsoku/>
                    <w:wordWrap/>
                    <w:overflowPunct/>
                    <w:topLinePunct w:val="0"/>
                    <w:autoSpaceDE/>
                    <w:autoSpaceDN/>
                    <w:bidi w:val="0"/>
                    <w:adjustRightInd/>
                    <w:snapToGrid w:val="0"/>
                    <w:spacing w:before="0" w:line="240" w:lineRule="auto"/>
                    <w:ind w:left="0" w:leftChars="0" w:right="0" w:rightChars="0" w:firstLine="0" w:firstLineChars="0"/>
                    <w:jc w:val="center"/>
                    <w:textAlignment w:val="auto"/>
                    <w:rPr>
                      <w:rFonts w:hint="default"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0.00014</w:t>
                  </w:r>
                </w:p>
              </w:tc>
              <w:tc>
                <w:tcPr>
                  <w:tcW w:w="1243" w:type="dxa"/>
                  <w:noWrap w:val="0"/>
                  <w:vAlign w:val="center"/>
                </w:tcPr>
                <w:p w14:paraId="6C6738D0">
                  <w:pPr>
                    <w:pStyle w:val="19"/>
                    <w:keepNext w:val="0"/>
                    <w:keepLines w:val="0"/>
                    <w:pageBreakBefore w:val="0"/>
                    <w:widowControl w:val="0"/>
                    <w:shd w:val="clear"/>
                    <w:kinsoku/>
                    <w:wordWrap/>
                    <w:overflowPunct/>
                    <w:topLinePunct w:val="0"/>
                    <w:autoSpaceDE/>
                    <w:autoSpaceDN/>
                    <w:bidi w:val="0"/>
                    <w:adjustRightInd/>
                    <w:snapToGrid w:val="0"/>
                    <w:spacing w:before="0" w:line="240" w:lineRule="auto"/>
                    <w:ind w:left="0" w:leftChars="0" w:right="0" w:rightChars="0" w:firstLine="0" w:firstLineChars="0"/>
                    <w:jc w:val="center"/>
                    <w:textAlignment w:val="auto"/>
                    <w:rPr>
                      <w:rFonts w:hint="default"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0.3345</w:t>
                  </w:r>
                </w:p>
              </w:tc>
            </w:tr>
            <w:tr w14:paraId="6C3FF4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268" w:type="dxa"/>
                  <w:vMerge w:val="restart"/>
                  <w:noWrap w:val="0"/>
                  <w:vAlign w:val="center"/>
                </w:tcPr>
                <w:p w14:paraId="29440876">
                  <w:pPr>
                    <w:shd w:val="clear"/>
                    <w:adjustRightInd w:val="0"/>
                    <w:snapToGrid w:val="0"/>
                    <w:spacing w:line="240" w:lineRule="auto"/>
                    <w:jc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G2</w:t>
                  </w:r>
                </w:p>
              </w:tc>
              <w:tc>
                <w:tcPr>
                  <w:tcW w:w="1331" w:type="dxa"/>
                  <w:noWrap w:val="0"/>
                  <w:vAlign w:val="center"/>
                </w:tcPr>
                <w:p w14:paraId="6FB00FE1">
                  <w:pPr>
                    <w:shd w:val="clear"/>
                    <w:adjustRightInd w:val="0"/>
                    <w:snapToGrid w:val="0"/>
                    <w:spacing w:line="240" w:lineRule="auto"/>
                    <w:jc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非甲烷总烃</w:t>
                  </w:r>
                  <w:r>
                    <w:rPr>
                      <w:rFonts w:hint="eastAsia" w:cs="Times New Roman"/>
                      <w:color w:val="auto"/>
                      <w:kern w:val="0"/>
                      <w:sz w:val="21"/>
                      <w:szCs w:val="21"/>
                      <w:highlight w:val="none"/>
                      <w:lang w:val="en-US" w:eastAsia="zh-CN" w:bidi="ar-SA"/>
                    </w:rPr>
                    <w:t>(TVOC)</w:t>
                  </w:r>
                </w:p>
              </w:tc>
              <w:tc>
                <w:tcPr>
                  <w:tcW w:w="1550" w:type="dxa"/>
                  <w:noWrap w:val="0"/>
                  <w:vAlign w:val="center"/>
                </w:tcPr>
                <w:p w14:paraId="3F775B88">
                  <w:pPr>
                    <w:keepNext w:val="0"/>
                    <w:keepLines w:val="0"/>
                    <w:pageBreakBefore w:val="0"/>
                    <w:widowControl w:val="0"/>
                    <w:shd w:val="clear"/>
                    <w:kinsoku/>
                    <w:wordWrap/>
                    <w:overflowPunct/>
                    <w:topLinePunct w:val="0"/>
                    <w:autoSpaceDE/>
                    <w:autoSpaceDN/>
                    <w:bidi w:val="0"/>
                    <w:adjustRightInd/>
                    <w:snapToGrid w:val="0"/>
                    <w:spacing w:before="0" w:line="240" w:lineRule="auto"/>
                    <w:ind w:left="0" w:leftChars="0" w:right="0" w:rightChars="0" w:firstLine="0" w:firstLineChars="0"/>
                    <w:jc w:val="center"/>
                    <w:textAlignment w:val="auto"/>
                    <w:rPr>
                      <w:rFonts w:hint="default"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0.0792</w:t>
                  </w:r>
                </w:p>
              </w:tc>
              <w:tc>
                <w:tcPr>
                  <w:tcW w:w="1508" w:type="dxa"/>
                  <w:noWrap w:val="0"/>
                  <w:vAlign w:val="center"/>
                </w:tcPr>
                <w:p w14:paraId="7AEF9387">
                  <w:pPr>
                    <w:pStyle w:val="19"/>
                    <w:keepNext w:val="0"/>
                    <w:keepLines w:val="0"/>
                    <w:pageBreakBefore w:val="0"/>
                    <w:widowControl w:val="0"/>
                    <w:shd w:val="clear"/>
                    <w:kinsoku/>
                    <w:wordWrap/>
                    <w:overflowPunct/>
                    <w:topLinePunct w:val="0"/>
                    <w:autoSpaceDE/>
                    <w:autoSpaceDN/>
                    <w:bidi w:val="0"/>
                    <w:adjustRightInd/>
                    <w:snapToGrid w:val="0"/>
                    <w:spacing w:before="0" w:line="240" w:lineRule="auto"/>
                    <w:ind w:left="0" w:leftChars="0" w:right="0" w:rightChars="0" w:firstLine="0" w:firstLineChars="0"/>
                    <w:jc w:val="center"/>
                    <w:textAlignment w:val="auto"/>
                    <w:rPr>
                      <w:rFonts w:hint="default"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0.00103</w:t>
                  </w:r>
                </w:p>
              </w:tc>
              <w:tc>
                <w:tcPr>
                  <w:tcW w:w="1243" w:type="dxa"/>
                  <w:noWrap w:val="0"/>
                  <w:vAlign w:val="center"/>
                </w:tcPr>
                <w:p w14:paraId="623855BE">
                  <w:pPr>
                    <w:pStyle w:val="19"/>
                    <w:keepNext w:val="0"/>
                    <w:keepLines w:val="0"/>
                    <w:pageBreakBefore w:val="0"/>
                    <w:widowControl w:val="0"/>
                    <w:shd w:val="clear"/>
                    <w:kinsoku/>
                    <w:wordWrap/>
                    <w:overflowPunct/>
                    <w:topLinePunct w:val="0"/>
                    <w:autoSpaceDE/>
                    <w:autoSpaceDN/>
                    <w:bidi w:val="0"/>
                    <w:adjustRightInd/>
                    <w:snapToGrid w:val="0"/>
                    <w:spacing w:before="0" w:line="240" w:lineRule="auto"/>
                    <w:ind w:left="0" w:leftChars="0" w:right="0" w:rightChars="0" w:firstLine="0" w:firstLineChars="0"/>
                    <w:jc w:val="center"/>
                    <w:textAlignment w:val="auto"/>
                    <w:rPr>
                      <w:rFonts w:hint="default"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2.4811</w:t>
                  </w:r>
                </w:p>
              </w:tc>
            </w:tr>
            <w:tr w14:paraId="554CDD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268" w:type="dxa"/>
                  <w:vMerge w:val="continue"/>
                  <w:noWrap w:val="0"/>
                  <w:vAlign w:val="center"/>
                </w:tcPr>
                <w:p w14:paraId="1D29BC5C">
                  <w:pPr>
                    <w:shd w:val="clear"/>
                    <w:adjustRightInd w:val="0"/>
                    <w:snapToGrid w:val="0"/>
                    <w:spacing w:line="240" w:lineRule="auto"/>
                    <w:jc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p>
              </w:tc>
              <w:tc>
                <w:tcPr>
                  <w:tcW w:w="1331" w:type="dxa"/>
                  <w:noWrap w:val="0"/>
                  <w:vAlign w:val="center"/>
                </w:tcPr>
                <w:p w14:paraId="7563FA0E">
                  <w:pPr>
                    <w:shd w:val="clear"/>
                    <w:adjustRightInd w:val="0"/>
                    <w:snapToGrid w:val="0"/>
                    <w:spacing w:line="240" w:lineRule="auto"/>
                    <w:jc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其中：甲苯</w:t>
                  </w:r>
                </w:p>
              </w:tc>
              <w:tc>
                <w:tcPr>
                  <w:tcW w:w="1550" w:type="dxa"/>
                  <w:noWrap w:val="0"/>
                  <w:vAlign w:val="center"/>
                </w:tcPr>
                <w:p w14:paraId="3DA9FD39">
                  <w:pPr>
                    <w:keepNext w:val="0"/>
                    <w:keepLines w:val="0"/>
                    <w:pageBreakBefore w:val="0"/>
                    <w:widowControl w:val="0"/>
                    <w:shd w:val="clear"/>
                    <w:kinsoku/>
                    <w:wordWrap/>
                    <w:overflowPunct/>
                    <w:topLinePunct w:val="0"/>
                    <w:autoSpaceDE/>
                    <w:autoSpaceDN/>
                    <w:bidi w:val="0"/>
                    <w:adjustRightInd/>
                    <w:snapToGrid w:val="0"/>
                    <w:spacing w:before="0" w:line="240" w:lineRule="auto"/>
                    <w:ind w:left="0" w:leftChars="0" w:right="0" w:rightChars="0" w:firstLine="0" w:firstLineChars="0"/>
                    <w:jc w:val="center"/>
                    <w:textAlignment w:val="auto"/>
                    <w:rPr>
                      <w:rFonts w:hint="eastAsia"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0.0177</w:t>
                  </w:r>
                </w:p>
              </w:tc>
              <w:tc>
                <w:tcPr>
                  <w:tcW w:w="1508" w:type="dxa"/>
                  <w:noWrap w:val="0"/>
                  <w:vAlign w:val="center"/>
                </w:tcPr>
                <w:p w14:paraId="653AA51E">
                  <w:pPr>
                    <w:pStyle w:val="19"/>
                    <w:keepNext w:val="0"/>
                    <w:keepLines w:val="0"/>
                    <w:pageBreakBefore w:val="0"/>
                    <w:widowControl w:val="0"/>
                    <w:shd w:val="clear"/>
                    <w:kinsoku/>
                    <w:wordWrap/>
                    <w:overflowPunct/>
                    <w:topLinePunct w:val="0"/>
                    <w:autoSpaceDE/>
                    <w:autoSpaceDN/>
                    <w:bidi w:val="0"/>
                    <w:adjustRightInd/>
                    <w:snapToGrid w:val="0"/>
                    <w:spacing w:before="0" w:line="240" w:lineRule="auto"/>
                    <w:ind w:left="0" w:leftChars="0" w:right="0" w:rightChars="0" w:firstLine="0" w:firstLineChars="0"/>
                    <w:jc w:val="center"/>
                    <w:textAlignment w:val="auto"/>
                    <w:rPr>
                      <w:rFonts w:hint="default"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0.00023</w:t>
                  </w:r>
                </w:p>
              </w:tc>
              <w:tc>
                <w:tcPr>
                  <w:tcW w:w="1243" w:type="dxa"/>
                  <w:noWrap w:val="0"/>
                  <w:vAlign w:val="center"/>
                </w:tcPr>
                <w:p w14:paraId="139FF026">
                  <w:pPr>
                    <w:pStyle w:val="19"/>
                    <w:keepNext w:val="0"/>
                    <w:keepLines w:val="0"/>
                    <w:pageBreakBefore w:val="0"/>
                    <w:widowControl w:val="0"/>
                    <w:shd w:val="clear"/>
                    <w:kinsoku/>
                    <w:wordWrap/>
                    <w:overflowPunct/>
                    <w:topLinePunct w:val="0"/>
                    <w:autoSpaceDE/>
                    <w:autoSpaceDN/>
                    <w:bidi w:val="0"/>
                    <w:adjustRightInd/>
                    <w:snapToGrid w:val="0"/>
                    <w:spacing w:before="0" w:line="240" w:lineRule="auto"/>
                    <w:ind w:left="0" w:leftChars="0" w:right="0" w:rightChars="0" w:firstLine="0" w:firstLineChars="0"/>
                    <w:jc w:val="center"/>
                    <w:textAlignment w:val="auto"/>
                    <w:rPr>
                      <w:rFonts w:hint="default"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0.54</w:t>
                  </w:r>
                </w:p>
              </w:tc>
            </w:tr>
            <w:tr w14:paraId="14EB8E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268" w:type="dxa"/>
                  <w:vMerge w:val="continue"/>
                  <w:noWrap w:val="0"/>
                  <w:vAlign w:val="center"/>
                </w:tcPr>
                <w:p w14:paraId="1595D0A6">
                  <w:pPr>
                    <w:shd w:val="clear"/>
                    <w:adjustRightInd w:val="0"/>
                    <w:snapToGrid w:val="0"/>
                    <w:spacing w:line="240" w:lineRule="auto"/>
                    <w:jc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p>
              </w:tc>
              <w:tc>
                <w:tcPr>
                  <w:tcW w:w="1331" w:type="dxa"/>
                  <w:noWrap w:val="0"/>
                  <w:vAlign w:val="center"/>
                </w:tcPr>
                <w:p w14:paraId="1DAA244E">
                  <w:pPr>
                    <w:shd w:val="clear"/>
                    <w:adjustRightInd w:val="0"/>
                    <w:snapToGrid w:val="0"/>
                    <w:spacing w:line="240" w:lineRule="auto"/>
                    <w:jc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其中：甲醇</w:t>
                  </w:r>
                </w:p>
              </w:tc>
              <w:tc>
                <w:tcPr>
                  <w:tcW w:w="1550" w:type="dxa"/>
                  <w:noWrap w:val="0"/>
                  <w:vAlign w:val="center"/>
                </w:tcPr>
                <w:p w14:paraId="5309F696">
                  <w:pPr>
                    <w:keepNext w:val="0"/>
                    <w:keepLines w:val="0"/>
                    <w:pageBreakBefore w:val="0"/>
                    <w:widowControl w:val="0"/>
                    <w:shd w:val="clear"/>
                    <w:kinsoku/>
                    <w:wordWrap/>
                    <w:overflowPunct/>
                    <w:topLinePunct w:val="0"/>
                    <w:autoSpaceDE/>
                    <w:autoSpaceDN/>
                    <w:bidi w:val="0"/>
                    <w:adjustRightInd/>
                    <w:snapToGrid w:val="0"/>
                    <w:spacing w:before="0" w:line="240" w:lineRule="auto"/>
                    <w:ind w:left="0" w:leftChars="0" w:right="0" w:rightChars="0" w:firstLine="0" w:firstLineChars="0"/>
                    <w:jc w:val="center"/>
                    <w:textAlignment w:val="auto"/>
                    <w:rPr>
                      <w:rFonts w:hint="default"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0.0085</w:t>
                  </w:r>
                </w:p>
              </w:tc>
              <w:tc>
                <w:tcPr>
                  <w:tcW w:w="1508" w:type="dxa"/>
                  <w:noWrap w:val="0"/>
                  <w:vAlign w:val="center"/>
                </w:tcPr>
                <w:p w14:paraId="229C8B78">
                  <w:pPr>
                    <w:pStyle w:val="19"/>
                    <w:keepNext w:val="0"/>
                    <w:keepLines w:val="0"/>
                    <w:pageBreakBefore w:val="0"/>
                    <w:widowControl w:val="0"/>
                    <w:shd w:val="clear"/>
                    <w:kinsoku/>
                    <w:wordWrap/>
                    <w:overflowPunct/>
                    <w:topLinePunct w:val="0"/>
                    <w:autoSpaceDE/>
                    <w:autoSpaceDN/>
                    <w:bidi w:val="0"/>
                    <w:adjustRightInd/>
                    <w:snapToGrid w:val="0"/>
                    <w:spacing w:before="0" w:line="240" w:lineRule="auto"/>
                    <w:ind w:left="0" w:leftChars="0" w:right="0" w:rightChars="0" w:firstLine="0" w:firstLineChars="0"/>
                    <w:jc w:val="center"/>
                    <w:textAlignment w:val="auto"/>
                    <w:rPr>
                      <w:rFonts w:hint="default"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0.00011</w:t>
                  </w:r>
                </w:p>
              </w:tc>
              <w:tc>
                <w:tcPr>
                  <w:tcW w:w="1243" w:type="dxa"/>
                  <w:noWrap w:val="0"/>
                  <w:vAlign w:val="center"/>
                </w:tcPr>
                <w:p w14:paraId="35654A9E">
                  <w:pPr>
                    <w:pStyle w:val="19"/>
                    <w:keepNext w:val="0"/>
                    <w:keepLines w:val="0"/>
                    <w:pageBreakBefore w:val="0"/>
                    <w:widowControl w:val="0"/>
                    <w:shd w:val="clear"/>
                    <w:kinsoku/>
                    <w:wordWrap/>
                    <w:overflowPunct/>
                    <w:topLinePunct w:val="0"/>
                    <w:autoSpaceDE/>
                    <w:autoSpaceDN/>
                    <w:bidi w:val="0"/>
                    <w:adjustRightInd/>
                    <w:snapToGrid w:val="0"/>
                    <w:spacing w:before="0" w:line="240" w:lineRule="auto"/>
                    <w:ind w:left="0" w:leftChars="0" w:right="0" w:rightChars="0" w:firstLine="0" w:firstLineChars="0"/>
                    <w:jc w:val="center"/>
                    <w:textAlignment w:val="auto"/>
                    <w:rPr>
                      <w:rFonts w:hint="default"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0.27</w:t>
                  </w:r>
                </w:p>
              </w:tc>
            </w:tr>
            <w:tr w14:paraId="45ACBA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268" w:type="dxa"/>
                  <w:vMerge w:val="continue"/>
                  <w:noWrap w:val="0"/>
                  <w:vAlign w:val="center"/>
                </w:tcPr>
                <w:p w14:paraId="674CF8C7">
                  <w:pPr>
                    <w:shd w:val="clear"/>
                    <w:adjustRightInd w:val="0"/>
                    <w:snapToGrid w:val="0"/>
                    <w:spacing w:line="240" w:lineRule="auto"/>
                    <w:jc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p>
              </w:tc>
              <w:tc>
                <w:tcPr>
                  <w:tcW w:w="1331" w:type="dxa"/>
                  <w:noWrap w:val="0"/>
                  <w:vAlign w:val="top"/>
                </w:tcPr>
                <w:p w14:paraId="3EABDB6C">
                  <w:pPr>
                    <w:shd w:val="clear"/>
                    <w:adjustRightInd w:val="0"/>
                    <w:snapToGrid w:val="0"/>
                    <w:spacing w:line="240" w:lineRule="auto"/>
                    <w:jc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颗粒物</w:t>
                  </w:r>
                </w:p>
              </w:tc>
              <w:tc>
                <w:tcPr>
                  <w:tcW w:w="1550" w:type="dxa"/>
                  <w:noWrap w:val="0"/>
                  <w:vAlign w:val="center"/>
                </w:tcPr>
                <w:p w14:paraId="0CE05DAE">
                  <w:pPr>
                    <w:keepNext w:val="0"/>
                    <w:keepLines w:val="0"/>
                    <w:pageBreakBefore w:val="0"/>
                    <w:widowControl w:val="0"/>
                    <w:shd w:val="clear"/>
                    <w:kinsoku/>
                    <w:wordWrap/>
                    <w:overflowPunct/>
                    <w:topLinePunct w:val="0"/>
                    <w:autoSpaceDE/>
                    <w:autoSpaceDN/>
                    <w:bidi w:val="0"/>
                    <w:adjustRightInd/>
                    <w:snapToGrid w:val="0"/>
                    <w:spacing w:before="0" w:line="240" w:lineRule="auto"/>
                    <w:ind w:left="0" w:leftChars="0" w:right="0" w:rightChars="0" w:firstLine="0" w:firstLineChars="0"/>
                    <w:jc w:val="center"/>
                    <w:textAlignment w:val="auto"/>
                    <w:rPr>
                      <w:rFonts w:hint="default"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0.09923</w:t>
                  </w:r>
                </w:p>
              </w:tc>
              <w:tc>
                <w:tcPr>
                  <w:tcW w:w="1508" w:type="dxa"/>
                  <w:noWrap w:val="0"/>
                  <w:vAlign w:val="center"/>
                </w:tcPr>
                <w:p w14:paraId="43C1ACB5">
                  <w:pPr>
                    <w:pStyle w:val="19"/>
                    <w:keepNext w:val="0"/>
                    <w:keepLines w:val="0"/>
                    <w:pageBreakBefore w:val="0"/>
                    <w:widowControl w:val="0"/>
                    <w:shd w:val="clear"/>
                    <w:kinsoku/>
                    <w:wordWrap/>
                    <w:overflowPunct/>
                    <w:topLinePunct w:val="0"/>
                    <w:autoSpaceDE/>
                    <w:autoSpaceDN/>
                    <w:bidi w:val="0"/>
                    <w:adjustRightInd/>
                    <w:snapToGrid w:val="0"/>
                    <w:spacing w:before="0" w:line="240" w:lineRule="auto"/>
                    <w:ind w:left="0" w:leftChars="0" w:right="0" w:rightChars="0" w:firstLine="0" w:firstLineChars="0"/>
                    <w:jc w:val="center"/>
                    <w:textAlignment w:val="auto"/>
                    <w:rPr>
                      <w:rFonts w:hint="default"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0.00129</w:t>
                  </w:r>
                </w:p>
              </w:tc>
              <w:tc>
                <w:tcPr>
                  <w:tcW w:w="1243" w:type="dxa"/>
                  <w:noWrap w:val="0"/>
                  <w:vAlign w:val="center"/>
                </w:tcPr>
                <w:p w14:paraId="12BE81A4">
                  <w:pPr>
                    <w:pStyle w:val="19"/>
                    <w:keepNext w:val="0"/>
                    <w:keepLines w:val="0"/>
                    <w:pageBreakBefore w:val="0"/>
                    <w:widowControl w:val="0"/>
                    <w:shd w:val="clear"/>
                    <w:kinsoku/>
                    <w:wordWrap/>
                    <w:overflowPunct/>
                    <w:topLinePunct w:val="0"/>
                    <w:autoSpaceDE/>
                    <w:autoSpaceDN/>
                    <w:bidi w:val="0"/>
                    <w:adjustRightInd/>
                    <w:snapToGrid w:val="0"/>
                    <w:spacing w:before="0" w:line="240" w:lineRule="auto"/>
                    <w:ind w:left="0" w:leftChars="0" w:right="0" w:rightChars="0" w:firstLine="0" w:firstLineChars="0"/>
                    <w:jc w:val="center"/>
                    <w:textAlignment w:val="auto"/>
                    <w:rPr>
                      <w:rFonts w:hint="default"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3.096</w:t>
                  </w:r>
                </w:p>
              </w:tc>
            </w:tr>
            <w:tr w14:paraId="3222DE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1268" w:type="dxa"/>
                  <w:vMerge w:val="restart"/>
                  <w:noWrap w:val="0"/>
                  <w:vAlign w:val="center"/>
                </w:tcPr>
                <w:p w14:paraId="7BA6F6FC">
                  <w:pPr>
                    <w:shd w:val="clear"/>
                    <w:adjustRightInd w:val="0"/>
                    <w:snapToGrid w:val="0"/>
                    <w:spacing w:line="240" w:lineRule="auto"/>
                    <w:jc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有组织排放</w:t>
                  </w:r>
                  <w:r>
                    <w:rPr>
                      <w:rFonts w:hint="default" w:ascii="Times New Roman" w:hAnsi="Times New Roman" w:eastAsia="宋体" w:cs="Times New Roman"/>
                      <w:b w:val="0"/>
                      <w:bCs w:val="0"/>
                      <w:color w:val="auto"/>
                      <w:kern w:val="2"/>
                      <w:sz w:val="21"/>
                      <w:szCs w:val="21"/>
                      <w:highlight w:val="none"/>
                      <w:vertAlign w:val="baseline"/>
                      <w:lang w:val="en-US" w:eastAsia="zh-CN" w:bidi="ar-SA"/>
                    </w:rPr>
                    <w:t>合计</w:t>
                  </w:r>
                </w:p>
              </w:tc>
              <w:tc>
                <w:tcPr>
                  <w:tcW w:w="4389" w:type="dxa"/>
                  <w:gridSpan w:val="3"/>
                  <w:noWrap w:val="0"/>
                  <w:vAlign w:val="center"/>
                </w:tcPr>
                <w:p w14:paraId="4626BE6A">
                  <w:pPr>
                    <w:keepNext w:val="0"/>
                    <w:keepLines w:val="0"/>
                    <w:pageBreakBefore w:val="0"/>
                    <w:widowControl w:val="0"/>
                    <w:shd w:val="clear"/>
                    <w:kinsoku/>
                    <w:wordWrap/>
                    <w:overflowPunct w:val="0"/>
                    <w:topLinePunct w:val="0"/>
                    <w:autoSpaceDE w:val="0"/>
                    <w:autoSpaceDN w:val="0"/>
                    <w:bidi w:val="0"/>
                    <w:adjustRightInd/>
                    <w:snapToGrid w:val="0"/>
                    <w:spacing w:before="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硫酸雾</w:t>
                  </w:r>
                </w:p>
              </w:tc>
              <w:tc>
                <w:tcPr>
                  <w:tcW w:w="1243" w:type="dxa"/>
                  <w:noWrap w:val="0"/>
                  <w:vAlign w:val="center"/>
                </w:tcPr>
                <w:p w14:paraId="0F45C78B">
                  <w:pPr>
                    <w:pStyle w:val="19"/>
                    <w:keepNext w:val="0"/>
                    <w:keepLines w:val="0"/>
                    <w:pageBreakBefore w:val="0"/>
                    <w:widowControl w:val="0"/>
                    <w:shd w:val="clear"/>
                    <w:kinsoku/>
                    <w:wordWrap/>
                    <w:overflowPunct/>
                    <w:topLinePunct w:val="0"/>
                    <w:autoSpaceDE/>
                    <w:autoSpaceDN/>
                    <w:bidi w:val="0"/>
                    <w:adjustRightInd/>
                    <w:snapToGrid w:val="0"/>
                    <w:spacing w:before="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0.03803</w:t>
                  </w:r>
                </w:p>
              </w:tc>
            </w:tr>
            <w:tr w14:paraId="5884B3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1268" w:type="dxa"/>
                  <w:vMerge w:val="continue"/>
                  <w:noWrap w:val="0"/>
                  <w:vAlign w:val="top"/>
                </w:tcPr>
                <w:p w14:paraId="60E3EAC0">
                  <w:pPr>
                    <w:shd w:val="clear"/>
                    <w:adjustRightInd w:val="0"/>
                    <w:snapToGrid w:val="0"/>
                    <w:spacing w:line="240" w:lineRule="auto"/>
                    <w:jc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p>
              </w:tc>
              <w:tc>
                <w:tcPr>
                  <w:tcW w:w="4389" w:type="dxa"/>
                  <w:gridSpan w:val="3"/>
                  <w:noWrap w:val="0"/>
                  <w:vAlign w:val="center"/>
                </w:tcPr>
                <w:p w14:paraId="2FC35941">
                  <w:pPr>
                    <w:keepNext w:val="0"/>
                    <w:keepLines w:val="0"/>
                    <w:pageBreakBefore w:val="0"/>
                    <w:widowControl w:val="0"/>
                    <w:shd w:val="clear"/>
                    <w:kinsoku/>
                    <w:wordWrap/>
                    <w:overflowPunct w:val="0"/>
                    <w:topLinePunct w:val="0"/>
                    <w:autoSpaceDE w:val="0"/>
                    <w:autoSpaceDN w:val="0"/>
                    <w:bidi w:val="0"/>
                    <w:adjustRightInd/>
                    <w:snapToGrid w:val="0"/>
                    <w:spacing w:before="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氯化氢</w:t>
                  </w:r>
                </w:p>
              </w:tc>
              <w:tc>
                <w:tcPr>
                  <w:tcW w:w="1243" w:type="dxa"/>
                  <w:noWrap w:val="0"/>
                  <w:vAlign w:val="center"/>
                </w:tcPr>
                <w:p w14:paraId="16BDA0F5">
                  <w:pPr>
                    <w:pStyle w:val="19"/>
                    <w:keepNext w:val="0"/>
                    <w:keepLines w:val="0"/>
                    <w:pageBreakBefore w:val="0"/>
                    <w:widowControl w:val="0"/>
                    <w:shd w:val="clear"/>
                    <w:kinsoku/>
                    <w:wordWrap/>
                    <w:overflowPunct/>
                    <w:topLinePunct w:val="0"/>
                    <w:autoSpaceDE/>
                    <w:autoSpaceDN/>
                    <w:bidi w:val="0"/>
                    <w:adjustRightInd/>
                    <w:snapToGrid w:val="0"/>
                    <w:spacing w:before="0" w:line="240" w:lineRule="auto"/>
                    <w:ind w:left="0" w:leftChars="0" w:right="0" w:rightChars="0" w:firstLine="0" w:firstLineChars="0"/>
                    <w:jc w:val="center"/>
                    <w:textAlignment w:val="auto"/>
                    <w:rPr>
                      <w:rFonts w:hint="default"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1.78425</w:t>
                  </w:r>
                </w:p>
              </w:tc>
            </w:tr>
            <w:tr w14:paraId="3FACD5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1268" w:type="dxa"/>
                  <w:vMerge w:val="continue"/>
                  <w:noWrap w:val="0"/>
                  <w:vAlign w:val="top"/>
                </w:tcPr>
                <w:p w14:paraId="1F14BDCB">
                  <w:pPr>
                    <w:shd w:val="clear"/>
                    <w:adjustRightInd w:val="0"/>
                    <w:snapToGrid w:val="0"/>
                    <w:spacing w:line="240" w:lineRule="auto"/>
                    <w:jc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p>
              </w:tc>
              <w:tc>
                <w:tcPr>
                  <w:tcW w:w="4389" w:type="dxa"/>
                  <w:gridSpan w:val="3"/>
                  <w:noWrap w:val="0"/>
                  <w:vAlign w:val="center"/>
                </w:tcPr>
                <w:p w14:paraId="7D9A69FB">
                  <w:pPr>
                    <w:keepNext w:val="0"/>
                    <w:keepLines w:val="0"/>
                    <w:pageBreakBefore w:val="0"/>
                    <w:widowControl w:val="0"/>
                    <w:shd w:val="clear"/>
                    <w:kinsoku/>
                    <w:wordWrap/>
                    <w:overflowPunct w:val="0"/>
                    <w:topLinePunct w:val="0"/>
                    <w:autoSpaceDE w:val="0"/>
                    <w:autoSpaceDN w:val="0"/>
                    <w:bidi w:val="0"/>
                    <w:adjustRightInd/>
                    <w:snapToGrid w:val="0"/>
                    <w:spacing w:before="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氮氧化物</w:t>
                  </w:r>
                </w:p>
              </w:tc>
              <w:tc>
                <w:tcPr>
                  <w:tcW w:w="1243" w:type="dxa"/>
                  <w:noWrap w:val="0"/>
                  <w:vAlign w:val="center"/>
                </w:tcPr>
                <w:p w14:paraId="360773A7">
                  <w:pPr>
                    <w:pStyle w:val="19"/>
                    <w:keepNext w:val="0"/>
                    <w:keepLines w:val="0"/>
                    <w:pageBreakBefore w:val="0"/>
                    <w:widowControl w:val="0"/>
                    <w:shd w:val="clear"/>
                    <w:kinsoku/>
                    <w:wordWrap/>
                    <w:overflowPunct/>
                    <w:topLinePunct w:val="0"/>
                    <w:autoSpaceDE/>
                    <w:autoSpaceDN/>
                    <w:bidi w:val="0"/>
                    <w:adjustRightInd/>
                    <w:snapToGrid w:val="0"/>
                    <w:spacing w:before="0" w:line="240" w:lineRule="auto"/>
                    <w:ind w:left="0" w:leftChars="0" w:right="0" w:rightChars="0" w:firstLine="0" w:firstLineChars="0"/>
                    <w:jc w:val="center"/>
                    <w:textAlignment w:val="auto"/>
                    <w:rPr>
                      <w:rFonts w:hint="eastAsia"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0.3345</w:t>
                  </w:r>
                </w:p>
              </w:tc>
            </w:tr>
            <w:tr w14:paraId="62F920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1268" w:type="dxa"/>
                  <w:vMerge w:val="continue"/>
                  <w:noWrap w:val="0"/>
                  <w:vAlign w:val="top"/>
                </w:tcPr>
                <w:p w14:paraId="586C74E5">
                  <w:pPr>
                    <w:shd w:val="clear"/>
                    <w:adjustRightInd w:val="0"/>
                    <w:snapToGrid w:val="0"/>
                    <w:spacing w:line="240" w:lineRule="auto"/>
                    <w:jc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p>
              </w:tc>
              <w:tc>
                <w:tcPr>
                  <w:tcW w:w="4389" w:type="dxa"/>
                  <w:gridSpan w:val="3"/>
                  <w:noWrap w:val="0"/>
                  <w:vAlign w:val="center"/>
                </w:tcPr>
                <w:p w14:paraId="4319A73D">
                  <w:pPr>
                    <w:keepNext w:val="0"/>
                    <w:keepLines w:val="0"/>
                    <w:pageBreakBefore w:val="0"/>
                    <w:widowControl w:val="0"/>
                    <w:shd w:val="clear"/>
                    <w:kinsoku/>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非甲烷总烃</w:t>
                  </w:r>
                  <w:r>
                    <w:rPr>
                      <w:rFonts w:hint="eastAsia" w:cs="Times New Roman"/>
                      <w:color w:val="auto"/>
                      <w:kern w:val="0"/>
                      <w:sz w:val="21"/>
                      <w:szCs w:val="21"/>
                      <w:highlight w:val="none"/>
                      <w:lang w:val="en-US" w:eastAsia="zh-CN" w:bidi="ar-SA"/>
                    </w:rPr>
                    <w:t>(TVOC)</w:t>
                  </w:r>
                </w:p>
              </w:tc>
              <w:tc>
                <w:tcPr>
                  <w:tcW w:w="1243" w:type="dxa"/>
                  <w:noWrap w:val="0"/>
                  <w:vAlign w:val="center"/>
                </w:tcPr>
                <w:p w14:paraId="70BAC10E">
                  <w:pPr>
                    <w:pStyle w:val="19"/>
                    <w:keepNext w:val="0"/>
                    <w:keepLines w:val="0"/>
                    <w:pageBreakBefore w:val="0"/>
                    <w:widowControl w:val="0"/>
                    <w:shd w:val="clear"/>
                    <w:kinsoku/>
                    <w:wordWrap/>
                    <w:overflowPunct/>
                    <w:topLinePunct w:val="0"/>
                    <w:autoSpaceDE/>
                    <w:autoSpaceDN/>
                    <w:bidi w:val="0"/>
                    <w:adjustRightInd/>
                    <w:snapToGrid w:val="0"/>
                    <w:spacing w:before="0" w:line="240" w:lineRule="auto"/>
                    <w:ind w:left="0" w:leftChars="0" w:right="0" w:rightChars="0" w:firstLine="0" w:firstLineChars="0"/>
                    <w:jc w:val="center"/>
                    <w:textAlignment w:val="auto"/>
                    <w:rPr>
                      <w:rFonts w:hint="default"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2.4811</w:t>
                  </w:r>
                </w:p>
              </w:tc>
            </w:tr>
            <w:tr w14:paraId="530218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1268" w:type="dxa"/>
                  <w:vMerge w:val="continue"/>
                  <w:noWrap w:val="0"/>
                  <w:vAlign w:val="top"/>
                </w:tcPr>
                <w:p w14:paraId="405534E8">
                  <w:pPr>
                    <w:shd w:val="clear"/>
                    <w:adjustRightInd w:val="0"/>
                    <w:snapToGrid w:val="0"/>
                    <w:spacing w:line="240" w:lineRule="auto"/>
                    <w:jc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p>
              </w:tc>
              <w:tc>
                <w:tcPr>
                  <w:tcW w:w="4389" w:type="dxa"/>
                  <w:gridSpan w:val="3"/>
                  <w:noWrap w:val="0"/>
                  <w:vAlign w:val="center"/>
                </w:tcPr>
                <w:p w14:paraId="45B77436">
                  <w:pPr>
                    <w:keepNext w:val="0"/>
                    <w:keepLines w:val="0"/>
                    <w:pageBreakBefore w:val="0"/>
                    <w:widowControl w:val="0"/>
                    <w:shd w:val="clear"/>
                    <w:kinsoku/>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其中：甲苯</w:t>
                  </w:r>
                </w:p>
              </w:tc>
              <w:tc>
                <w:tcPr>
                  <w:tcW w:w="1243" w:type="dxa"/>
                  <w:noWrap w:val="0"/>
                  <w:vAlign w:val="center"/>
                </w:tcPr>
                <w:p w14:paraId="7BE48DF7">
                  <w:pPr>
                    <w:pStyle w:val="19"/>
                    <w:keepNext w:val="0"/>
                    <w:keepLines w:val="0"/>
                    <w:pageBreakBefore w:val="0"/>
                    <w:widowControl w:val="0"/>
                    <w:shd w:val="clear"/>
                    <w:kinsoku/>
                    <w:wordWrap/>
                    <w:overflowPunct/>
                    <w:topLinePunct w:val="0"/>
                    <w:autoSpaceDE/>
                    <w:autoSpaceDN/>
                    <w:bidi w:val="0"/>
                    <w:adjustRightInd/>
                    <w:snapToGrid w:val="0"/>
                    <w:spacing w:before="0" w:line="240" w:lineRule="auto"/>
                    <w:ind w:left="0" w:leftChars="0" w:right="0" w:rightChars="0" w:firstLine="0" w:firstLineChars="0"/>
                    <w:jc w:val="center"/>
                    <w:textAlignment w:val="auto"/>
                    <w:rPr>
                      <w:rFonts w:hint="eastAsia"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0.54</w:t>
                  </w:r>
                </w:p>
              </w:tc>
            </w:tr>
            <w:tr w14:paraId="703596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1268" w:type="dxa"/>
                  <w:vMerge w:val="continue"/>
                  <w:noWrap w:val="0"/>
                  <w:vAlign w:val="top"/>
                </w:tcPr>
                <w:p w14:paraId="049061E6">
                  <w:pPr>
                    <w:shd w:val="clear"/>
                    <w:adjustRightInd w:val="0"/>
                    <w:snapToGrid w:val="0"/>
                    <w:spacing w:line="240" w:lineRule="auto"/>
                    <w:jc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p>
              </w:tc>
              <w:tc>
                <w:tcPr>
                  <w:tcW w:w="4389" w:type="dxa"/>
                  <w:gridSpan w:val="3"/>
                  <w:noWrap w:val="0"/>
                  <w:vAlign w:val="center"/>
                </w:tcPr>
                <w:p w14:paraId="564B5180">
                  <w:pPr>
                    <w:keepNext w:val="0"/>
                    <w:keepLines w:val="0"/>
                    <w:pageBreakBefore w:val="0"/>
                    <w:widowControl w:val="0"/>
                    <w:shd w:val="clear"/>
                    <w:kinsoku/>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其中：甲醇</w:t>
                  </w:r>
                </w:p>
              </w:tc>
              <w:tc>
                <w:tcPr>
                  <w:tcW w:w="1243" w:type="dxa"/>
                  <w:noWrap w:val="0"/>
                  <w:vAlign w:val="center"/>
                </w:tcPr>
                <w:p w14:paraId="4F9C30B6">
                  <w:pPr>
                    <w:pStyle w:val="19"/>
                    <w:keepNext w:val="0"/>
                    <w:keepLines w:val="0"/>
                    <w:pageBreakBefore w:val="0"/>
                    <w:widowControl w:val="0"/>
                    <w:shd w:val="clear"/>
                    <w:kinsoku/>
                    <w:wordWrap/>
                    <w:overflowPunct/>
                    <w:topLinePunct w:val="0"/>
                    <w:autoSpaceDE/>
                    <w:autoSpaceDN/>
                    <w:bidi w:val="0"/>
                    <w:adjustRightInd/>
                    <w:snapToGrid w:val="0"/>
                    <w:spacing w:before="0" w:line="240" w:lineRule="auto"/>
                    <w:ind w:left="0" w:leftChars="0" w:right="0" w:rightChars="0" w:firstLine="0" w:firstLineChars="0"/>
                    <w:jc w:val="center"/>
                    <w:textAlignment w:val="auto"/>
                    <w:rPr>
                      <w:rFonts w:hint="eastAsia"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0.27</w:t>
                  </w:r>
                </w:p>
              </w:tc>
            </w:tr>
            <w:tr w14:paraId="511F99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1268" w:type="dxa"/>
                  <w:vMerge w:val="continue"/>
                  <w:noWrap w:val="0"/>
                  <w:vAlign w:val="top"/>
                </w:tcPr>
                <w:p w14:paraId="0077CB70">
                  <w:pPr>
                    <w:shd w:val="clear"/>
                    <w:adjustRightInd w:val="0"/>
                    <w:snapToGrid w:val="0"/>
                    <w:spacing w:line="240" w:lineRule="auto"/>
                    <w:jc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p>
              </w:tc>
              <w:tc>
                <w:tcPr>
                  <w:tcW w:w="4389" w:type="dxa"/>
                  <w:gridSpan w:val="3"/>
                  <w:noWrap w:val="0"/>
                  <w:vAlign w:val="center"/>
                </w:tcPr>
                <w:p w14:paraId="2A0C777C">
                  <w:pPr>
                    <w:keepNext w:val="0"/>
                    <w:keepLines w:val="0"/>
                    <w:pageBreakBefore w:val="0"/>
                    <w:widowControl w:val="0"/>
                    <w:shd w:val="clear"/>
                    <w:kinsoku/>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颗粒物</w:t>
                  </w:r>
                </w:p>
              </w:tc>
              <w:tc>
                <w:tcPr>
                  <w:tcW w:w="1243" w:type="dxa"/>
                  <w:noWrap w:val="0"/>
                  <w:vAlign w:val="center"/>
                </w:tcPr>
                <w:p w14:paraId="65C156E9">
                  <w:pPr>
                    <w:pStyle w:val="19"/>
                    <w:keepNext w:val="0"/>
                    <w:keepLines w:val="0"/>
                    <w:pageBreakBefore w:val="0"/>
                    <w:widowControl w:val="0"/>
                    <w:shd w:val="clear"/>
                    <w:kinsoku/>
                    <w:wordWrap/>
                    <w:overflowPunct/>
                    <w:topLinePunct w:val="0"/>
                    <w:autoSpaceDE/>
                    <w:autoSpaceDN/>
                    <w:bidi w:val="0"/>
                    <w:adjustRightInd/>
                    <w:snapToGrid w:val="0"/>
                    <w:spacing w:before="0" w:line="240" w:lineRule="auto"/>
                    <w:ind w:left="0" w:leftChars="0" w:right="0" w:rightChars="0" w:firstLine="0" w:firstLineChars="0"/>
                    <w:jc w:val="center"/>
                    <w:textAlignment w:val="auto"/>
                    <w:rPr>
                      <w:rFonts w:hint="default"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3.096</w:t>
                  </w:r>
                </w:p>
              </w:tc>
            </w:tr>
          </w:tbl>
          <w:p w14:paraId="544311D9">
            <w:pPr>
              <w:shd w:val="clear"/>
              <w:adjustRightInd w:val="0"/>
              <w:snapToGrid w:val="0"/>
              <w:spacing w:line="240" w:lineRule="auto"/>
              <w:jc w:val="both"/>
              <w:rPr>
                <w:rFonts w:hint="default" w:ascii="Times New Roman" w:hAnsi="Times New Roman" w:eastAsia="宋体" w:cs="Times New Roman"/>
                <w:b/>
                <w:bCs/>
                <w:color w:val="auto"/>
                <w:kern w:val="2"/>
                <w:sz w:val="24"/>
                <w:szCs w:val="24"/>
                <w:highlight w:val="none"/>
                <w:lang w:val="en-US" w:eastAsia="zh-CN" w:bidi="ar-SA"/>
              </w:rPr>
            </w:pPr>
          </w:p>
          <w:p w14:paraId="1990F6FB">
            <w:pPr>
              <w:shd w:val="clear"/>
              <w:adjustRightInd w:val="0"/>
              <w:snapToGrid w:val="0"/>
              <w:spacing w:line="360" w:lineRule="auto"/>
              <w:ind w:firstLine="482" w:firstLineChars="200"/>
              <w:jc w:val="center"/>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表2</w:t>
            </w:r>
            <w:r>
              <w:rPr>
                <w:rFonts w:hint="eastAsia" w:cs="Times New Roman"/>
                <w:b/>
                <w:bCs/>
                <w:color w:val="auto"/>
                <w:kern w:val="2"/>
                <w:sz w:val="24"/>
                <w:szCs w:val="24"/>
                <w:highlight w:val="none"/>
                <w:lang w:val="en-US" w:eastAsia="zh-CN" w:bidi="ar-SA"/>
              </w:rPr>
              <w:t>7</w:t>
            </w:r>
            <w:r>
              <w:rPr>
                <w:rFonts w:hint="default" w:ascii="Times New Roman" w:hAnsi="Times New Roman" w:eastAsia="宋体" w:cs="Times New Roman"/>
                <w:b/>
                <w:bCs/>
                <w:color w:val="auto"/>
                <w:kern w:val="2"/>
                <w:sz w:val="24"/>
                <w:szCs w:val="24"/>
                <w:highlight w:val="none"/>
                <w:lang w:val="en-US" w:eastAsia="zh-CN" w:bidi="ar-SA"/>
              </w:rPr>
              <w:t>大气污染物无组织排放核算表</w:t>
            </w:r>
          </w:p>
          <w:tbl>
            <w:tblPr>
              <w:tblStyle w:val="34"/>
              <w:tblW w:w="760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84"/>
              <w:gridCol w:w="784"/>
              <w:gridCol w:w="854"/>
              <w:gridCol w:w="1072"/>
              <w:gridCol w:w="1941"/>
              <w:gridCol w:w="1219"/>
              <w:gridCol w:w="952"/>
            </w:tblGrid>
            <w:tr w14:paraId="5D213A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96" w:type="dxa"/>
                  <w:vMerge w:val="restart"/>
                  <w:noWrap w:val="0"/>
                  <w:vAlign w:val="center"/>
                </w:tcPr>
                <w:p w14:paraId="7163238A">
                  <w:pPr>
                    <w:shd w:val="clear"/>
                    <w:adjustRightInd w:val="0"/>
                    <w:snapToGrid w:val="0"/>
                    <w:spacing w:line="240" w:lineRule="auto"/>
                    <w:jc w:val="center"/>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eastAsia" w:cs="Times New Roman"/>
                      <w:b/>
                      <w:bCs/>
                      <w:color w:val="auto"/>
                      <w:kern w:val="2"/>
                      <w:sz w:val="21"/>
                      <w:szCs w:val="21"/>
                      <w:highlight w:val="none"/>
                      <w:vertAlign w:val="baseline"/>
                      <w:lang w:val="en-US" w:eastAsia="zh-CN" w:bidi="ar-SA"/>
                    </w:rPr>
                    <w:t>序号</w:t>
                  </w:r>
                </w:p>
              </w:tc>
              <w:tc>
                <w:tcPr>
                  <w:tcW w:w="796" w:type="dxa"/>
                  <w:vMerge w:val="restart"/>
                  <w:noWrap w:val="0"/>
                  <w:vAlign w:val="center"/>
                </w:tcPr>
                <w:p w14:paraId="63F9428E">
                  <w:pPr>
                    <w:shd w:val="clear"/>
                    <w:adjustRightInd w:val="0"/>
                    <w:snapToGrid w:val="0"/>
                    <w:spacing w:line="240" w:lineRule="auto"/>
                    <w:jc w:val="center"/>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default" w:ascii="Times New Roman" w:hAnsi="Times New Roman" w:eastAsia="宋体" w:cs="Times New Roman"/>
                      <w:b/>
                      <w:bCs/>
                      <w:color w:val="auto"/>
                      <w:kern w:val="2"/>
                      <w:sz w:val="21"/>
                      <w:szCs w:val="21"/>
                      <w:highlight w:val="none"/>
                      <w:vertAlign w:val="baseline"/>
                      <w:lang w:val="en-US" w:eastAsia="zh-CN" w:bidi="ar-SA"/>
                    </w:rPr>
                    <w:t>产污环节</w:t>
                  </w:r>
                </w:p>
              </w:tc>
              <w:tc>
                <w:tcPr>
                  <w:tcW w:w="861" w:type="dxa"/>
                  <w:vMerge w:val="restart"/>
                  <w:noWrap w:val="0"/>
                  <w:vAlign w:val="center"/>
                </w:tcPr>
                <w:p w14:paraId="2A773057">
                  <w:pPr>
                    <w:shd w:val="clear"/>
                    <w:adjustRightInd w:val="0"/>
                    <w:snapToGrid w:val="0"/>
                    <w:spacing w:line="240" w:lineRule="auto"/>
                    <w:jc w:val="center"/>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default" w:ascii="Times New Roman" w:hAnsi="Times New Roman" w:eastAsia="宋体" w:cs="Times New Roman"/>
                      <w:b/>
                      <w:bCs/>
                      <w:color w:val="auto"/>
                      <w:kern w:val="2"/>
                      <w:sz w:val="21"/>
                      <w:szCs w:val="21"/>
                      <w:highlight w:val="none"/>
                      <w:vertAlign w:val="baseline"/>
                      <w:lang w:val="en-US" w:eastAsia="zh-CN" w:bidi="ar-SA"/>
                    </w:rPr>
                    <w:t>污染物</w:t>
                  </w:r>
                </w:p>
              </w:tc>
              <w:tc>
                <w:tcPr>
                  <w:tcW w:w="1094" w:type="dxa"/>
                  <w:vMerge w:val="restart"/>
                  <w:noWrap w:val="0"/>
                  <w:vAlign w:val="center"/>
                </w:tcPr>
                <w:p w14:paraId="69A49903">
                  <w:pPr>
                    <w:shd w:val="clear"/>
                    <w:adjustRightInd w:val="0"/>
                    <w:snapToGrid w:val="0"/>
                    <w:spacing w:line="240" w:lineRule="auto"/>
                    <w:jc w:val="center"/>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default" w:ascii="Times New Roman" w:hAnsi="Times New Roman" w:eastAsia="宋体" w:cs="Times New Roman"/>
                      <w:b/>
                      <w:bCs/>
                      <w:color w:val="auto"/>
                      <w:kern w:val="2"/>
                      <w:sz w:val="21"/>
                      <w:szCs w:val="21"/>
                      <w:highlight w:val="none"/>
                      <w:vertAlign w:val="baseline"/>
                      <w:lang w:val="en-US" w:eastAsia="zh-CN" w:bidi="ar-SA"/>
                    </w:rPr>
                    <w:t>主要污染防治措施</w:t>
                  </w:r>
                </w:p>
              </w:tc>
              <w:tc>
                <w:tcPr>
                  <w:tcW w:w="3106" w:type="dxa"/>
                  <w:gridSpan w:val="2"/>
                  <w:noWrap w:val="0"/>
                  <w:vAlign w:val="center"/>
                </w:tcPr>
                <w:p w14:paraId="3785D0DA">
                  <w:pPr>
                    <w:shd w:val="clear"/>
                    <w:adjustRightInd w:val="0"/>
                    <w:snapToGrid w:val="0"/>
                    <w:spacing w:line="240" w:lineRule="auto"/>
                    <w:jc w:val="center"/>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default" w:ascii="Times New Roman" w:hAnsi="Times New Roman" w:eastAsia="宋体" w:cs="Times New Roman"/>
                      <w:b/>
                      <w:color w:val="auto"/>
                      <w:kern w:val="0"/>
                      <w:sz w:val="21"/>
                      <w:szCs w:val="21"/>
                      <w:highlight w:val="none"/>
                      <w:lang w:bidi="ar"/>
                    </w:rPr>
                    <w:t>国家或地方污染物排放标准</w:t>
                  </w:r>
                </w:p>
              </w:tc>
              <w:tc>
                <w:tcPr>
                  <w:tcW w:w="953" w:type="dxa"/>
                  <w:vMerge w:val="restart"/>
                  <w:noWrap w:val="0"/>
                  <w:vAlign w:val="center"/>
                </w:tcPr>
                <w:p w14:paraId="66288C69">
                  <w:pPr>
                    <w:keepNext w:val="0"/>
                    <w:keepLines w:val="0"/>
                    <w:suppressLineNumbers w:val="0"/>
                    <w:shd w:val="clear"/>
                    <w:spacing w:before="0" w:beforeAutospacing="0" w:after="0" w:afterAutospacing="0" w:line="240" w:lineRule="auto"/>
                    <w:ind w:left="0" w:right="0"/>
                    <w:jc w:val="center"/>
                    <w:rPr>
                      <w:rFonts w:hint="default" w:ascii="Times New Roman" w:hAnsi="Times New Roman" w:eastAsia="宋体" w:cs="Times New Roman"/>
                      <w:b/>
                      <w:color w:val="auto"/>
                      <w:kern w:val="0"/>
                      <w:sz w:val="21"/>
                      <w:szCs w:val="21"/>
                      <w:highlight w:val="none"/>
                      <w:lang w:val="en-US" w:eastAsia="zh-CN" w:bidi="ar-SA"/>
                    </w:rPr>
                  </w:pPr>
                  <w:r>
                    <w:rPr>
                      <w:rFonts w:hint="default" w:ascii="Times New Roman" w:hAnsi="Times New Roman" w:eastAsia="宋体" w:cs="Times New Roman"/>
                      <w:b/>
                      <w:color w:val="auto"/>
                      <w:kern w:val="0"/>
                      <w:sz w:val="21"/>
                      <w:szCs w:val="21"/>
                      <w:highlight w:val="none"/>
                      <w:lang w:bidi="ar"/>
                    </w:rPr>
                    <w:t>年排放量</w:t>
                  </w:r>
                  <w:r>
                    <w:rPr>
                      <w:rFonts w:hint="default" w:ascii="Times New Roman" w:hAnsi="Times New Roman" w:eastAsia="宋体" w:cs="Times New Roman"/>
                      <w:b/>
                      <w:color w:val="auto"/>
                      <w:kern w:val="0"/>
                      <w:sz w:val="21"/>
                      <w:szCs w:val="21"/>
                      <w:highlight w:val="none"/>
                      <w:lang w:val="en-US" w:eastAsia="zh-CN" w:bidi="ar"/>
                    </w:rPr>
                    <w:t>(</w:t>
                  </w:r>
                  <w:r>
                    <w:rPr>
                      <w:rFonts w:hint="eastAsia" w:cs="Times New Roman"/>
                      <w:b/>
                      <w:color w:val="auto"/>
                      <w:kern w:val="0"/>
                      <w:sz w:val="21"/>
                      <w:szCs w:val="21"/>
                      <w:highlight w:val="none"/>
                      <w:lang w:val="en-US" w:eastAsia="zh-CN" w:bidi="ar"/>
                    </w:rPr>
                    <w:t>kg</w:t>
                  </w:r>
                  <w:r>
                    <w:rPr>
                      <w:rFonts w:hint="default" w:ascii="Times New Roman" w:hAnsi="Times New Roman" w:eastAsia="宋体" w:cs="Times New Roman"/>
                      <w:b/>
                      <w:color w:val="auto"/>
                      <w:kern w:val="0"/>
                      <w:sz w:val="21"/>
                      <w:szCs w:val="21"/>
                      <w:highlight w:val="none"/>
                      <w:lang w:val="en-US" w:eastAsia="zh-CN" w:bidi="ar"/>
                    </w:rPr>
                    <w:t>/a)</w:t>
                  </w:r>
                </w:p>
              </w:tc>
            </w:tr>
            <w:tr w14:paraId="20E512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96" w:type="dxa"/>
                  <w:vMerge w:val="continue"/>
                  <w:noWrap w:val="0"/>
                  <w:vAlign w:val="center"/>
                </w:tcPr>
                <w:p w14:paraId="67B763EB">
                  <w:pPr>
                    <w:shd w:val="clear"/>
                    <w:adjustRightInd w:val="0"/>
                    <w:snapToGrid w:val="0"/>
                    <w:spacing w:line="240" w:lineRule="auto"/>
                    <w:jc w:val="center"/>
                    <w:rPr>
                      <w:rFonts w:hint="default" w:ascii="Times New Roman" w:hAnsi="Times New Roman" w:eastAsia="宋体" w:cs="Times New Roman"/>
                      <w:b/>
                      <w:bCs/>
                      <w:color w:val="auto"/>
                      <w:kern w:val="2"/>
                      <w:sz w:val="21"/>
                      <w:szCs w:val="21"/>
                      <w:highlight w:val="none"/>
                      <w:vertAlign w:val="baseline"/>
                      <w:lang w:val="en-US" w:eastAsia="zh-CN" w:bidi="ar-SA"/>
                    </w:rPr>
                  </w:pPr>
                </w:p>
              </w:tc>
              <w:tc>
                <w:tcPr>
                  <w:tcW w:w="796" w:type="dxa"/>
                  <w:vMerge w:val="continue"/>
                  <w:noWrap w:val="0"/>
                  <w:vAlign w:val="center"/>
                </w:tcPr>
                <w:p w14:paraId="5ACF76C6">
                  <w:pPr>
                    <w:shd w:val="clear"/>
                    <w:adjustRightInd w:val="0"/>
                    <w:snapToGrid w:val="0"/>
                    <w:spacing w:line="240" w:lineRule="auto"/>
                    <w:jc w:val="center"/>
                    <w:rPr>
                      <w:rFonts w:hint="default" w:ascii="Times New Roman" w:hAnsi="Times New Roman" w:eastAsia="宋体" w:cs="Times New Roman"/>
                      <w:b/>
                      <w:bCs/>
                      <w:color w:val="auto"/>
                      <w:kern w:val="2"/>
                      <w:sz w:val="21"/>
                      <w:szCs w:val="21"/>
                      <w:highlight w:val="none"/>
                      <w:vertAlign w:val="baseline"/>
                      <w:lang w:val="en-US" w:eastAsia="zh-CN" w:bidi="ar-SA"/>
                    </w:rPr>
                  </w:pPr>
                </w:p>
              </w:tc>
              <w:tc>
                <w:tcPr>
                  <w:tcW w:w="861" w:type="dxa"/>
                  <w:vMerge w:val="continue"/>
                  <w:noWrap w:val="0"/>
                  <w:vAlign w:val="center"/>
                </w:tcPr>
                <w:p w14:paraId="7E5A7464">
                  <w:pPr>
                    <w:shd w:val="clear"/>
                    <w:adjustRightInd w:val="0"/>
                    <w:snapToGrid w:val="0"/>
                    <w:spacing w:line="240" w:lineRule="auto"/>
                    <w:jc w:val="center"/>
                    <w:rPr>
                      <w:rFonts w:hint="default" w:ascii="Times New Roman" w:hAnsi="Times New Roman" w:eastAsia="宋体" w:cs="Times New Roman"/>
                      <w:b/>
                      <w:bCs/>
                      <w:color w:val="auto"/>
                      <w:kern w:val="2"/>
                      <w:sz w:val="21"/>
                      <w:szCs w:val="21"/>
                      <w:highlight w:val="none"/>
                      <w:vertAlign w:val="baseline"/>
                      <w:lang w:val="en-US" w:eastAsia="zh-CN" w:bidi="ar-SA"/>
                    </w:rPr>
                  </w:pPr>
                </w:p>
              </w:tc>
              <w:tc>
                <w:tcPr>
                  <w:tcW w:w="1094" w:type="dxa"/>
                  <w:vMerge w:val="continue"/>
                  <w:noWrap w:val="0"/>
                  <w:vAlign w:val="center"/>
                </w:tcPr>
                <w:p w14:paraId="3A396E43">
                  <w:pPr>
                    <w:shd w:val="clear"/>
                    <w:adjustRightInd w:val="0"/>
                    <w:snapToGrid w:val="0"/>
                    <w:spacing w:line="240" w:lineRule="auto"/>
                    <w:jc w:val="center"/>
                    <w:rPr>
                      <w:rFonts w:hint="default" w:ascii="Times New Roman" w:hAnsi="Times New Roman" w:eastAsia="宋体" w:cs="Times New Roman"/>
                      <w:b/>
                      <w:bCs/>
                      <w:color w:val="auto"/>
                      <w:kern w:val="2"/>
                      <w:sz w:val="21"/>
                      <w:szCs w:val="21"/>
                      <w:highlight w:val="none"/>
                      <w:vertAlign w:val="baseline"/>
                      <w:lang w:val="en-US" w:eastAsia="zh-CN" w:bidi="ar-SA"/>
                    </w:rPr>
                  </w:pPr>
                </w:p>
              </w:tc>
              <w:tc>
                <w:tcPr>
                  <w:tcW w:w="1943" w:type="dxa"/>
                  <w:noWrap w:val="0"/>
                  <w:vAlign w:val="center"/>
                </w:tcPr>
                <w:p w14:paraId="47F0087C">
                  <w:pPr>
                    <w:shd w:val="clear"/>
                    <w:adjustRightInd w:val="0"/>
                    <w:snapToGrid w:val="0"/>
                    <w:spacing w:line="240" w:lineRule="auto"/>
                    <w:jc w:val="center"/>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default" w:ascii="Times New Roman" w:hAnsi="Times New Roman" w:eastAsia="宋体" w:cs="Times New Roman"/>
                      <w:b/>
                      <w:color w:val="auto"/>
                      <w:kern w:val="0"/>
                      <w:sz w:val="21"/>
                      <w:szCs w:val="21"/>
                      <w:highlight w:val="none"/>
                      <w:lang w:bidi="ar"/>
                    </w:rPr>
                    <w:t>标准名称</w:t>
                  </w:r>
                </w:p>
              </w:tc>
              <w:tc>
                <w:tcPr>
                  <w:tcW w:w="1163" w:type="dxa"/>
                  <w:noWrap w:val="0"/>
                  <w:vAlign w:val="center"/>
                </w:tcPr>
                <w:p w14:paraId="77E50ED1">
                  <w:pPr>
                    <w:keepNext w:val="0"/>
                    <w:keepLines w:val="0"/>
                    <w:suppressLineNumbers w:val="0"/>
                    <w:shd w:val="clear"/>
                    <w:spacing w:before="0" w:beforeAutospacing="0" w:after="0" w:afterAutospacing="0" w:line="240" w:lineRule="auto"/>
                    <w:ind w:left="0" w:leftChars="0" w:right="0" w:rightChars="0"/>
                    <w:jc w:val="center"/>
                    <w:rPr>
                      <w:rFonts w:hint="default" w:ascii="Times New Roman" w:hAnsi="Times New Roman" w:eastAsia="宋体" w:cs="Times New Roman"/>
                      <w:b/>
                      <w:color w:val="auto"/>
                      <w:kern w:val="0"/>
                      <w:sz w:val="21"/>
                      <w:szCs w:val="21"/>
                      <w:highlight w:val="none"/>
                      <w:lang w:val="en-US" w:eastAsia="zh-CN" w:bidi="ar-SA"/>
                    </w:rPr>
                  </w:pPr>
                  <w:r>
                    <w:rPr>
                      <w:rFonts w:hint="default" w:ascii="Times New Roman" w:hAnsi="Times New Roman" w:eastAsia="宋体" w:cs="Times New Roman"/>
                      <w:b/>
                      <w:color w:val="auto"/>
                      <w:sz w:val="21"/>
                      <w:szCs w:val="21"/>
                      <w:highlight w:val="none"/>
                      <w:lang w:val="zh-CN" w:bidi="ar"/>
                    </w:rPr>
                    <w:t>浓度限值（</w:t>
                  </w:r>
                  <w:r>
                    <w:rPr>
                      <w:rFonts w:hint="eastAsia" w:cs="Times New Roman"/>
                      <w:b/>
                      <w:color w:val="auto"/>
                      <w:sz w:val="21"/>
                      <w:szCs w:val="21"/>
                      <w:highlight w:val="none"/>
                      <w:lang w:val="en-US" w:eastAsia="zh-CN" w:bidi="ar"/>
                    </w:rPr>
                    <w:t>m</w:t>
                  </w:r>
                  <w:r>
                    <w:rPr>
                      <w:rFonts w:hint="default" w:ascii="Times New Roman" w:hAnsi="Times New Roman" w:eastAsia="宋体" w:cs="Times New Roman"/>
                      <w:b/>
                      <w:bCs/>
                      <w:color w:val="auto"/>
                      <w:sz w:val="21"/>
                      <w:szCs w:val="21"/>
                      <w:highlight w:val="none"/>
                      <w:lang w:val="zh-CN"/>
                    </w:rPr>
                    <w:t>g</w:t>
                  </w:r>
                  <w:r>
                    <w:rPr>
                      <w:rFonts w:hint="default" w:ascii="Times New Roman" w:hAnsi="Times New Roman" w:eastAsia="宋体" w:cs="Times New Roman"/>
                      <w:b/>
                      <w:color w:val="auto"/>
                      <w:sz w:val="21"/>
                      <w:szCs w:val="21"/>
                      <w:highlight w:val="none"/>
                      <w:lang w:val="zh-CN" w:bidi="ar"/>
                    </w:rPr>
                    <w:t>/m</w:t>
                  </w:r>
                  <w:r>
                    <w:rPr>
                      <w:rFonts w:hint="default" w:ascii="Times New Roman" w:hAnsi="Times New Roman" w:eastAsia="宋体" w:cs="Times New Roman"/>
                      <w:b/>
                      <w:color w:val="auto"/>
                      <w:sz w:val="21"/>
                      <w:szCs w:val="21"/>
                      <w:highlight w:val="none"/>
                      <w:vertAlign w:val="superscript"/>
                      <w:lang w:val="zh-CN" w:bidi="ar"/>
                    </w:rPr>
                    <w:t>3</w:t>
                  </w:r>
                  <w:r>
                    <w:rPr>
                      <w:rFonts w:hint="default" w:ascii="Times New Roman" w:hAnsi="Times New Roman" w:eastAsia="宋体" w:cs="Times New Roman"/>
                      <w:b/>
                      <w:color w:val="auto"/>
                      <w:sz w:val="21"/>
                      <w:szCs w:val="21"/>
                      <w:highlight w:val="none"/>
                      <w:lang w:val="zh-CN" w:bidi="ar"/>
                    </w:rPr>
                    <w:t>）</w:t>
                  </w:r>
                </w:p>
              </w:tc>
              <w:tc>
                <w:tcPr>
                  <w:tcW w:w="953" w:type="dxa"/>
                  <w:vMerge w:val="continue"/>
                  <w:noWrap w:val="0"/>
                  <w:vAlign w:val="center"/>
                </w:tcPr>
                <w:p w14:paraId="446EF427">
                  <w:pPr>
                    <w:shd w:val="clear"/>
                    <w:adjustRightInd w:val="0"/>
                    <w:snapToGrid w:val="0"/>
                    <w:spacing w:line="240" w:lineRule="auto"/>
                    <w:jc w:val="center"/>
                    <w:rPr>
                      <w:rFonts w:hint="default" w:ascii="Times New Roman" w:hAnsi="Times New Roman" w:eastAsia="宋体" w:cs="Times New Roman"/>
                      <w:b/>
                      <w:bCs/>
                      <w:color w:val="auto"/>
                      <w:kern w:val="2"/>
                      <w:sz w:val="21"/>
                      <w:szCs w:val="21"/>
                      <w:highlight w:val="none"/>
                      <w:vertAlign w:val="baseline"/>
                      <w:lang w:val="en-US" w:eastAsia="zh-CN" w:bidi="ar-SA"/>
                    </w:rPr>
                  </w:pPr>
                </w:p>
              </w:tc>
            </w:tr>
            <w:tr w14:paraId="319019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3" w:hRule="atLeast"/>
                <w:jc w:val="center"/>
              </w:trPr>
              <w:tc>
                <w:tcPr>
                  <w:tcW w:w="796" w:type="dxa"/>
                  <w:noWrap w:val="0"/>
                  <w:vAlign w:val="center"/>
                </w:tcPr>
                <w:p w14:paraId="05D8B186">
                  <w:pPr>
                    <w:shd w:val="clear"/>
                    <w:adjustRightInd w:val="0"/>
                    <w:snapToGrid w:val="0"/>
                    <w:spacing w:line="240" w:lineRule="auto"/>
                    <w:jc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1</w:t>
                  </w:r>
                </w:p>
              </w:tc>
              <w:tc>
                <w:tcPr>
                  <w:tcW w:w="796" w:type="dxa"/>
                  <w:vMerge w:val="restart"/>
                  <w:noWrap w:val="0"/>
                  <w:vAlign w:val="center"/>
                </w:tcPr>
                <w:p w14:paraId="71FABE46">
                  <w:pPr>
                    <w:shd w:val="clear"/>
                    <w:adjustRightInd w:val="0"/>
                    <w:snapToGrid w:val="0"/>
                    <w:spacing w:line="240" w:lineRule="auto"/>
                    <w:jc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检测</w:t>
                  </w:r>
                </w:p>
              </w:tc>
              <w:tc>
                <w:tcPr>
                  <w:tcW w:w="861" w:type="dxa"/>
                  <w:noWrap w:val="0"/>
                  <w:vAlign w:val="center"/>
                </w:tcPr>
                <w:p w14:paraId="0079B599">
                  <w:pPr>
                    <w:jc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cs="Times New Roman"/>
                      <w:color w:val="auto"/>
                      <w:kern w:val="0"/>
                      <w:sz w:val="21"/>
                      <w:szCs w:val="21"/>
                      <w:highlight w:val="none"/>
                      <w:lang w:val="en-US" w:eastAsia="zh-CN" w:bidi="ar-SA"/>
                    </w:rPr>
                    <w:t>非甲烷总烃</w:t>
                  </w:r>
                </w:p>
              </w:tc>
              <w:tc>
                <w:tcPr>
                  <w:tcW w:w="1094" w:type="dxa"/>
                  <w:noWrap w:val="0"/>
                  <w:vAlign w:val="center"/>
                </w:tcPr>
                <w:p w14:paraId="214F47AF">
                  <w:pPr>
                    <w:shd w:val="clear"/>
                    <w:adjustRightInd w:val="0"/>
                    <w:snapToGrid w:val="0"/>
                    <w:spacing w:line="240" w:lineRule="auto"/>
                    <w:jc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kern w:val="2"/>
                      <w:sz w:val="21"/>
                      <w:szCs w:val="21"/>
                      <w:highlight w:val="none"/>
                      <w:vertAlign w:val="baseline"/>
                      <w:lang w:val="en-US" w:eastAsia="zh-CN" w:bidi="ar-SA"/>
                    </w:rPr>
                    <w:t>/</w:t>
                  </w:r>
                </w:p>
              </w:tc>
              <w:tc>
                <w:tcPr>
                  <w:tcW w:w="1943" w:type="dxa"/>
                  <w:vMerge w:val="restart"/>
                  <w:noWrap w:val="0"/>
                  <w:vAlign w:val="center"/>
                </w:tcPr>
                <w:p w14:paraId="29EF2969">
                  <w:pPr>
                    <w:shd w:val="clear"/>
                    <w:adjustRightInd w:val="0"/>
                    <w:snapToGrid w:val="0"/>
                    <w:spacing w:line="240" w:lineRule="auto"/>
                    <w:jc w:val="center"/>
                    <w:rPr>
                      <w:rFonts w:hint="default" w:ascii="Times New Roman" w:hAnsi="Times New Roman" w:eastAsia="宋体" w:cs="Times New Roman"/>
                      <w:b w:val="0"/>
                      <w:bCs w:val="0"/>
                      <w:color w:val="auto"/>
                      <w:kern w:val="0"/>
                      <w:sz w:val="21"/>
                      <w:szCs w:val="21"/>
                      <w:highlight w:val="none"/>
                      <w:lang w:val="en-US" w:eastAsia="zh-CN" w:bidi="ar"/>
                    </w:rPr>
                  </w:pPr>
                  <w:r>
                    <w:rPr>
                      <w:rFonts w:hint="default" w:ascii="Times New Roman" w:hAnsi="Times New Roman" w:cs="Times New Roman"/>
                      <w:color w:val="auto"/>
                      <w:highlight w:val="none"/>
                    </w:rPr>
                    <w:t>广东省地方标准《大气污染物排放限值》（DB44/27-2001）</w:t>
                  </w:r>
                  <w:r>
                    <w:rPr>
                      <w:rFonts w:hint="default" w:ascii="Times New Roman" w:hAnsi="Times New Roman" w:cs="Times New Roman"/>
                      <w:color w:val="auto"/>
                      <w:highlight w:val="none"/>
                      <w:lang w:eastAsia="zh-CN"/>
                    </w:rPr>
                    <w:t>第二时段无组织排放监控浓度限值</w:t>
                  </w:r>
                </w:p>
              </w:tc>
              <w:tc>
                <w:tcPr>
                  <w:tcW w:w="1163" w:type="dxa"/>
                  <w:noWrap w:val="0"/>
                  <w:vAlign w:val="center"/>
                </w:tcPr>
                <w:p w14:paraId="4070548F">
                  <w:pPr>
                    <w:shd w:val="clear"/>
                    <w:adjustRightInd w:val="0"/>
                    <w:snapToGrid w:val="0"/>
                    <w:spacing w:line="240" w:lineRule="auto"/>
                    <w:jc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4</w:t>
                  </w:r>
                </w:p>
              </w:tc>
              <w:tc>
                <w:tcPr>
                  <w:tcW w:w="953" w:type="dxa"/>
                  <w:noWrap w:val="0"/>
                  <w:vAlign w:val="center"/>
                </w:tcPr>
                <w:p w14:paraId="5AD9AD60">
                  <w:pPr>
                    <w:pStyle w:val="19"/>
                    <w:keepNext w:val="0"/>
                    <w:keepLines w:val="0"/>
                    <w:pageBreakBefore w:val="0"/>
                    <w:widowControl w:val="0"/>
                    <w:shd w:val="clear"/>
                    <w:kinsoku/>
                    <w:wordWrap/>
                    <w:overflowPunct/>
                    <w:topLinePunct w:val="0"/>
                    <w:autoSpaceDE/>
                    <w:autoSpaceDN/>
                    <w:bidi w:val="0"/>
                    <w:adjustRightInd/>
                    <w:snapToGrid w:val="0"/>
                    <w:spacing w:before="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0.6892</w:t>
                  </w:r>
                </w:p>
              </w:tc>
            </w:tr>
            <w:tr w14:paraId="7F40A2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8" w:hRule="atLeast"/>
                <w:jc w:val="center"/>
              </w:trPr>
              <w:tc>
                <w:tcPr>
                  <w:tcW w:w="796" w:type="dxa"/>
                  <w:noWrap w:val="0"/>
                  <w:vAlign w:val="center"/>
                </w:tcPr>
                <w:p w14:paraId="00A0AFBC">
                  <w:pPr>
                    <w:shd w:val="clear"/>
                    <w:adjustRightInd w:val="0"/>
                    <w:snapToGrid w:val="0"/>
                    <w:spacing w:line="240" w:lineRule="auto"/>
                    <w:jc w:val="center"/>
                    <w:rPr>
                      <w:rFonts w:hint="default"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2</w:t>
                  </w:r>
                </w:p>
              </w:tc>
              <w:tc>
                <w:tcPr>
                  <w:tcW w:w="796" w:type="dxa"/>
                  <w:vMerge w:val="continue"/>
                  <w:noWrap w:val="0"/>
                  <w:vAlign w:val="center"/>
                </w:tcPr>
                <w:p w14:paraId="01AB0098">
                  <w:pPr>
                    <w:shd w:val="clear"/>
                    <w:adjustRightInd w:val="0"/>
                    <w:snapToGrid w:val="0"/>
                    <w:spacing w:line="240" w:lineRule="auto"/>
                    <w:jc w:val="both"/>
                    <w:rPr>
                      <w:rFonts w:hint="default" w:ascii="Times New Roman" w:hAnsi="Times New Roman" w:eastAsia="宋体" w:cs="Times New Roman"/>
                      <w:b w:val="0"/>
                      <w:bCs w:val="0"/>
                      <w:color w:val="auto"/>
                      <w:kern w:val="2"/>
                      <w:sz w:val="21"/>
                      <w:szCs w:val="21"/>
                      <w:highlight w:val="none"/>
                      <w:vertAlign w:val="baseline"/>
                      <w:lang w:val="en-US" w:eastAsia="zh-CN" w:bidi="ar-SA"/>
                    </w:rPr>
                  </w:pPr>
                </w:p>
              </w:tc>
              <w:tc>
                <w:tcPr>
                  <w:tcW w:w="861" w:type="dxa"/>
                  <w:noWrap w:val="0"/>
                  <w:vAlign w:val="center"/>
                </w:tcPr>
                <w:p w14:paraId="104CAC44">
                  <w:pPr>
                    <w:jc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cs="Times New Roman"/>
                      <w:color w:val="auto"/>
                      <w:kern w:val="0"/>
                      <w:sz w:val="21"/>
                      <w:szCs w:val="21"/>
                      <w:highlight w:val="none"/>
                      <w:lang w:val="en-US" w:eastAsia="zh-CN" w:bidi="ar-SA"/>
                    </w:rPr>
                    <w:t>其中：</w:t>
                  </w:r>
                  <w:r>
                    <w:rPr>
                      <w:rFonts w:hint="default" w:ascii="Times New Roman" w:hAnsi="Times New Roman" w:eastAsia="宋体" w:cs="Times New Roman"/>
                      <w:color w:val="auto"/>
                      <w:kern w:val="0"/>
                      <w:sz w:val="21"/>
                      <w:szCs w:val="21"/>
                      <w:highlight w:val="none"/>
                      <w:lang w:val="en-US" w:eastAsia="zh-CN" w:bidi="ar-SA"/>
                    </w:rPr>
                    <w:t>甲醇</w:t>
                  </w:r>
                </w:p>
              </w:tc>
              <w:tc>
                <w:tcPr>
                  <w:tcW w:w="1094" w:type="dxa"/>
                  <w:noWrap w:val="0"/>
                  <w:vAlign w:val="center"/>
                </w:tcPr>
                <w:p w14:paraId="5A069395">
                  <w:pPr>
                    <w:shd w:val="clear"/>
                    <w:adjustRightInd w:val="0"/>
                    <w:snapToGrid w:val="0"/>
                    <w:spacing w:line="240" w:lineRule="auto"/>
                    <w:jc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w:t>
                  </w:r>
                </w:p>
              </w:tc>
              <w:tc>
                <w:tcPr>
                  <w:tcW w:w="1943" w:type="dxa"/>
                  <w:vMerge w:val="continue"/>
                  <w:noWrap w:val="0"/>
                  <w:vAlign w:val="center"/>
                </w:tcPr>
                <w:p w14:paraId="44F218A4">
                  <w:pPr>
                    <w:shd w:val="clear"/>
                    <w:adjustRightInd w:val="0"/>
                    <w:snapToGrid w:val="0"/>
                    <w:spacing w:line="240" w:lineRule="auto"/>
                    <w:jc w:val="center"/>
                    <w:rPr>
                      <w:rFonts w:hint="default" w:ascii="Times New Roman" w:hAnsi="Times New Roman" w:eastAsia="宋体" w:cs="Times New Roman"/>
                      <w:b w:val="0"/>
                      <w:bCs w:val="0"/>
                      <w:color w:val="auto"/>
                      <w:kern w:val="0"/>
                      <w:sz w:val="21"/>
                      <w:szCs w:val="21"/>
                      <w:highlight w:val="none"/>
                      <w:lang w:val="zh-CN" w:bidi="ar"/>
                    </w:rPr>
                  </w:pPr>
                </w:p>
              </w:tc>
              <w:tc>
                <w:tcPr>
                  <w:tcW w:w="1163" w:type="dxa"/>
                  <w:noWrap w:val="0"/>
                  <w:vAlign w:val="center"/>
                </w:tcPr>
                <w:p w14:paraId="62F4F630">
                  <w:pPr>
                    <w:shd w:val="clear"/>
                    <w:adjustRightInd w:val="0"/>
                    <w:snapToGrid w:val="0"/>
                    <w:spacing w:line="240" w:lineRule="auto"/>
                    <w:jc w:val="center"/>
                    <w:rPr>
                      <w:rFonts w:hint="default" w:ascii="Times New Roman" w:hAnsi="Times New Roman" w:eastAsia="宋体" w:cs="Times New Roman"/>
                      <w:b w:val="0"/>
                      <w:bCs w:val="0"/>
                      <w:color w:val="auto"/>
                      <w:kern w:val="0"/>
                      <w:sz w:val="21"/>
                      <w:szCs w:val="21"/>
                      <w:highlight w:val="none"/>
                      <w:lang w:val="en-US" w:eastAsia="zh-CN" w:bidi="ar"/>
                    </w:rPr>
                  </w:pPr>
                  <w:r>
                    <w:rPr>
                      <w:rFonts w:hint="eastAsia" w:cs="Times New Roman"/>
                      <w:b w:val="0"/>
                      <w:bCs w:val="0"/>
                      <w:color w:val="auto"/>
                      <w:kern w:val="0"/>
                      <w:sz w:val="21"/>
                      <w:szCs w:val="21"/>
                      <w:highlight w:val="none"/>
                      <w:lang w:val="en-US" w:eastAsia="zh-CN" w:bidi="ar"/>
                    </w:rPr>
                    <w:t>12</w:t>
                  </w:r>
                </w:p>
              </w:tc>
              <w:tc>
                <w:tcPr>
                  <w:tcW w:w="953" w:type="dxa"/>
                  <w:noWrap w:val="0"/>
                  <w:vAlign w:val="center"/>
                </w:tcPr>
                <w:p w14:paraId="12568A97">
                  <w:pPr>
                    <w:pStyle w:val="19"/>
                    <w:keepNext w:val="0"/>
                    <w:keepLines w:val="0"/>
                    <w:pageBreakBefore w:val="0"/>
                    <w:widowControl w:val="0"/>
                    <w:shd w:val="clear"/>
                    <w:kinsoku/>
                    <w:wordWrap/>
                    <w:overflowPunct/>
                    <w:topLinePunct w:val="0"/>
                    <w:autoSpaceDE/>
                    <w:autoSpaceDN/>
                    <w:bidi w:val="0"/>
                    <w:adjustRightInd/>
                    <w:snapToGrid w:val="0"/>
                    <w:spacing w:before="0" w:line="240" w:lineRule="auto"/>
                    <w:ind w:left="0" w:leftChars="0" w:right="0" w:rightChars="0" w:firstLine="0" w:firstLineChars="0"/>
                    <w:jc w:val="center"/>
                    <w:textAlignment w:val="auto"/>
                    <w:rPr>
                      <w:rFonts w:hint="default"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0.075</w:t>
                  </w:r>
                </w:p>
              </w:tc>
            </w:tr>
            <w:tr w14:paraId="05DDBB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9" w:hRule="atLeast"/>
                <w:jc w:val="center"/>
              </w:trPr>
              <w:tc>
                <w:tcPr>
                  <w:tcW w:w="796" w:type="dxa"/>
                  <w:noWrap w:val="0"/>
                  <w:vAlign w:val="center"/>
                </w:tcPr>
                <w:p w14:paraId="71D9082E">
                  <w:pPr>
                    <w:shd w:val="clear"/>
                    <w:adjustRightInd w:val="0"/>
                    <w:snapToGrid w:val="0"/>
                    <w:spacing w:line="240" w:lineRule="auto"/>
                    <w:jc w:val="center"/>
                    <w:rPr>
                      <w:rFonts w:hint="default"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3</w:t>
                  </w:r>
                </w:p>
              </w:tc>
              <w:tc>
                <w:tcPr>
                  <w:tcW w:w="796" w:type="dxa"/>
                  <w:vMerge w:val="continue"/>
                  <w:noWrap w:val="0"/>
                  <w:vAlign w:val="center"/>
                </w:tcPr>
                <w:p w14:paraId="0E0D6F6C">
                  <w:pPr>
                    <w:shd w:val="clear"/>
                    <w:adjustRightInd w:val="0"/>
                    <w:snapToGrid w:val="0"/>
                    <w:spacing w:line="240" w:lineRule="auto"/>
                    <w:jc w:val="both"/>
                    <w:rPr>
                      <w:rFonts w:hint="eastAsia" w:cs="Times New Roman"/>
                      <w:b w:val="0"/>
                      <w:bCs w:val="0"/>
                      <w:color w:val="auto"/>
                      <w:kern w:val="2"/>
                      <w:sz w:val="21"/>
                      <w:szCs w:val="21"/>
                      <w:highlight w:val="none"/>
                      <w:vertAlign w:val="baseline"/>
                      <w:lang w:val="en-US" w:eastAsia="zh-CN" w:bidi="ar-SA"/>
                    </w:rPr>
                  </w:pPr>
                </w:p>
              </w:tc>
              <w:tc>
                <w:tcPr>
                  <w:tcW w:w="861" w:type="dxa"/>
                  <w:noWrap w:val="0"/>
                  <w:vAlign w:val="center"/>
                </w:tcPr>
                <w:p w14:paraId="56750D50">
                  <w:pPr>
                    <w:jc w:val="center"/>
                    <w:rPr>
                      <w:rFonts w:hint="eastAsia" w:cs="Times New Roman"/>
                      <w:b w:val="0"/>
                      <w:bCs w:val="0"/>
                      <w:color w:val="auto"/>
                      <w:kern w:val="2"/>
                      <w:sz w:val="21"/>
                      <w:szCs w:val="21"/>
                      <w:highlight w:val="none"/>
                      <w:vertAlign w:val="baseline"/>
                      <w:lang w:val="en-US" w:eastAsia="zh-CN" w:bidi="ar-SA"/>
                    </w:rPr>
                  </w:pPr>
                  <w:r>
                    <w:rPr>
                      <w:rFonts w:hint="eastAsia" w:cs="Times New Roman"/>
                      <w:color w:val="auto"/>
                      <w:kern w:val="0"/>
                      <w:sz w:val="21"/>
                      <w:szCs w:val="21"/>
                      <w:highlight w:val="none"/>
                      <w:lang w:val="en-US" w:eastAsia="zh-CN" w:bidi="ar-SA"/>
                    </w:rPr>
                    <w:t>其中：甲苯</w:t>
                  </w:r>
                </w:p>
              </w:tc>
              <w:tc>
                <w:tcPr>
                  <w:tcW w:w="1094" w:type="dxa"/>
                  <w:noWrap w:val="0"/>
                  <w:vAlign w:val="center"/>
                </w:tcPr>
                <w:p w14:paraId="2D65F5C0">
                  <w:pPr>
                    <w:shd w:val="clear"/>
                    <w:adjustRightInd w:val="0"/>
                    <w:snapToGrid w:val="0"/>
                    <w:spacing w:line="240" w:lineRule="auto"/>
                    <w:jc w:val="center"/>
                    <w:rPr>
                      <w:rFonts w:hint="eastAsia"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kern w:val="2"/>
                      <w:sz w:val="21"/>
                      <w:szCs w:val="21"/>
                      <w:highlight w:val="none"/>
                      <w:vertAlign w:val="baseline"/>
                      <w:lang w:val="en-US" w:eastAsia="zh-CN" w:bidi="ar-SA"/>
                    </w:rPr>
                    <w:t>/</w:t>
                  </w:r>
                </w:p>
              </w:tc>
              <w:tc>
                <w:tcPr>
                  <w:tcW w:w="1943" w:type="dxa"/>
                  <w:vMerge w:val="continue"/>
                  <w:noWrap w:val="0"/>
                  <w:vAlign w:val="center"/>
                </w:tcPr>
                <w:p w14:paraId="2BCB2940">
                  <w:pPr>
                    <w:shd w:val="clear"/>
                    <w:adjustRightInd w:val="0"/>
                    <w:snapToGrid w:val="0"/>
                    <w:spacing w:line="240" w:lineRule="auto"/>
                    <w:jc w:val="center"/>
                    <w:rPr>
                      <w:rFonts w:hint="eastAsia"/>
                      <w:color w:val="auto"/>
                      <w:highlight w:val="none"/>
                    </w:rPr>
                  </w:pPr>
                </w:p>
              </w:tc>
              <w:tc>
                <w:tcPr>
                  <w:tcW w:w="1163" w:type="dxa"/>
                  <w:noWrap w:val="0"/>
                  <w:vAlign w:val="center"/>
                </w:tcPr>
                <w:p w14:paraId="072C122B">
                  <w:pPr>
                    <w:shd w:val="clear"/>
                    <w:adjustRightInd w:val="0"/>
                    <w:snapToGrid w:val="0"/>
                    <w:spacing w:line="240" w:lineRule="auto"/>
                    <w:jc w:val="center"/>
                    <w:rPr>
                      <w:rFonts w:hint="default" w:cs="Times New Roman"/>
                      <w:b w:val="0"/>
                      <w:bCs w:val="0"/>
                      <w:color w:val="auto"/>
                      <w:kern w:val="0"/>
                      <w:sz w:val="21"/>
                      <w:szCs w:val="21"/>
                      <w:highlight w:val="none"/>
                      <w:lang w:val="en-US" w:eastAsia="zh-CN" w:bidi="ar"/>
                    </w:rPr>
                  </w:pPr>
                  <w:r>
                    <w:rPr>
                      <w:rFonts w:hint="eastAsia" w:cs="Times New Roman"/>
                      <w:b w:val="0"/>
                      <w:bCs w:val="0"/>
                      <w:color w:val="auto"/>
                      <w:kern w:val="0"/>
                      <w:sz w:val="21"/>
                      <w:szCs w:val="21"/>
                      <w:highlight w:val="none"/>
                      <w:lang w:val="en-US" w:eastAsia="zh-CN" w:bidi="ar"/>
                    </w:rPr>
                    <w:t>2.4</w:t>
                  </w:r>
                </w:p>
              </w:tc>
              <w:tc>
                <w:tcPr>
                  <w:tcW w:w="953" w:type="dxa"/>
                  <w:noWrap w:val="0"/>
                  <w:vAlign w:val="center"/>
                </w:tcPr>
                <w:p w14:paraId="010AA6C7">
                  <w:pPr>
                    <w:pStyle w:val="19"/>
                    <w:keepNext w:val="0"/>
                    <w:keepLines w:val="0"/>
                    <w:pageBreakBefore w:val="0"/>
                    <w:widowControl w:val="0"/>
                    <w:shd w:val="clear"/>
                    <w:kinsoku/>
                    <w:wordWrap/>
                    <w:overflowPunct/>
                    <w:topLinePunct w:val="0"/>
                    <w:autoSpaceDE/>
                    <w:autoSpaceDN/>
                    <w:bidi w:val="0"/>
                    <w:adjustRightInd/>
                    <w:snapToGrid w:val="0"/>
                    <w:spacing w:before="0" w:line="240" w:lineRule="auto"/>
                    <w:ind w:left="0" w:leftChars="0" w:right="0" w:rightChars="0" w:firstLine="0" w:firstLineChars="0"/>
                    <w:jc w:val="center"/>
                    <w:textAlignment w:val="auto"/>
                    <w:rPr>
                      <w:rFonts w:hint="default"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0.15</w:t>
                  </w:r>
                </w:p>
              </w:tc>
            </w:tr>
            <w:tr w14:paraId="68DEFD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1" w:hRule="atLeast"/>
                <w:jc w:val="center"/>
              </w:trPr>
              <w:tc>
                <w:tcPr>
                  <w:tcW w:w="796" w:type="dxa"/>
                  <w:noWrap w:val="0"/>
                  <w:vAlign w:val="center"/>
                </w:tcPr>
                <w:p w14:paraId="0DBFA6E0">
                  <w:pPr>
                    <w:shd w:val="clear"/>
                    <w:adjustRightInd w:val="0"/>
                    <w:snapToGrid w:val="0"/>
                    <w:spacing w:line="240" w:lineRule="auto"/>
                    <w:jc w:val="center"/>
                    <w:rPr>
                      <w:rFonts w:hint="default"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4</w:t>
                  </w:r>
                </w:p>
              </w:tc>
              <w:tc>
                <w:tcPr>
                  <w:tcW w:w="796" w:type="dxa"/>
                  <w:vMerge w:val="continue"/>
                  <w:noWrap w:val="0"/>
                  <w:vAlign w:val="center"/>
                </w:tcPr>
                <w:p w14:paraId="107693D5">
                  <w:pPr>
                    <w:shd w:val="clear"/>
                    <w:adjustRightInd w:val="0"/>
                    <w:snapToGrid w:val="0"/>
                    <w:spacing w:line="240" w:lineRule="auto"/>
                    <w:jc w:val="both"/>
                    <w:rPr>
                      <w:rFonts w:hint="eastAsia" w:cs="Times New Roman"/>
                      <w:b w:val="0"/>
                      <w:bCs w:val="0"/>
                      <w:color w:val="auto"/>
                      <w:kern w:val="2"/>
                      <w:sz w:val="21"/>
                      <w:szCs w:val="21"/>
                      <w:highlight w:val="none"/>
                      <w:vertAlign w:val="baseline"/>
                      <w:lang w:val="en-US" w:eastAsia="zh-CN" w:bidi="ar-SA"/>
                    </w:rPr>
                  </w:pPr>
                </w:p>
              </w:tc>
              <w:tc>
                <w:tcPr>
                  <w:tcW w:w="861" w:type="dxa"/>
                  <w:noWrap w:val="0"/>
                  <w:vAlign w:val="center"/>
                </w:tcPr>
                <w:p w14:paraId="08948052">
                  <w:pPr>
                    <w:jc w:val="center"/>
                    <w:rPr>
                      <w:rFonts w:hint="eastAsia"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color w:val="auto"/>
                      <w:kern w:val="0"/>
                      <w:sz w:val="21"/>
                      <w:szCs w:val="21"/>
                      <w:highlight w:val="none"/>
                      <w:lang w:val="en-US" w:eastAsia="zh-CN" w:bidi="ar-SA"/>
                    </w:rPr>
                    <w:t>硫酸雾</w:t>
                  </w:r>
                </w:p>
              </w:tc>
              <w:tc>
                <w:tcPr>
                  <w:tcW w:w="1094" w:type="dxa"/>
                  <w:noWrap w:val="0"/>
                  <w:vAlign w:val="center"/>
                </w:tcPr>
                <w:p w14:paraId="6D910721">
                  <w:pPr>
                    <w:shd w:val="clear"/>
                    <w:adjustRightInd w:val="0"/>
                    <w:snapToGrid w:val="0"/>
                    <w:spacing w:line="240" w:lineRule="auto"/>
                    <w:jc w:val="center"/>
                    <w:rPr>
                      <w:rFonts w:hint="eastAsia"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w:t>
                  </w:r>
                </w:p>
              </w:tc>
              <w:tc>
                <w:tcPr>
                  <w:tcW w:w="1943" w:type="dxa"/>
                  <w:vMerge w:val="continue"/>
                  <w:noWrap w:val="0"/>
                  <w:vAlign w:val="center"/>
                </w:tcPr>
                <w:p w14:paraId="04C7B633">
                  <w:pPr>
                    <w:shd w:val="clear"/>
                    <w:adjustRightInd w:val="0"/>
                    <w:snapToGrid w:val="0"/>
                    <w:spacing w:line="240" w:lineRule="auto"/>
                    <w:jc w:val="center"/>
                    <w:rPr>
                      <w:rFonts w:hint="eastAsia"/>
                      <w:color w:val="auto"/>
                      <w:highlight w:val="none"/>
                    </w:rPr>
                  </w:pPr>
                </w:p>
              </w:tc>
              <w:tc>
                <w:tcPr>
                  <w:tcW w:w="1163" w:type="dxa"/>
                  <w:noWrap w:val="0"/>
                  <w:vAlign w:val="center"/>
                </w:tcPr>
                <w:p w14:paraId="1BA35999">
                  <w:pPr>
                    <w:shd w:val="clear"/>
                    <w:adjustRightInd w:val="0"/>
                    <w:snapToGrid w:val="0"/>
                    <w:spacing w:line="240" w:lineRule="auto"/>
                    <w:jc w:val="center"/>
                    <w:rPr>
                      <w:rFonts w:hint="default" w:cs="Times New Roman"/>
                      <w:b w:val="0"/>
                      <w:bCs w:val="0"/>
                      <w:color w:val="auto"/>
                      <w:kern w:val="0"/>
                      <w:sz w:val="21"/>
                      <w:szCs w:val="21"/>
                      <w:highlight w:val="none"/>
                      <w:lang w:val="en-US" w:eastAsia="zh-CN" w:bidi="ar"/>
                    </w:rPr>
                  </w:pPr>
                  <w:r>
                    <w:rPr>
                      <w:rFonts w:hint="eastAsia" w:cs="Times New Roman"/>
                      <w:b w:val="0"/>
                      <w:bCs w:val="0"/>
                      <w:color w:val="auto"/>
                      <w:kern w:val="0"/>
                      <w:sz w:val="21"/>
                      <w:szCs w:val="21"/>
                      <w:highlight w:val="none"/>
                      <w:lang w:val="en-US" w:eastAsia="zh-CN" w:bidi="ar"/>
                    </w:rPr>
                    <w:t>1.2</w:t>
                  </w:r>
                </w:p>
              </w:tc>
              <w:tc>
                <w:tcPr>
                  <w:tcW w:w="953" w:type="dxa"/>
                  <w:noWrap w:val="0"/>
                  <w:vAlign w:val="center"/>
                </w:tcPr>
                <w:p w14:paraId="0C46F6E5">
                  <w:pPr>
                    <w:pStyle w:val="19"/>
                    <w:keepNext w:val="0"/>
                    <w:keepLines w:val="0"/>
                    <w:pageBreakBefore w:val="0"/>
                    <w:widowControl w:val="0"/>
                    <w:shd w:val="clear"/>
                    <w:kinsoku/>
                    <w:wordWrap/>
                    <w:overflowPunct/>
                    <w:topLinePunct w:val="0"/>
                    <w:autoSpaceDE/>
                    <w:autoSpaceDN/>
                    <w:bidi w:val="0"/>
                    <w:adjustRightInd/>
                    <w:snapToGrid w:val="0"/>
                    <w:spacing w:before="0" w:line="240" w:lineRule="auto"/>
                    <w:ind w:left="0" w:leftChars="0" w:right="0" w:rightChars="0" w:firstLine="0" w:firstLineChars="0"/>
                    <w:jc w:val="center"/>
                    <w:textAlignment w:val="auto"/>
                    <w:rPr>
                      <w:rFonts w:hint="default"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0.06825</w:t>
                  </w:r>
                </w:p>
              </w:tc>
            </w:tr>
            <w:tr w14:paraId="2AFEEB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8" w:hRule="atLeast"/>
                <w:jc w:val="center"/>
              </w:trPr>
              <w:tc>
                <w:tcPr>
                  <w:tcW w:w="796" w:type="dxa"/>
                  <w:noWrap w:val="0"/>
                  <w:vAlign w:val="center"/>
                </w:tcPr>
                <w:p w14:paraId="2DE31702">
                  <w:pPr>
                    <w:shd w:val="clear"/>
                    <w:adjustRightInd w:val="0"/>
                    <w:snapToGrid w:val="0"/>
                    <w:spacing w:line="240" w:lineRule="auto"/>
                    <w:jc w:val="center"/>
                    <w:rPr>
                      <w:rFonts w:hint="default"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5</w:t>
                  </w:r>
                </w:p>
              </w:tc>
              <w:tc>
                <w:tcPr>
                  <w:tcW w:w="796" w:type="dxa"/>
                  <w:vMerge w:val="continue"/>
                  <w:noWrap w:val="0"/>
                  <w:vAlign w:val="center"/>
                </w:tcPr>
                <w:p w14:paraId="54A6F4CB">
                  <w:pPr>
                    <w:shd w:val="clear"/>
                    <w:adjustRightInd w:val="0"/>
                    <w:snapToGrid w:val="0"/>
                    <w:spacing w:line="240" w:lineRule="auto"/>
                    <w:jc w:val="both"/>
                    <w:rPr>
                      <w:rFonts w:hint="eastAsia" w:cs="Times New Roman"/>
                      <w:b w:val="0"/>
                      <w:bCs w:val="0"/>
                      <w:color w:val="auto"/>
                      <w:kern w:val="2"/>
                      <w:sz w:val="21"/>
                      <w:szCs w:val="21"/>
                      <w:highlight w:val="none"/>
                      <w:vertAlign w:val="baseline"/>
                      <w:lang w:val="en-US" w:eastAsia="zh-CN" w:bidi="ar-SA"/>
                    </w:rPr>
                  </w:pPr>
                </w:p>
              </w:tc>
              <w:tc>
                <w:tcPr>
                  <w:tcW w:w="861" w:type="dxa"/>
                  <w:noWrap w:val="0"/>
                  <w:vAlign w:val="center"/>
                </w:tcPr>
                <w:p w14:paraId="21EABAF9">
                  <w:pPr>
                    <w:jc w:val="center"/>
                    <w:rPr>
                      <w:rFonts w:hint="eastAsia"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color w:val="auto"/>
                      <w:kern w:val="0"/>
                      <w:sz w:val="21"/>
                      <w:szCs w:val="21"/>
                      <w:highlight w:val="none"/>
                      <w:lang w:val="en-US" w:eastAsia="zh-CN" w:bidi="ar-SA"/>
                    </w:rPr>
                    <w:t>氯化氢</w:t>
                  </w:r>
                </w:p>
              </w:tc>
              <w:tc>
                <w:tcPr>
                  <w:tcW w:w="1094" w:type="dxa"/>
                  <w:noWrap w:val="0"/>
                  <w:vAlign w:val="center"/>
                </w:tcPr>
                <w:p w14:paraId="0DCD3D3E">
                  <w:pPr>
                    <w:shd w:val="clear"/>
                    <w:adjustRightInd w:val="0"/>
                    <w:snapToGrid w:val="0"/>
                    <w:spacing w:line="240" w:lineRule="auto"/>
                    <w:jc w:val="center"/>
                    <w:rPr>
                      <w:rFonts w:hint="eastAsia"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kern w:val="2"/>
                      <w:sz w:val="21"/>
                      <w:szCs w:val="21"/>
                      <w:highlight w:val="none"/>
                      <w:vertAlign w:val="baseline"/>
                      <w:lang w:val="en-US" w:eastAsia="zh-CN" w:bidi="ar-SA"/>
                    </w:rPr>
                    <w:t>/</w:t>
                  </w:r>
                </w:p>
              </w:tc>
              <w:tc>
                <w:tcPr>
                  <w:tcW w:w="1943" w:type="dxa"/>
                  <w:vMerge w:val="continue"/>
                  <w:noWrap w:val="0"/>
                  <w:vAlign w:val="center"/>
                </w:tcPr>
                <w:p w14:paraId="69DA0FA5">
                  <w:pPr>
                    <w:shd w:val="clear"/>
                    <w:adjustRightInd w:val="0"/>
                    <w:snapToGrid w:val="0"/>
                    <w:spacing w:line="240" w:lineRule="auto"/>
                    <w:jc w:val="center"/>
                    <w:rPr>
                      <w:rFonts w:hint="eastAsia"/>
                      <w:color w:val="auto"/>
                      <w:highlight w:val="none"/>
                    </w:rPr>
                  </w:pPr>
                </w:p>
              </w:tc>
              <w:tc>
                <w:tcPr>
                  <w:tcW w:w="1163" w:type="dxa"/>
                  <w:noWrap w:val="0"/>
                  <w:vAlign w:val="center"/>
                </w:tcPr>
                <w:p w14:paraId="32D19665">
                  <w:pPr>
                    <w:shd w:val="clear"/>
                    <w:adjustRightInd w:val="0"/>
                    <w:snapToGrid w:val="0"/>
                    <w:spacing w:line="240" w:lineRule="auto"/>
                    <w:jc w:val="center"/>
                    <w:rPr>
                      <w:rFonts w:hint="default" w:cs="Times New Roman"/>
                      <w:b w:val="0"/>
                      <w:bCs w:val="0"/>
                      <w:color w:val="auto"/>
                      <w:kern w:val="0"/>
                      <w:sz w:val="21"/>
                      <w:szCs w:val="21"/>
                      <w:highlight w:val="none"/>
                      <w:lang w:val="en-US" w:eastAsia="zh-CN" w:bidi="ar"/>
                    </w:rPr>
                  </w:pPr>
                  <w:r>
                    <w:rPr>
                      <w:rFonts w:hint="eastAsia" w:cs="Times New Roman"/>
                      <w:b w:val="0"/>
                      <w:bCs w:val="0"/>
                      <w:color w:val="auto"/>
                      <w:kern w:val="0"/>
                      <w:sz w:val="21"/>
                      <w:szCs w:val="21"/>
                      <w:highlight w:val="none"/>
                      <w:lang w:val="en-US" w:eastAsia="zh-CN" w:bidi="ar"/>
                    </w:rPr>
                    <w:t>0.2</w:t>
                  </w:r>
                </w:p>
              </w:tc>
              <w:tc>
                <w:tcPr>
                  <w:tcW w:w="953" w:type="dxa"/>
                  <w:noWrap w:val="0"/>
                  <w:vAlign w:val="center"/>
                </w:tcPr>
                <w:p w14:paraId="2CB07DF2">
                  <w:pPr>
                    <w:pStyle w:val="19"/>
                    <w:keepNext w:val="0"/>
                    <w:keepLines w:val="0"/>
                    <w:pageBreakBefore w:val="0"/>
                    <w:widowControl w:val="0"/>
                    <w:shd w:val="clear"/>
                    <w:kinsoku/>
                    <w:wordWrap/>
                    <w:overflowPunct/>
                    <w:topLinePunct w:val="0"/>
                    <w:autoSpaceDE/>
                    <w:autoSpaceDN/>
                    <w:bidi w:val="0"/>
                    <w:adjustRightInd/>
                    <w:snapToGrid w:val="0"/>
                    <w:spacing w:before="0" w:line="240" w:lineRule="auto"/>
                    <w:ind w:left="0" w:leftChars="0" w:right="0" w:rightChars="0" w:firstLine="0" w:firstLineChars="0"/>
                    <w:jc w:val="center"/>
                    <w:textAlignment w:val="auto"/>
                    <w:rPr>
                      <w:rFonts w:hint="default"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3.2025</w:t>
                  </w:r>
                </w:p>
              </w:tc>
            </w:tr>
            <w:tr w14:paraId="299AE8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9" w:hRule="atLeast"/>
                <w:jc w:val="center"/>
              </w:trPr>
              <w:tc>
                <w:tcPr>
                  <w:tcW w:w="796" w:type="dxa"/>
                  <w:noWrap w:val="0"/>
                  <w:vAlign w:val="center"/>
                </w:tcPr>
                <w:p w14:paraId="6C3502D1">
                  <w:pPr>
                    <w:shd w:val="clear"/>
                    <w:adjustRightInd w:val="0"/>
                    <w:snapToGrid w:val="0"/>
                    <w:spacing w:line="240" w:lineRule="auto"/>
                    <w:jc w:val="center"/>
                    <w:rPr>
                      <w:rFonts w:hint="default"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6</w:t>
                  </w:r>
                </w:p>
              </w:tc>
              <w:tc>
                <w:tcPr>
                  <w:tcW w:w="796" w:type="dxa"/>
                  <w:vMerge w:val="continue"/>
                  <w:noWrap w:val="0"/>
                  <w:vAlign w:val="center"/>
                </w:tcPr>
                <w:p w14:paraId="577B8356">
                  <w:pPr>
                    <w:shd w:val="clear"/>
                    <w:adjustRightInd w:val="0"/>
                    <w:snapToGrid w:val="0"/>
                    <w:spacing w:line="240" w:lineRule="auto"/>
                    <w:jc w:val="both"/>
                    <w:rPr>
                      <w:rFonts w:hint="eastAsia" w:cs="Times New Roman"/>
                      <w:b w:val="0"/>
                      <w:bCs w:val="0"/>
                      <w:color w:val="auto"/>
                      <w:kern w:val="2"/>
                      <w:sz w:val="21"/>
                      <w:szCs w:val="21"/>
                      <w:highlight w:val="none"/>
                      <w:vertAlign w:val="baseline"/>
                      <w:lang w:val="en-US" w:eastAsia="zh-CN" w:bidi="ar-SA"/>
                    </w:rPr>
                  </w:pPr>
                </w:p>
              </w:tc>
              <w:tc>
                <w:tcPr>
                  <w:tcW w:w="861" w:type="dxa"/>
                  <w:noWrap w:val="0"/>
                  <w:vAlign w:val="center"/>
                </w:tcPr>
                <w:p w14:paraId="0EABD6ED">
                  <w:pPr>
                    <w:jc w:val="center"/>
                    <w:rPr>
                      <w:rFonts w:hint="eastAsia"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color w:val="auto"/>
                      <w:kern w:val="0"/>
                      <w:sz w:val="21"/>
                      <w:szCs w:val="21"/>
                      <w:highlight w:val="none"/>
                      <w:lang w:val="en-US" w:eastAsia="zh-CN" w:bidi="ar-SA"/>
                    </w:rPr>
                    <w:t>颗粒物</w:t>
                  </w:r>
                </w:p>
              </w:tc>
              <w:tc>
                <w:tcPr>
                  <w:tcW w:w="1094" w:type="dxa"/>
                  <w:noWrap w:val="0"/>
                  <w:vAlign w:val="center"/>
                </w:tcPr>
                <w:p w14:paraId="26C9DA86">
                  <w:pPr>
                    <w:shd w:val="clear"/>
                    <w:adjustRightInd w:val="0"/>
                    <w:snapToGrid w:val="0"/>
                    <w:spacing w:line="240" w:lineRule="auto"/>
                    <w:jc w:val="center"/>
                    <w:rPr>
                      <w:rFonts w:hint="eastAsia"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w:t>
                  </w:r>
                </w:p>
              </w:tc>
              <w:tc>
                <w:tcPr>
                  <w:tcW w:w="1943" w:type="dxa"/>
                  <w:vMerge w:val="continue"/>
                  <w:noWrap w:val="0"/>
                  <w:vAlign w:val="center"/>
                </w:tcPr>
                <w:p w14:paraId="2CA0C2D5">
                  <w:pPr>
                    <w:shd w:val="clear"/>
                    <w:adjustRightInd w:val="0"/>
                    <w:snapToGrid w:val="0"/>
                    <w:spacing w:line="240" w:lineRule="auto"/>
                    <w:jc w:val="center"/>
                    <w:rPr>
                      <w:rFonts w:hint="eastAsia"/>
                      <w:color w:val="auto"/>
                      <w:highlight w:val="none"/>
                    </w:rPr>
                  </w:pPr>
                </w:p>
              </w:tc>
              <w:tc>
                <w:tcPr>
                  <w:tcW w:w="1163" w:type="dxa"/>
                  <w:noWrap w:val="0"/>
                  <w:vAlign w:val="center"/>
                </w:tcPr>
                <w:p w14:paraId="6F19E12F">
                  <w:pPr>
                    <w:shd w:val="clear"/>
                    <w:adjustRightInd w:val="0"/>
                    <w:snapToGrid w:val="0"/>
                    <w:spacing w:line="240" w:lineRule="auto"/>
                    <w:jc w:val="center"/>
                    <w:rPr>
                      <w:rFonts w:hint="default" w:cs="Times New Roman"/>
                      <w:b w:val="0"/>
                      <w:bCs w:val="0"/>
                      <w:color w:val="auto"/>
                      <w:kern w:val="0"/>
                      <w:sz w:val="21"/>
                      <w:szCs w:val="21"/>
                      <w:highlight w:val="none"/>
                      <w:lang w:val="en-US" w:eastAsia="zh-CN" w:bidi="ar"/>
                    </w:rPr>
                  </w:pPr>
                  <w:r>
                    <w:rPr>
                      <w:rFonts w:hint="eastAsia" w:cs="Times New Roman"/>
                      <w:b w:val="0"/>
                      <w:bCs w:val="0"/>
                      <w:color w:val="auto"/>
                      <w:kern w:val="0"/>
                      <w:sz w:val="21"/>
                      <w:szCs w:val="21"/>
                      <w:highlight w:val="none"/>
                      <w:lang w:val="en-US" w:eastAsia="zh-CN" w:bidi="ar"/>
                    </w:rPr>
                    <w:t>1</w:t>
                  </w:r>
                </w:p>
              </w:tc>
              <w:tc>
                <w:tcPr>
                  <w:tcW w:w="953" w:type="dxa"/>
                  <w:noWrap w:val="0"/>
                  <w:vAlign w:val="center"/>
                </w:tcPr>
                <w:p w14:paraId="5103EA18">
                  <w:pPr>
                    <w:pStyle w:val="19"/>
                    <w:keepNext w:val="0"/>
                    <w:keepLines w:val="0"/>
                    <w:pageBreakBefore w:val="0"/>
                    <w:widowControl w:val="0"/>
                    <w:shd w:val="clear"/>
                    <w:kinsoku/>
                    <w:wordWrap/>
                    <w:overflowPunct/>
                    <w:topLinePunct w:val="0"/>
                    <w:autoSpaceDE/>
                    <w:autoSpaceDN/>
                    <w:bidi w:val="0"/>
                    <w:adjustRightInd/>
                    <w:snapToGrid w:val="0"/>
                    <w:spacing w:before="0" w:line="240" w:lineRule="auto"/>
                    <w:ind w:left="0" w:leftChars="0" w:right="0" w:rightChars="0" w:firstLine="0" w:firstLineChars="0"/>
                    <w:jc w:val="center"/>
                    <w:textAlignment w:val="auto"/>
                    <w:rPr>
                      <w:rFonts w:hint="default"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0.344</w:t>
                  </w:r>
                </w:p>
              </w:tc>
            </w:tr>
            <w:tr w14:paraId="040068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0" w:hRule="atLeast"/>
                <w:jc w:val="center"/>
              </w:trPr>
              <w:tc>
                <w:tcPr>
                  <w:tcW w:w="796" w:type="dxa"/>
                  <w:noWrap w:val="0"/>
                  <w:vAlign w:val="center"/>
                </w:tcPr>
                <w:p w14:paraId="68418261">
                  <w:pPr>
                    <w:shd w:val="clear"/>
                    <w:adjustRightInd w:val="0"/>
                    <w:snapToGrid w:val="0"/>
                    <w:spacing w:line="240" w:lineRule="auto"/>
                    <w:jc w:val="center"/>
                    <w:rPr>
                      <w:rFonts w:hint="default"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7</w:t>
                  </w:r>
                </w:p>
              </w:tc>
              <w:tc>
                <w:tcPr>
                  <w:tcW w:w="796" w:type="dxa"/>
                  <w:vMerge w:val="continue"/>
                  <w:noWrap w:val="0"/>
                  <w:vAlign w:val="center"/>
                </w:tcPr>
                <w:p w14:paraId="14820CA7">
                  <w:pPr>
                    <w:shd w:val="clear"/>
                    <w:adjustRightInd w:val="0"/>
                    <w:snapToGrid w:val="0"/>
                    <w:spacing w:line="240" w:lineRule="auto"/>
                    <w:jc w:val="both"/>
                    <w:rPr>
                      <w:rFonts w:hint="eastAsia" w:cs="Times New Roman"/>
                      <w:b w:val="0"/>
                      <w:bCs w:val="0"/>
                      <w:color w:val="auto"/>
                      <w:kern w:val="2"/>
                      <w:sz w:val="21"/>
                      <w:szCs w:val="21"/>
                      <w:highlight w:val="none"/>
                      <w:vertAlign w:val="baseline"/>
                      <w:lang w:val="en-US" w:eastAsia="zh-CN" w:bidi="ar-SA"/>
                    </w:rPr>
                  </w:pPr>
                </w:p>
              </w:tc>
              <w:tc>
                <w:tcPr>
                  <w:tcW w:w="861" w:type="dxa"/>
                  <w:noWrap w:val="0"/>
                  <w:vAlign w:val="center"/>
                </w:tcPr>
                <w:p w14:paraId="6DEFF7C1">
                  <w:pPr>
                    <w:jc w:val="center"/>
                    <w:rPr>
                      <w:rFonts w:hint="eastAsia"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color w:val="auto"/>
                      <w:kern w:val="0"/>
                      <w:sz w:val="21"/>
                      <w:szCs w:val="21"/>
                      <w:highlight w:val="none"/>
                      <w:lang w:val="en-US" w:eastAsia="zh-CN" w:bidi="ar-SA"/>
                    </w:rPr>
                    <w:t>氮氧化物</w:t>
                  </w:r>
                </w:p>
              </w:tc>
              <w:tc>
                <w:tcPr>
                  <w:tcW w:w="1094" w:type="dxa"/>
                  <w:noWrap w:val="0"/>
                  <w:vAlign w:val="center"/>
                </w:tcPr>
                <w:p w14:paraId="260916F6">
                  <w:pPr>
                    <w:shd w:val="clear"/>
                    <w:adjustRightInd w:val="0"/>
                    <w:snapToGrid w:val="0"/>
                    <w:spacing w:line="240" w:lineRule="auto"/>
                    <w:jc w:val="center"/>
                    <w:rPr>
                      <w:rFonts w:hint="eastAsia"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kern w:val="2"/>
                      <w:sz w:val="21"/>
                      <w:szCs w:val="21"/>
                      <w:highlight w:val="none"/>
                      <w:vertAlign w:val="baseline"/>
                      <w:lang w:val="en-US" w:eastAsia="zh-CN" w:bidi="ar-SA"/>
                    </w:rPr>
                    <w:t>/</w:t>
                  </w:r>
                </w:p>
              </w:tc>
              <w:tc>
                <w:tcPr>
                  <w:tcW w:w="1943" w:type="dxa"/>
                  <w:vMerge w:val="continue"/>
                  <w:noWrap w:val="0"/>
                  <w:vAlign w:val="center"/>
                </w:tcPr>
                <w:p w14:paraId="59F210E8">
                  <w:pPr>
                    <w:shd w:val="clear"/>
                    <w:adjustRightInd w:val="0"/>
                    <w:snapToGrid w:val="0"/>
                    <w:spacing w:line="240" w:lineRule="auto"/>
                    <w:jc w:val="center"/>
                    <w:rPr>
                      <w:rFonts w:hint="eastAsia"/>
                      <w:color w:val="auto"/>
                      <w:highlight w:val="none"/>
                    </w:rPr>
                  </w:pPr>
                </w:p>
              </w:tc>
              <w:tc>
                <w:tcPr>
                  <w:tcW w:w="1163" w:type="dxa"/>
                  <w:noWrap w:val="0"/>
                  <w:vAlign w:val="center"/>
                </w:tcPr>
                <w:p w14:paraId="39BCF9BF">
                  <w:pPr>
                    <w:shd w:val="clear"/>
                    <w:adjustRightInd w:val="0"/>
                    <w:snapToGrid w:val="0"/>
                    <w:spacing w:line="240" w:lineRule="auto"/>
                    <w:jc w:val="center"/>
                    <w:rPr>
                      <w:rFonts w:hint="default" w:cs="Times New Roman"/>
                      <w:b w:val="0"/>
                      <w:bCs w:val="0"/>
                      <w:color w:val="auto"/>
                      <w:kern w:val="0"/>
                      <w:sz w:val="21"/>
                      <w:szCs w:val="21"/>
                      <w:highlight w:val="none"/>
                      <w:lang w:val="en-US" w:eastAsia="zh-CN" w:bidi="ar"/>
                    </w:rPr>
                  </w:pPr>
                  <w:r>
                    <w:rPr>
                      <w:rFonts w:hint="eastAsia" w:cs="Times New Roman"/>
                      <w:b w:val="0"/>
                      <w:bCs w:val="0"/>
                      <w:color w:val="auto"/>
                      <w:kern w:val="0"/>
                      <w:sz w:val="21"/>
                      <w:szCs w:val="21"/>
                      <w:highlight w:val="none"/>
                      <w:lang w:val="en-US" w:eastAsia="zh-CN" w:bidi="ar"/>
                    </w:rPr>
                    <w:t>0.12</w:t>
                  </w:r>
                </w:p>
              </w:tc>
              <w:tc>
                <w:tcPr>
                  <w:tcW w:w="953" w:type="dxa"/>
                  <w:noWrap w:val="0"/>
                  <w:vAlign w:val="center"/>
                </w:tcPr>
                <w:p w14:paraId="4385F234">
                  <w:pPr>
                    <w:pStyle w:val="19"/>
                    <w:keepNext w:val="0"/>
                    <w:keepLines w:val="0"/>
                    <w:pageBreakBefore w:val="0"/>
                    <w:widowControl w:val="0"/>
                    <w:shd w:val="clear"/>
                    <w:kinsoku/>
                    <w:wordWrap/>
                    <w:overflowPunct/>
                    <w:topLinePunct w:val="0"/>
                    <w:autoSpaceDE/>
                    <w:autoSpaceDN/>
                    <w:bidi w:val="0"/>
                    <w:adjustRightInd/>
                    <w:snapToGrid w:val="0"/>
                    <w:spacing w:before="0" w:line="240" w:lineRule="auto"/>
                    <w:ind w:left="0" w:leftChars="0" w:right="0" w:rightChars="0" w:firstLine="0" w:firstLineChars="0"/>
                    <w:jc w:val="center"/>
                    <w:textAlignment w:val="auto"/>
                    <w:rPr>
                      <w:rFonts w:hint="default"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0.2572</w:t>
                  </w:r>
                </w:p>
              </w:tc>
            </w:tr>
            <w:tr w14:paraId="59A32D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0" w:hRule="atLeast"/>
                <w:jc w:val="center"/>
              </w:trPr>
              <w:tc>
                <w:tcPr>
                  <w:tcW w:w="796" w:type="dxa"/>
                  <w:noWrap w:val="0"/>
                  <w:vAlign w:val="center"/>
                </w:tcPr>
                <w:p w14:paraId="0507F194">
                  <w:pPr>
                    <w:shd w:val="clear"/>
                    <w:adjustRightInd w:val="0"/>
                    <w:snapToGrid w:val="0"/>
                    <w:spacing w:line="240" w:lineRule="auto"/>
                    <w:jc w:val="center"/>
                    <w:rPr>
                      <w:rFonts w:hint="default"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8</w:t>
                  </w:r>
                </w:p>
              </w:tc>
              <w:tc>
                <w:tcPr>
                  <w:tcW w:w="796" w:type="dxa"/>
                  <w:vMerge w:val="continue"/>
                  <w:noWrap w:val="0"/>
                  <w:vAlign w:val="center"/>
                </w:tcPr>
                <w:p w14:paraId="6CDE7F85">
                  <w:pPr>
                    <w:shd w:val="clear"/>
                    <w:adjustRightInd w:val="0"/>
                    <w:snapToGrid w:val="0"/>
                    <w:spacing w:line="240" w:lineRule="auto"/>
                    <w:jc w:val="both"/>
                    <w:rPr>
                      <w:rFonts w:hint="eastAsia" w:cs="Times New Roman"/>
                      <w:b w:val="0"/>
                      <w:bCs w:val="0"/>
                      <w:color w:val="auto"/>
                      <w:kern w:val="2"/>
                      <w:sz w:val="21"/>
                      <w:szCs w:val="21"/>
                      <w:highlight w:val="none"/>
                      <w:vertAlign w:val="baseline"/>
                      <w:lang w:val="en-US" w:eastAsia="zh-CN" w:bidi="ar-SA"/>
                    </w:rPr>
                  </w:pPr>
                </w:p>
              </w:tc>
              <w:tc>
                <w:tcPr>
                  <w:tcW w:w="861" w:type="dxa"/>
                  <w:noWrap w:val="0"/>
                  <w:vAlign w:val="center"/>
                </w:tcPr>
                <w:p w14:paraId="72158954">
                  <w:pPr>
                    <w:jc w:val="center"/>
                    <w:rPr>
                      <w:rFonts w:hint="eastAsia"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color w:val="auto"/>
                      <w:kern w:val="0"/>
                      <w:sz w:val="21"/>
                      <w:szCs w:val="21"/>
                      <w:highlight w:val="none"/>
                      <w:lang w:val="en-US" w:eastAsia="zh-CN" w:bidi="ar-SA"/>
                    </w:rPr>
                    <w:t>氨</w:t>
                  </w:r>
                </w:p>
              </w:tc>
              <w:tc>
                <w:tcPr>
                  <w:tcW w:w="1094" w:type="dxa"/>
                  <w:noWrap w:val="0"/>
                  <w:vAlign w:val="center"/>
                </w:tcPr>
                <w:p w14:paraId="587E9766">
                  <w:pPr>
                    <w:shd w:val="clear"/>
                    <w:adjustRightInd w:val="0"/>
                    <w:snapToGrid w:val="0"/>
                    <w:spacing w:line="240" w:lineRule="auto"/>
                    <w:jc w:val="center"/>
                    <w:rPr>
                      <w:rFonts w:hint="eastAsia"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w:t>
                  </w:r>
                </w:p>
              </w:tc>
              <w:tc>
                <w:tcPr>
                  <w:tcW w:w="1943" w:type="dxa"/>
                  <w:vMerge w:val="restart"/>
                  <w:noWrap w:val="0"/>
                  <w:vAlign w:val="center"/>
                </w:tcPr>
                <w:p w14:paraId="588F6DAE">
                  <w:pPr>
                    <w:shd w:val="clear"/>
                    <w:adjustRightInd w:val="0"/>
                    <w:snapToGrid w:val="0"/>
                    <w:spacing w:line="240" w:lineRule="auto"/>
                    <w:jc w:val="center"/>
                    <w:rPr>
                      <w:rFonts w:hint="eastAsia"/>
                      <w:color w:val="auto"/>
                      <w:highlight w:val="none"/>
                    </w:rPr>
                  </w:pPr>
                  <w:r>
                    <w:rPr>
                      <w:rFonts w:hint="default" w:ascii="Times New Roman" w:hAnsi="Times New Roman" w:cs="Times New Roman"/>
                      <w:color w:val="auto"/>
                      <w:highlight w:val="none"/>
                      <w:lang w:bidi="ar"/>
                    </w:rPr>
                    <w:t>《恶臭污染物排放标准》（GB14554-93）中表1恶臭污染物厂界标准值</w:t>
                  </w:r>
                </w:p>
              </w:tc>
              <w:tc>
                <w:tcPr>
                  <w:tcW w:w="1163" w:type="dxa"/>
                  <w:noWrap w:val="0"/>
                  <w:vAlign w:val="center"/>
                </w:tcPr>
                <w:p w14:paraId="3D36D5F9">
                  <w:pPr>
                    <w:shd w:val="clear"/>
                    <w:adjustRightInd w:val="0"/>
                    <w:snapToGrid w:val="0"/>
                    <w:spacing w:line="240" w:lineRule="auto"/>
                    <w:jc w:val="center"/>
                    <w:rPr>
                      <w:rFonts w:hint="default" w:cs="Times New Roman"/>
                      <w:b w:val="0"/>
                      <w:bCs w:val="0"/>
                      <w:color w:val="auto"/>
                      <w:kern w:val="0"/>
                      <w:sz w:val="21"/>
                      <w:szCs w:val="21"/>
                      <w:highlight w:val="none"/>
                      <w:lang w:val="en-US" w:eastAsia="zh-CN" w:bidi="ar"/>
                    </w:rPr>
                  </w:pPr>
                  <w:r>
                    <w:rPr>
                      <w:rFonts w:hint="eastAsia" w:cs="Times New Roman"/>
                      <w:b w:val="0"/>
                      <w:bCs w:val="0"/>
                      <w:color w:val="auto"/>
                      <w:kern w:val="0"/>
                      <w:sz w:val="21"/>
                      <w:szCs w:val="21"/>
                      <w:highlight w:val="none"/>
                      <w:lang w:val="en-US" w:eastAsia="zh-CN" w:bidi="ar"/>
                    </w:rPr>
                    <w:t>1.5</w:t>
                  </w:r>
                </w:p>
              </w:tc>
              <w:tc>
                <w:tcPr>
                  <w:tcW w:w="953" w:type="dxa"/>
                  <w:noWrap w:val="0"/>
                  <w:vAlign w:val="center"/>
                </w:tcPr>
                <w:p w14:paraId="1995B180">
                  <w:pPr>
                    <w:pStyle w:val="19"/>
                    <w:keepNext w:val="0"/>
                    <w:keepLines w:val="0"/>
                    <w:pageBreakBefore w:val="0"/>
                    <w:widowControl w:val="0"/>
                    <w:shd w:val="clear"/>
                    <w:kinsoku/>
                    <w:wordWrap/>
                    <w:overflowPunct/>
                    <w:topLinePunct w:val="0"/>
                    <w:autoSpaceDE/>
                    <w:autoSpaceDN/>
                    <w:bidi w:val="0"/>
                    <w:adjustRightInd/>
                    <w:snapToGrid w:val="0"/>
                    <w:spacing w:before="0" w:line="240" w:lineRule="auto"/>
                    <w:ind w:left="0" w:leftChars="0" w:right="0" w:rightChars="0" w:firstLine="0" w:firstLineChars="0"/>
                    <w:jc w:val="center"/>
                    <w:textAlignment w:val="auto"/>
                    <w:rPr>
                      <w:rFonts w:hint="default"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w:t>
                  </w:r>
                </w:p>
              </w:tc>
            </w:tr>
            <w:tr w14:paraId="3CBD17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1" w:hRule="atLeast"/>
                <w:jc w:val="center"/>
              </w:trPr>
              <w:tc>
                <w:tcPr>
                  <w:tcW w:w="796" w:type="dxa"/>
                  <w:noWrap w:val="0"/>
                  <w:vAlign w:val="center"/>
                </w:tcPr>
                <w:p w14:paraId="163E4D51">
                  <w:pPr>
                    <w:shd w:val="clear"/>
                    <w:adjustRightInd w:val="0"/>
                    <w:snapToGrid w:val="0"/>
                    <w:spacing w:line="240" w:lineRule="auto"/>
                    <w:jc w:val="center"/>
                    <w:rPr>
                      <w:rFonts w:hint="default"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9</w:t>
                  </w:r>
                </w:p>
              </w:tc>
              <w:tc>
                <w:tcPr>
                  <w:tcW w:w="796" w:type="dxa"/>
                  <w:vMerge w:val="continue"/>
                  <w:noWrap w:val="0"/>
                  <w:vAlign w:val="center"/>
                </w:tcPr>
                <w:p w14:paraId="154E4215">
                  <w:pPr>
                    <w:shd w:val="clear"/>
                    <w:adjustRightInd w:val="0"/>
                    <w:snapToGrid w:val="0"/>
                    <w:spacing w:line="240" w:lineRule="auto"/>
                    <w:jc w:val="both"/>
                    <w:rPr>
                      <w:rFonts w:hint="eastAsia" w:cs="Times New Roman"/>
                      <w:b w:val="0"/>
                      <w:bCs w:val="0"/>
                      <w:color w:val="auto"/>
                      <w:kern w:val="2"/>
                      <w:sz w:val="21"/>
                      <w:szCs w:val="21"/>
                      <w:highlight w:val="none"/>
                      <w:vertAlign w:val="baseline"/>
                      <w:lang w:val="en-US" w:eastAsia="zh-CN" w:bidi="ar-SA"/>
                    </w:rPr>
                  </w:pPr>
                </w:p>
              </w:tc>
              <w:tc>
                <w:tcPr>
                  <w:tcW w:w="861" w:type="dxa"/>
                  <w:noWrap w:val="0"/>
                  <w:vAlign w:val="center"/>
                </w:tcPr>
                <w:p w14:paraId="1E688077">
                  <w:pPr>
                    <w:jc w:val="center"/>
                    <w:rPr>
                      <w:rFonts w:hint="eastAsia"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color w:val="auto"/>
                      <w:kern w:val="0"/>
                      <w:sz w:val="21"/>
                      <w:szCs w:val="21"/>
                      <w:highlight w:val="none"/>
                      <w:lang w:val="en-US" w:eastAsia="zh-CN" w:bidi="ar-SA"/>
                    </w:rPr>
                    <w:t>臭气浓度</w:t>
                  </w:r>
                </w:p>
              </w:tc>
              <w:tc>
                <w:tcPr>
                  <w:tcW w:w="1094" w:type="dxa"/>
                  <w:noWrap w:val="0"/>
                  <w:vAlign w:val="center"/>
                </w:tcPr>
                <w:p w14:paraId="3FE8EB35">
                  <w:pPr>
                    <w:shd w:val="clear"/>
                    <w:adjustRightInd w:val="0"/>
                    <w:snapToGrid w:val="0"/>
                    <w:spacing w:line="240" w:lineRule="auto"/>
                    <w:jc w:val="center"/>
                    <w:rPr>
                      <w:rFonts w:hint="eastAsia"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kern w:val="2"/>
                      <w:sz w:val="21"/>
                      <w:szCs w:val="21"/>
                      <w:highlight w:val="none"/>
                      <w:vertAlign w:val="baseline"/>
                      <w:lang w:val="en-US" w:eastAsia="zh-CN" w:bidi="ar-SA"/>
                    </w:rPr>
                    <w:t>/</w:t>
                  </w:r>
                </w:p>
              </w:tc>
              <w:tc>
                <w:tcPr>
                  <w:tcW w:w="1943" w:type="dxa"/>
                  <w:vMerge w:val="continue"/>
                  <w:noWrap w:val="0"/>
                  <w:vAlign w:val="center"/>
                </w:tcPr>
                <w:p w14:paraId="0C17AB88">
                  <w:pPr>
                    <w:shd w:val="clear"/>
                    <w:adjustRightInd w:val="0"/>
                    <w:snapToGrid w:val="0"/>
                    <w:spacing w:line="240" w:lineRule="auto"/>
                    <w:jc w:val="center"/>
                    <w:rPr>
                      <w:rFonts w:hint="eastAsia"/>
                      <w:color w:val="auto"/>
                      <w:highlight w:val="none"/>
                    </w:rPr>
                  </w:pPr>
                </w:p>
              </w:tc>
              <w:tc>
                <w:tcPr>
                  <w:tcW w:w="1163" w:type="dxa"/>
                  <w:noWrap w:val="0"/>
                  <w:vAlign w:val="center"/>
                </w:tcPr>
                <w:p w14:paraId="6F999171">
                  <w:pPr>
                    <w:shd w:val="clear"/>
                    <w:adjustRightInd w:val="0"/>
                    <w:snapToGrid w:val="0"/>
                    <w:spacing w:line="240" w:lineRule="auto"/>
                    <w:jc w:val="center"/>
                    <w:rPr>
                      <w:rFonts w:hint="eastAsia" w:cs="Times New Roman"/>
                      <w:b w:val="0"/>
                      <w:bCs w:val="0"/>
                      <w:color w:val="auto"/>
                      <w:kern w:val="0"/>
                      <w:sz w:val="21"/>
                      <w:szCs w:val="21"/>
                      <w:highlight w:val="none"/>
                      <w:lang w:val="en-US" w:eastAsia="zh-CN" w:bidi="ar"/>
                    </w:rPr>
                  </w:pPr>
                  <w:r>
                    <w:rPr>
                      <w:rFonts w:hint="default" w:ascii="Times New Roman" w:hAnsi="Times New Roman" w:cs="Times New Roman"/>
                      <w:color w:val="auto"/>
                      <w:highlight w:val="none"/>
                    </w:rPr>
                    <w:t>20（无量纲）</w:t>
                  </w:r>
                </w:p>
              </w:tc>
              <w:tc>
                <w:tcPr>
                  <w:tcW w:w="953" w:type="dxa"/>
                  <w:noWrap w:val="0"/>
                  <w:vAlign w:val="center"/>
                </w:tcPr>
                <w:p w14:paraId="1510759E">
                  <w:pPr>
                    <w:pStyle w:val="19"/>
                    <w:keepNext w:val="0"/>
                    <w:keepLines w:val="0"/>
                    <w:pageBreakBefore w:val="0"/>
                    <w:widowControl w:val="0"/>
                    <w:shd w:val="clear"/>
                    <w:kinsoku/>
                    <w:wordWrap/>
                    <w:overflowPunct/>
                    <w:topLinePunct w:val="0"/>
                    <w:autoSpaceDE/>
                    <w:autoSpaceDN/>
                    <w:bidi w:val="0"/>
                    <w:adjustRightInd/>
                    <w:snapToGrid w:val="0"/>
                    <w:spacing w:before="0" w:line="240" w:lineRule="auto"/>
                    <w:ind w:left="0" w:leftChars="0" w:right="0" w:rightChars="0" w:firstLine="0" w:firstLineChars="0"/>
                    <w:jc w:val="center"/>
                    <w:textAlignment w:val="auto"/>
                    <w:rPr>
                      <w:rFonts w:hint="default"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w:t>
                  </w:r>
                </w:p>
              </w:tc>
            </w:tr>
            <w:tr w14:paraId="69FBA7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06" w:type="dxa"/>
                  <w:gridSpan w:val="7"/>
                  <w:noWrap w:val="0"/>
                  <w:vAlign w:val="center"/>
                </w:tcPr>
                <w:p w14:paraId="667DAB83">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kern w:val="2"/>
                      <w:sz w:val="21"/>
                      <w:szCs w:val="21"/>
                      <w:highlight w:val="none"/>
                      <w:vertAlign w:val="baseline"/>
                      <w:lang w:val="en-US" w:eastAsia="zh-CN" w:bidi="ar-SA"/>
                    </w:rPr>
                    <w:t>无组织排放总计</w:t>
                  </w:r>
                </w:p>
              </w:tc>
            </w:tr>
            <w:tr w14:paraId="4D2345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547" w:type="dxa"/>
                  <w:gridSpan w:val="4"/>
                  <w:vMerge w:val="restart"/>
                  <w:noWrap w:val="0"/>
                  <w:vAlign w:val="center"/>
                </w:tcPr>
                <w:p w14:paraId="03EE9B49">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kern w:val="2"/>
                      <w:sz w:val="21"/>
                      <w:szCs w:val="21"/>
                      <w:highlight w:val="none"/>
                      <w:vertAlign w:val="baseline"/>
                      <w:lang w:val="en-US" w:eastAsia="zh-CN" w:bidi="ar-SA"/>
                    </w:rPr>
                    <w:t>无组织排放合计</w:t>
                  </w:r>
                </w:p>
              </w:tc>
              <w:tc>
                <w:tcPr>
                  <w:tcW w:w="3106" w:type="dxa"/>
                  <w:gridSpan w:val="2"/>
                  <w:noWrap w:val="0"/>
                  <w:vAlign w:val="center"/>
                </w:tcPr>
                <w:p w14:paraId="1FD003D1">
                  <w:pPr>
                    <w:jc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cs="Times New Roman"/>
                      <w:color w:val="auto"/>
                      <w:kern w:val="0"/>
                      <w:sz w:val="21"/>
                      <w:szCs w:val="21"/>
                      <w:highlight w:val="none"/>
                      <w:lang w:val="en-US" w:eastAsia="zh-CN" w:bidi="ar-SA"/>
                    </w:rPr>
                    <w:t>非甲烷总烃</w:t>
                  </w:r>
                </w:p>
              </w:tc>
              <w:tc>
                <w:tcPr>
                  <w:tcW w:w="953" w:type="dxa"/>
                  <w:noWrap w:val="0"/>
                  <w:vAlign w:val="center"/>
                </w:tcPr>
                <w:p w14:paraId="094FA68A">
                  <w:pPr>
                    <w:pStyle w:val="19"/>
                    <w:keepNext w:val="0"/>
                    <w:keepLines w:val="0"/>
                    <w:pageBreakBefore w:val="0"/>
                    <w:widowControl w:val="0"/>
                    <w:shd w:val="clear"/>
                    <w:kinsoku/>
                    <w:wordWrap/>
                    <w:overflowPunct/>
                    <w:topLinePunct w:val="0"/>
                    <w:autoSpaceDE/>
                    <w:autoSpaceDN/>
                    <w:bidi w:val="0"/>
                    <w:adjustRightInd/>
                    <w:snapToGrid w:val="0"/>
                    <w:spacing w:before="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0.6892</w:t>
                  </w:r>
                </w:p>
              </w:tc>
            </w:tr>
            <w:tr w14:paraId="06EFFF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547" w:type="dxa"/>
                  <w:gridSpan w:val="4"/>
                  <w:vMerge w:val="continue"/>
                  <w:noWrap w:val="0"/>
                  <w:vAlign w:val="center"/>
                </w:tcPr>
                <w:p w14:paraId="17F8F106">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p>
              </w:tc>
              <w:tc>
                <w:tcPr>
                  <w:tcW w:w="3106" w:type="dxa"/>
                  <w:gridSpan w:val="2"/>
                  <w:noWrap w:val="0"/>
                  <w:vAlign w:val="center"/>
                </w:tcPr>
                <w:p w14:paraId="3FB9D7BA">
                  <w:pPr>
                    <w:jc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cs="Times New Roman"/>
                      <w:color w:val="auto"/>
                      <w:kern w:val="0"/>
                      <w:sz w:val="21"/>
                      <w:szCs w:val="21"/>
                      <w:highlight w:val="none"/>
                      <w:lang w:val="en-US" w:eastAsia="zh-CN" w:bidi="ar-SA"/>
                    </w:rPr>
                    <w:t>其中：</w:t>
                  </w:r>
                  <w:r>
                    <w:rPr>
                      <w:rFonts w:hint="default" w:ascii="Times New Roman" w:hAnsi="Times New Roman" w:eastAsia="宋体" w:cs="Times New Roman"/>
                      <w:color w:val="auto"/>
                      <w:kern w:val="0"/>
                      <w:sz w:val="21"/>
                      <w:szCs w:val="21"/>
                      <w:highlight w:val="none"/>
                      <w:lang w:val="en-US" w:eastAsia="zh-CN" w:bidi="ar-SA"/>
                    </w:rPr>
                    <w:t>甲醇</w:t>
                  </w:r>
                </w:p>
              </w:tc>
              <w:tc>
                <w:tcPr>
                  <w:tcW w:w="953" w:type="dxa"/>
                  <w:noWrap w:val="0"/>
                  <w:vAlign w:val="center"/>
                </w:tcPr>
                <w:p w14:paraId="0A7088FB">
                  <w:pPr>
                    <w:pStyle w:val="19"/>
                    <w:keepNext w:val="0"/>
                    <w:keepLines w:val="0"/>
                    <w:pageBreakBefore w:val="0"/>
                    <w:widowControl w:val="0"/>
                    <w:shd w:val="clear"/>
                    <w:kinsoku/>
                    <w:wordWrap/>
                    <w:overflowPunct/>
                    <w:topLinePunct w:val="0"/>
                    <w:autoSpaceDE/>
                    <w:autoSpaceDN/>
                    <w:bidi w:val="0"/>
                    <w:adjustRightInd/>
                    <w:snapToGrid w:val="0"/>
                    <w:spacing w:before="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0.075</w:t>
                  </w:r>
                </w:p>
              </w:tc>
            </w:tr>
            <w:tr w14:paraId="5697B5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547" w:type="dxa"/>
                  <w:gridSpan w:val="4"/>
                  <w:vMerge w:val="continue"/>
                  <w:noWrap w:val="0"/>
                  <w:vAlign w:val="center"/>
                </w:tcPr>
                <w:p w14:paraId="6E65DAD5">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p>
              </w:tc>
              <w:tc>
                <w:tcPr>
                  <w:tcW w:w="3106" w:type="dxa"/>
                  <w:gridSpan w:val="2"/>
                  <w:noWrap w:val="0"/>
                  <w:vAlign w:val="center"/>
                </w:tcPr>
                <w:p w14:paraId="7FF7ACE7">
                  <w:pPr>
                    <w:jc w:val="center"/>
                    <w:rPr>
                      <w:rFonts w:hint="eastAsia" w:cs="Times New Roman"/>
                      <w:b w:val="0"/>
                      <w:bCs w:val="0"/>
                      <w:color w:val="auto"/>
                      <w:kern w:val="2"/>
                      <w:sz w:val="21"/>
                      <w:szCs w:val="21"/>
                      <w:highlight w:val="none"/>
                      <w:vertAlign w:val="baseline"/>
                      <w:lang w:val="en-US" w:eastAsia="zh-CN" w:bidi="ar-SA"/>
                    </w:rPr>
                  </w:pPr>
                  <w:r>
                    <w:rPr>
                      <w:rFonts w:hint="eastAsia" w:cs="Times New Roman"/>
                      <w:color w:val="auto"/>
                      <w:kern w:val="0"/>
                      <w:sz w:val="21"/>
                      <w:szCs w:val="21"/>
                      <w:highlight w:val="none"/>
                      <w:lang w:val="en-US" w:eastAsia="zh-CN" w:bidi="ar-SA"/>
                    </w:rPr>
                    <w:t>其中：甲苯</w:t>
                  </w:r>
                </w:p>
              </w:tc>
              <w:tc>
                <w:tcPr>
                  <w:tcW w:w="953" w:type="dxa"/>
                  <w:noWrap w:val="0"/>
                  <w:vAlign w:val="center"/>
                </w:tcPr>
                <w:p w14:paraId="04149ECA">
                  <w:pPr>
                    <w:pStyle w:val="19"/>
                    <w:keepNext w:val="0"/>
                    <w:keepLines w:val="0"/>
                    <w:pageBreakBefore w:val="0"/>
                    <w:widowControl w:val="0"/>
                    <w:shd w:val="clear"/>
                    <w:kinsoku/>
                    <w:wordWrap/>
                    <w:overflowPunct/>
                    <w:topLinePunct w:val="0"/>
                    <w:autoSpaceDE/>
                    <w:autoSpaceDN/>
                    <w:bidi w:val="0"/>
                    <w:adjustRightInd/>
                    <w:snapToGrid w:val="0"/>
                    <w:spacing w:before="0" w:line="240" w:lineRule="auto"/>
                    <w:ind w:left="0" w:leftChars="0" w:right="0" w:rightChars="0" w:firstLine="0" w:firstLineChars="0"/>
                    <w:jc w:val="center"/>
                    <w:textAlignment w:val="auto"/>
                    <w:rPr>
                      <w:rFonts w:hint="eastAsia"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0.15</w:t>
                  </w:r>
                </w:p>
              </w:tc>
            </w:tr>
            <w:tr w14:paraId="6965F4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547" w:type="dxa"/>
                  <w:gridSpan w:val="4"/>
                  <w:vMerge w:val="continue"/>
                  <w:noWrap w:val="0"/>
                  <w:vAlign w:val="center"/>
                </w:tcPr>
                <w:p w14:paraId="50A1A56E">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p>
              </w:tc>
              <w:tc>
                <w:tcPr>
                  <w:tcW w:w="3106" w:type="dxa"/>
                  <w:gridSpan w:val="2"/>
                  <w:noWrap w:val="0"/>
                  <w:vAlign w:val="center"/>
                </w:tcPr>
                <w:p w14:paraId="20C00F51">
                  <w:pPr>
                    <w:jc w:val="center"/>
                    <w:rPr>
                      <w:rFonts w:hint="eastAsia"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color w:val="auto"/>
                      <w:kern w:val="0"/>
                      <w:sz w:val="21"/>
                      <w:szCs w:val="21"/>
                      <w:highlight w:val="none"/>
                      <w:lang w:val="en-US" w:eastAsia="zh-CN" w:bidi="ar-SA"/>
                    </w:rPr>
                    <w:t>硫酸雾</w:t>
                  </w:r>
                </w:p>
              </w:tc>
              <w:tc>
                <w:tcPr>
                  <w:tcW w:w="953" w:type="dxa"/>
                  <w:noWrap w:val="0"/>
                  <w:vAlign w:val="center"/>
                </w:tcPr>
                <w:p w14:paraId="09CD4930">
                  <w:pPr>
                    <w:pStyle w:val="19"/>
                    <w:keepNext w:val="0"/>
                    <w:keepLines w:val="0"/>
                    <w:pageBreakBefore w:val="0"/>
                    <w:widowControl w:val="0"/>
                    <w:shd w:val="clear"/>
                    <w:kinsoku/>
                    <w:wordWrap/>
                    <w:overflowPunct/>
                    <w:topLinePunct w:val="0"/>
                    <w:autoSpaceDE/>
                    <w:autoSpaceDN/>
                    <w:bidi w:val="0"/>
                    <w:adjustRightInd/>
                    <w:snapToGrid w:val="0"/>
                    <w:spacing w:before="0" w:line="240" w:lineRule="auto"/>
                    <w:ind w:left="0" w:leftChars="0" w:right="0" w:rightChars="0" w:firstLine="0" w:firstLineChars="0"/>
                    <w:jc w:val="center"/>
                    <w:textAlignment w:val="auto"/>
                    <w:rPr>
                      <w:rFonts w:hint="eastAsia"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0.06825</w:t>
                  </w:r>
                </w:p>
              </w:tc>
            </w:tr>
            <w:tr w14:paraId="67453B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547" w:type="dxa"/>
                  <w:gridSpan w:val="4"/>
                  <w:vMerge w:val="continue"/>
                  <w:noWrap w:val="0"/>
                  <w:vAlign w:val="center"/>
                </w:tcPr>
                <w:p w14:paraId="23D68ECC">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p>
              </w:tc>
              <w:tc>
                <w:tcPr>
                  <w:tcW w:w="3106" w:type="dxa"/>
                  <w:gridSpan w:val="2"/>
                  <w:noWrap w:val="0"/>
                  <w:vAlign w:val="center"/>
                </w:tcPr>
                <w:p w14:paraId="5F901377">
                  <w:pPr>
                    <w:jc w:val="center"/>
                    <w:rPr>
                      <w:rFonts w:hint="eastAsia"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color w:val="auto"/>
                      <w:kern w:val="0"/>
                      <w:sz w:val="21"/>
                      <w:szCs w:val="21"/>
                      <w:highlight w:val="none"/>
                      <w:lang w:val="en-US" w:eastAsia="zh-CN" w:bidi="ar-SA"/>
                    </w:rPr>
                    <w:t>氯化氢</w:t>
                  </w:r>
                </w:p>
              </w:tc>
              <w:tc>
                <w:tcPr>
                  <w:tcW w:w="953" w:type="dxa"/>
                  <w:noWrap w:val="0"/>
                  <w:vAlign w:val="center"/>
                </w:tcPr>
                <w:p w14:paraId="7CC1A9DE">
                  <w:pPr>
                    <w:pStyle w:val="19"/>
                    <w:keepNext w:val="0"/>
                    <w:keepLines w:val="0"/>
                    <w:pageBreakBefore w:val="0"/>
                    <w:widowControl w:val="0"/>
                    <w:shd w:val="clear"/>
                    <w:kinsoku/>
                    <w:wordWrap/>
                    <w:overflowPunct/>
                    <w:topLinePunct w:val="0"/>
                    <w:autoSpaceDE/>
                    <w:autoSpaceDN/>
                    <w:bidi w:val="0"/>
                    <w:adjustRightInd/>
                    <w:snapToGrid w:val="0"/>
                    <w:spacing w:before="0" w:line="240" w:lineRule="auto"/>
                    <w:ind w:left="0" w:leftChars="0" w:right="0" w:rightChars="0" w:firstLine="0" w:firstLineChars="0"/>
                    <w:jc w:val="center"/>
                    <w:textAlignment w:val="auto"/>
                    <w:rPr>
                      <w:rFonts w:hint="default"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3.2025</w:t>
                  </w:r>
                </w:p>
              </w:tc>
            </w:tr>
            <w:tr w14:paraId="670D64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547" w:type="dxa"/>
                  <w:gridSpan w:val="4"/>
                  <w:vMerge w:val="continue"/>
                  <w:noWrap w:val="0"/>
                  <w:vAlign w:val="center"/>
                </w:tcPr>
                <w:p w14:paraId="23A1AF0E">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p>
              </w:tc>
              <w:tc>
                <w:tcPr>
                  <w:tcW w:w="3106" w:type="dxa"/>
                  <w:gridSpan w:val="2"/>
                  <w:noWrap w:val="0"/>
                  <w:vAlign w:val="center"/>
                </w:tcPr>
                <w:p w14:paraId="27B8C72F">
                  <w:pPr>
                    <w:jc w:val="center"/>
                    <w:rPr>
                      <w:rFonts w:hint="eastAsia"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color w:val="auto"/>
                      <w:kern w:val="0"/>
                      <w:sz w:val="21"/>
                      <w:szCs w:val="21"/>
                      <w:highlight w:val="none"/>
                      <w:lang w:val="en-US" w:eastAsia="zh-CN" w:bidi="ar-SA"/>
                    </w:rPr>
                    <w:t>颗粒物</w:t>
                  </w:r>
                </w:p>
              </w:tc>
              <w:tc>
                <w:tcPr>
                  <w:tcW w:w="953" w:type="dxa"/>
                  <w:noWrap w:val="0"/>
                  <w:vAlign w:val="center"/>
                </w:tcPr>
                <w:p w14:paraId="22EC0D77">
                  <w:pPr>
                    <w:pStyle w:val="19"/>
                    <w:keepNext w:val="0"/>
                    <w:keepLines w:val="0"/>
                    <w:pageBreakBefore w:val="0"/>
                    <w:widowControl w:val="0"/>
                    <w:shd w:val="clear"/>
                    <w:kinsoku/>
                    <w:wordWrap/>
                    <w:overflowPunct/>
                    <w:topLinePunct w:val="0"/>
                    <w:autoSpaceDE/>
                    <w:autoSpaceDN/>
                    <w:bidi w:val="0"/>
                    <w:adjustRightInd/>
                    <w:snapToGrid w:val="0"/>
                    <w:spacing w:before="0" w:line="240" w:lineRule="auto"/>
                    <w:ind w:left="0" w:leftChars="0" w:right="0" w:rightChars="0" w:firstLine="0" w:firstLineChars="0"/>
                    <w:jc w:val="center"/>
                    <w:textAlignment w:val="auto"/>
                    <w:rPr>
                      <w:rFonts w:hint="eastAsia"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0.344</w:t>
                  </w:r>
                </w:p>
              </w:tc>
            </w:tr>
            <w:tr w14:paraId="6BF69A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547" w:type="dxa"/>
                  <w:gridSpan w:val="4"/>
                  <w:vMerge w:val="continue"/>
                  <w:noWrap w:val="0"/>
                  <w:vAlign w:val="center"/>
                </w:tcPr>
                <w:p w14:paraId="5B4D3215">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p>
              </w:tc>
              <w:tc>
                <w:tcPr>
                  <w:tcW w:w="3106" w:type="dxa"/>
                  <w:gridSpan w:val="2"/>
                  <w:noWrap w:val="0"/>
                  <w:vAlign w:val="center"/>
                </w:tcPr>
                <w:p w14:paraId="3361BD90">
                  <w:pPr>
                    <w:jc w:val="center"/>
                    <w:rPr>
                      <w:rFonts w:hint="eastAsia"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color w:val="auto"/>
                      <w:kern w:val="0"/>
                      <w:sz w:val="21"/>
                      <w:szCs w:val="21"/>
                      <w:highlight w:val="none"/>
                      <w:lang w:val="en-US" w:eastAsia="zh-CN" w:bidi="ar-SA"/>
                    </w:rPr>
                    <w:t>氮氧化物</w:t>
                  </w:r>
                </w:p>
              </w:tc>
              <w:tc>
                <w:tcPr>
                  <w:tcW w:w="953" w:type="dxa"/>
                  <w:noWrap w:val="0"/>
                  <w:vAlign w:val="center"/>
                </w:tcPr>
                <w:p w14:paraId="42333184">
                  <w:pPr>
                    <w:pStyle w:val="19"/>
                    <w:keepNext w:val="0"/>
                    <w:keepLines w:val="0"/>
                    <w:pageBreakBefore w:val="0"/>
                    <w:widowControl w:val="0"/>
                    <w:shd w:val="clear"/>
                    <w:kinsoku/>
                    <w:wordWrap/>
                    <w:overflowPunct/>
                    <w:topLinePunct w:val="0"/>
                    <w:autoSpaceDE/>
                    <w:autoSpaceDN/>
                    <w:bidi w:val="0"/>
                    <w:adjustRightInd/>
                    <w:snapToGrid w:val="0"/>
                    <w:spacing w:before="0" w:line="240" w:lineRule="auto"/>
                    <w:ind w:left="0" w:leftChars="0" w:right="0" w:rightChars="0" w:firstLine="0" w:firstLineChars="0"/>
                    <w:jc w:val="center"/>
                    <w:textAlignment w:val="auto"/>
                    <w:rPr>
                      <w:rFonts w:hint="eastAsia"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0.2572</w:t>
                  </w:r>
                </w:p>
              </w:tc>
            </w:tr>
            <w:tr w14:paraId="7F05A8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547" w:type="dxa"/>
                  <w:gridSpan w:val="4"/>
                  <w:vMerge w:val="continue"/>
                  <w:noWrap w:val="0"/>
                  <w:vAlign w:val="center"/>
                </w:tcPr>
                <w:p w14:paraId="31EEE7D3">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p>
              </w:tc>
              <w:tc>
                <w:tcPr>
                  <w:tcW w:w="3106" w:type="dxa"/>
                  <w:gridSpan w:val="2"/>
                  <w:noWrap w:val="0"/>
                  <w:vAlign w:val="center"/>
                </w:tcPr>
                <w:p w14:paraId="32B0D099">
                  <w:pPr>
                    <w:jc w:val="center"/>
                    <w:rPr>
                      <w:rFonts w:hint="eastAsia"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color w:val="auto"/>
                      <w:kern w:val="0"/>
                      <w:sz w:val="21"/>
                      <w:szCs w:val="21"/>
                      <w:highlight w:val="none"/>
                      <w:lang w:val="en-US" w:eastAsia="zh-CN" w:bidi="ar-SA"/>
                    </w:rPr>
                    <w:t>氨</w:t>
                  </w:r>
                </w:p>
              </w:tc>
              <w:tc>
                <w:tcPr>
                  <w:tcW w:w="953" w:type="dxa"/>
                  <w:noWrap w:val="0"/>
                  <w:vAlign w:val="center"/>
                </w:tcPr>
                <w:p w14:paraId="2075E95E">
                  <w:pPr>
                    <w:pStyle w:val="19"/>
                    <w:keepNext w:val="0"/>
                    <w:keepLines w:val="0"/>
                    <w:pageBreakBefore w:val="0"/>
                    <w:widowControl w:val="0"/>
                    <w:shd w:val="clear"/>
                    <w:kinsoku/>
                    <w:wordWrap/>
                    <w:overflowPunct/>
                    <w:topLinePunct w:val="0"/>
                    <w:autoSpaceDE/>
                    <w:autoSpaceDN/>
                    <w:bidi w:val="0"/>
                    <w:adjustRightInd/>
                    <w:snapToGrid w:val="0"/>
                    <w:spacing w:before="0" w:line="240" w:lineRule="auto"/>
                    <w:ind w:left="0" w:leftChars="0" w:right="0" w:rightChars="0" w:firstLine="0" w:firstLineChars="0"/>
                    <w:jc w:val="center"/>
                    <w:textAlignment w:val="auto"/>
                    <w:rPr>
                      <w:rFonts w:hint="default"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w:t>
                  </w:r>
                </w:p>
              </w:tc>
            </w:tr>
            <w:tr w14:paraId="396AA5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547" w:type="dxa"/>
                  <w:gridSpan w:val="4"/>
                  <w:vMerge w:val="continue"/>
                  <w:noWrap w:val="0"/>
                  <w:vAlign w:val="center"/>
                </w:tcPr>
                <w:p w14:paraId="267744C8">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p>
              </w:tc>
              <w:tc>
                <w:tcPr>
                  <w:tcW w:w="3106" w:type="dxa"/>
                  <w:gridSpan w:val="2"/>
                  <w:noWrap w:val="0"/>
                  <w:vAlign w:val="center"/>
                </w:tcPr>
                <w:p w14:paraId="2D54A3F1">
                  <w:pPr>
                    <w:jc w:val="center"/>
                    <w:rPr>
                      <w:rFonts w:hint="eastAsia"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color w:val="auto"/>
                      <w:kern w:val="0"/>
                      <w:sz w:val="21"/>
                      <w:szCs w:val="21"/>
                      <w:highlight w:val="none"/>
                      <w:lang w:val="en-US" w:eastAsia="zh-CN" w:bidi="ar-SA"/>
                    </w:rPr>
                    <w:t>臭气浓度</w:t>
                  </w:r>
                </w:p>
              </w:tc>
              <w:tc>
                <w:tcPr>
                  <w:tcW w:w="953" w:type="dxa"/>
                  <w:noWrap w:val="0"/>
                  <w:vAlign w:val="center"/>
                </w:tcPr>
                <w:p w14:paraId="0C90C540">
                  <w:pPr>
                    <w:pStyle w:val="19"/>
                    <w:keepNext w:val="0"/>
                    <w:keepLines w:val="0"/>
                    <w:pageBreakBefore w:val="0"/>
                    <w:widowControl w:val="0"/>
                    <w:shd w:val="clear"/>
                    <w:kinsoku/>
                    <w:wordWrap/>
                    <w:overflowPunct/>
                    <w:topLinePunct w:val="0"/>
                    <w:autoSpaceDE/>
                    <w:autoSpaceDN/>
                    <w:bidi w:val="0"/>
                    <w:adjustRightInd/>
                    <w:snapToGrid w:val="0"/>
                    <w:spacing w:before="0" w:line="240" w:lineRule="auto"/>
                    <w:ind w:left="0" w:leftChars="0" w:right="0" w:rightChars="0" w:firstLine="0" w:firstLineChars="0"/>
                    <w:jc w:val="center"/>
                    <w:textAlignment w:val="auto"/>
                    <w:rPr>
                      <w:rFonts w:hint="default"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w:t>
                  </w:r>
                </w:p>
              </w:tc>
            </w:tr>
          </w:tbl>
          <w:p w14:paraId="67959FA2">
            <w:pPr>
              <w:shd w:val="clear"/>
              <w:adjustRightInd w:val="0"/>
              <w:snapToGrid w:val="0"/>
              <w:spacing w:line="240" w:lineRule="auto"/>
              <w:ind w:firstLine="482" w:firstLineChars="200"/>
              <w:jc w:val="both"/>
              <w:rPr>
                <w:rFonts w:hint="default" w:ascii="Times New Roman" w:hAnsi="Times New Roman" w:eastAsia="宋体" w:cs="Times New Roman"/>
                <w:b/>
                <w:bCs/>
                <w:color w:val="auto"/>
                <w:kern w:val="2"/>
                <w:sz w:val="24"/>
                <w:szCs w:val="24"/>
                <w:highlight w:val="none"/>
                <w:lang w:val="en-US" w:eastAsia="zh-CN" w:bidi="ar-SA"/>
              </w:rPr>
            </w:pPr>
          </w:p>
          <w:p w14:paraId="44E18102">
            <w:pPr>
              <w:shd w:val="clear"/>
              <w:adjustRightInd w:val="0"/>
              <w:snapToGrid w:val="0"/>
              <w:spacing w:line="360" w:lineRule="auto"/>
              <w:ind w:firstLine="482" w:firstLineChars="200"/>
              <w:jc w:val="center"/>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表2</w:t>
            </w:r>
            <w:r>
              <w:rPr>
                <w:rFonts w:hint="eastAsia" w:cs="Times New Roman"/>
                <w:b/>
                <w:bCs/>
                <w:color w:val="auto"/>
                <w:kern w:val="2"/>
                <w:sz w:val="24"/>
                <w:szCs w:val="24"/>
                <w:highlight w:val="none"/>
                <w:lang w:val="en-US" w:eastAsia="zh-CN" w:bidi="ar-SA"/>
              </w:rPr>
              <w:t>8</w:t>
            </w:r>
            <w:r>
              <w:rPr>
                <w:rFonts w:hint="default" w:ascii="Times New Roman" w:hAnsi="Times New Roman" w:eastAsia="宋体" w:cs="Times New Roman"/>
                <w:b/>
                <w:bCs/>
                <w:color w:val="auto"/>
                <w:kern w:val="2"/>
                <w:sz w:val="24"/>
                <w:szCs w:val="24"/>
                <w:highlight w:val="none"/>
                <w:lang w:val="en-US" w:eastAsia="zh-CN" w:bidi="ar-SA"/>
              </w:rPr>
              <w:t>大气污染物年排放量核算表</w:t>
            </w:r>
          </w:p>
          <w:tbl>
            <w:tblPr>
              <w:tblStyle w:val="34"/>
              <w:tblW w:w="665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83"/>
              <w:gridCol w:w="1759"/>
              <w:gridCol w:w="1808"/>
              <w:gridCol w:w="1601"/>
            </w:tblGrid>
            <w:tr w14:paraId="4ECB1D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83" w:type="dxa"/>
                  <w:noWrap w:val="0"/>
                  <w:vAlign w:val="center"/>
                </w:tcPr>
                <w:p w14:paraId="0B99000B">
                  <w:pPr>
                    <w:widowControl/>
                    <w:shd w:val="clear"/>
                    <w:adjustRightInd w:val="0"/>
                    <w:snapToGrid w:val="0"/>
                    <w:spacing w:line="240" w:lineRule="auto"/>
                    <w:jc w:val="center"/>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default" w:ascii="Times New Roman" w:hAnsi="Times New Roman" w:eastAsia="宋体" w:cs="Times New Roman"/>
                      <w:b/>
                      <w:color w:val="auto"/>
                      <w:sz w:val="21"/>
                      <w:szCs w:val="21"/>
                      <w:highlight w:val="none"/>
                      <w:lang w:val="zh-CN"/>
                    </w:rPr>
                    <w:t>污染物</w:t>
                  </w:r>
                </w:p>
              </w:tc>
              <w:tc>
                <w:tcPr>
                  <w:tcW w:w="1759" w:type="dxa"/>
                  <w:noWrap w:val="0"/>
                  <w:vAlign w:val="center"/>
                </w:tcPr>
                <w:p w14:paraId="01248EAF">
                  <w:pPr>
                    <w:widowControl/>
                    <w:shd w:val="clear"/>
                    <w:adjustRightInd w:val="0"/>
                    <w:snapToGrid w:val="0"/>
                    <w:spacing w:line="240" w:lineRule="auto"/>
                    <w:jc w:val="center"/>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default" w:ascii="Times New Roman" w:hAnsi="Times New Roman" w:eastAsia="宋体" w:cs="Times New Roman"/>
                      <w:b/>
                      <w:color w:val="auto"/>
                      <w:sz w:val="21"/>
                      <w:szCs w:val="21"/>
                      <w:highlight w:val="none"/>
                      <w:lang w:val="zh-CN"/>
                    </w:rPr>
                    <w:t>有组织年排放量（</w:t>
                  </w:r>
                  <w:r>
                    <w:rPr>
                      <w:rFonts w:hint="eastAsia" w:cs="Times New Roman"/>
                      <w:b/>
                      <w:color w:val="auto"/>
                      <w:sz w:val="21"/>
                      <w:szCs w:val="21"/>
                      <w:highlight w:val="none"/>
                      <w:lang w:val="en-US" w:eastAsia="zh-CN"/>
                    </w:rPr>
                    <w:t>kg</w:t>
                  </w:r>
                  <w:r>
                    <w:rPr>
                      <w:rFonts w:hint="default" w:ascii="Times New Roman" w:hAnsi="Times New Roman" w:eastAsia="宋体" w:cs="Times New Roman"/>
                      <w:b/>
                      <w:color w:val="auto"/>
                      <w:sz w:val="21"/>
                      <w:szCs w:val="21"/>
                      <w:highlight w:val="none"/>
                      <w:lang w:val="zh-CN"/>
                    </w:rPr>
                    <w:t>/a）</w:t>
                  </w:r>
                </w:p>
              </w:tc>
              <w:tc>
                <w:tcPr>
                  <w:tcW w:w="1808" w:type="dxa"/>
                  <w:noWrap w:val="0"/>
                  <w:vAlign w:val="center"/>
                </w:tcPr>
                <w:p w14:paraId="1A0A2E8B">
                  <w:pPr>
                    <w:widowControl/>
                    <w:shd w:val="clear"/>
                    <w:adjustRightInd w:val="0"/>
                    <w:snapToGrid w:val="0"/>
                    <w:spacing w:line="240" w:lineRule="auto"/>
                    <w:jc w:val="center"/>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default" w:ascii="Times New Roman" w:hAnsi="Times New Roman" w:eastAsia="宋体" w:cs="Times New Roman"/>
                      <w:b/>
                      <w:color w:val="auto"/>
                      <w:sz w:val="21"/>
                      <w:szCs w:val="21"/>
                      <w:highlight w:val="none"/>
                      <w:lang w:val="zh-CN"/>
                    </w:rPr>
                    <w:t>无组织年排放量（</w:t>
                  </w:r>
                  <w:r>
                    <w:rPr>
                      <w:rFonts w:hint="eastAsia" w:cs="Times New Roman"/>
                      <w:b/>
                      <w:color w:val="auto"/>
                      <w:sz w:val="21"/>
                      <w:szCs w:val="21"/>
                      <w:highlight w:val="none"/>
                      <w:lang w:val="en-US" w:eastAsia="zh-CN"/>
                    </w:rPr>
                    <w:t>kg</w:t>
                  </w:r>
                  <w:r>
                    <w:rPr>
                      <w:rFonts w:hint="default" w:ascii="Times New Roman" w:hAnsi="Times New Roman" w:eastAsia="宋体" w:cs="Times New Roman"/>
                      <w:b/>
                      <w:color w:val="auto"/>
                      <w:sz w:val="21"/>
                      <w:szCs w:val="21"/>
                      <w:highlight w:val="none"/>
                      <w:lang w:val="zh-CN"/>
                    </w:rPr>
                    <w:t>/a）</w:t>
                  </w:r>
                </w:p>
              </w:tc>
              <w:tc>
                <w:tcPr>
                  <w:tcW w:w="1601" w:type="dxa"/>
                  <w:noWrap w:val="0"/>
                  <w:vAlign w:val="center"/>
                </w:tcPr>
                <w:p w14:paraId="0680A423">
                  <w:pPr>
                    <w:widowControl/>
                    <w:shd w:val="clear"/>
                    <w:adjustRightInd w:val="0"/>
                    <w:snapToGrid w:val="0"/>
                    <w:spacing w:line="240" w:lineRule="auto"/>
                    <w:jc w:val="center"/>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default" w:ascii="Times New Roman" w:hAnsi="Times New Roman" w:eastAsia="宋体" w:cs="Times New Roman"/>
                      <w:b/>
                      <w:color w:val="auto"/>
                      <w:sz w:val="21"/>
                      <w:szCs w:val="21"/>
                      <w:highlight w:val="none"/>
                      <w:lang w:val="zh-CN"/>
                    </w:rPr>
                    <w:t>年排放量</w:t>
                  </w:r>
                  <w:r>
                    <w:rPr>
                      <w:rFonts w:hint="default" w:ascii="Times New Roman" w:hAnsi="Times New Roman" w:eastAsia="宋体" w:cs="Times New Roman"/>
                      <w:b/>
                      <w:color w:val="auto"/>
                      <w:sz w:val="21"/>
                      <w:szCs w:val="21"/>
                      <w:highlight w:val="none"/>
                    </w:rPr>
                    <w:t>（</w:t>
                  </w:r>
                  <w:r>
                    <w:rPr>
                      <w:rFonts w:hint="eastAsia" w:cs="Times New Roman"/>
                      <w:b/>
                      <w:color w:val="auto"/>
                      <w:sz w:val="21"/>
                      <w:szCs w:val="21"/>
                      <w:highlight w:val="none"/>
                      <w:lang w:val="en-US" w:eastAsia="zh-CN"/>
                    </w:rPr>
                    <w:t>kg</w:t>
                  </w:r>
                  <w:r>
                    <w:rPr>
                      <w:rFonts w:hint="default" w:ascii="Times New Roman" w:hAnsi="Times New Roman" w:eastAsia="宋体" w:cs="Times New Roman"/>
                      <w:b/>
                      <w:color w:val="auto"/>
                      <w:sz w:val="21"/>
                      <w:szCs w:val="21"/>
                      <w:highlight w:val="none"/>
                    </w:rPr>
                    <w:t>/a）</w:t>
                  </w:r>
                </w:p>
              </w:tc>
            </w:tr>
            <w:tr w14:paraId="693D35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9" w:hRule="atLeast"/>
                <w:jc w:val="center"/>
              </w:trPr>
              <w:tc>
                <w:tcPr>
                  <w:tcW w:w="1483" w:type="dxa"/>
                  <w:noWrap w:val="0"/>
                  <w:vAlign w:val="center"/>
                </w:tcPr>
                <w:p w14:paraId="72532F4F">
                  <w:pPr>
                    <w:jc w:val="center"/>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eastAsia" w:cs="Times New Roman"/>
                      <w:color w:val="auto"/>
                      <w:kern w:val="0"/>
                      <w:sz w:val="21"/>
                      <w:szCs w:val="21"/>
                      <w:highlight w:val="none"/>
                      <w:lang w:val="en-US" w:eastAsia="zh-CN" w:bidi="ar-SA"/>
                    </w:rPr>
                    <w:t>非甲烷总烃(TVOC)</w:t>
                  </w:r>
                </w:p>
              </w:tc>
              <w:tc>
                <w:tcPr>
                  <w:tcW w:w="1759" w:type="dxa"/>
                  <w:noWrap w:val="0"/>
                  <w:vAlign w:val="center"/>
                </w:tcPr>
                <w:p w14:paraId="287ED5C0">
                  <w:pPr>
                    <w:pStyle w:val="19"/>
                    <w:keepNext w:val="0"/>
                    <w:keepLines w:val="0"/>
                    <w:pageBreakBefore w:val="0"/>
                    <w:widowControl w:val="0"/>
                    <w:shd w:val="clear"/>
                    <w:kinsoku/>
                    <w:wordWrap/>
                    <w:overflowPunct/>
                    <w:topLinePunct w:val="0"/>
                    <w:autoSpaceDE/>
                    <w:autoSpaceDN/>
                    <w:bidi w:val="0"/>
                    <w:adjustRightInd/>
                    <w:snapToGrid w:val="0"/>
                    <w:spacing w:before="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2.4811</w:t>
                  </w:r>
                </w:p>
              </w:tc>
              <w:tc>
                <w:tcPr>
                  <w:tcW w:w="1808" w:type="dxa"/>
                  <w:noWrap w:val="0"/>
                  <w:vAlign w:val="center"/>
                </w:tcPr>
                <w:p w14:paraId="136875BE">
                  <w:pPr>
                    <w:pStyle w:val="19"/>
                    <w:keepNext w:val="0"/>
                    <w:keepLines w:val="0"/>
                    <w:pageBreakBefore w:val="0"/>
                    <w:widowControl w:val="0"/>
                    <w:shd w:val="clear"/>
                    <w:kinsoku/>
                    <w:wordWrap/>
                    <w:overflowPunct/>
                    <w:topLinePunct w:val="0"/>
                    <w:autoSpaceDE/>
                    <w:autoSpaceDN/>
                    <w:bidi w:val="0"/>
                    <w:adjustRightInd/>
                    <w:snapToGrid w:val="0"/>
                    <w:spacing w:before="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0.6892</w:t>
                  </w:r>
                </w:p>
              </w:tc>
              <w:tc>
                <w:tcPr>
                  <w:tcW w:w="1601" w:type="dxa"/>
                  <w:noWrap w:val="0"/>
                  <w:vAlign w:val="center"/>
                </w:tcPr>
                <w:p w14:paraId="694A8C2C">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3.1703</w:t>
                  </w:r>
                </w:p>
              </w:tc>
            </w:tr>
            <w:tr w14:paraId="14AA1A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9" w:hRule="atLeast"/>
                <w:jc w:val="center"/>
              </w:trPr>
              <w:tc>
                <w:tcPr>
                  <w:tcW w:w="1483" w:type="dxa"/>
                  <w:noWrap w:val="0"/>
                  <w:vAlign w:val="center"/>
                </w:tcPr>
                <w:p w14:paraId="6F7B1A3C">
                  <w:pPr>
                    <w:jc w:val="center"/>
                    <w:rPr>
                      <w:rFonts w:hint="eastAsia"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SA"/>
                    </w:rPr>
                    <w:t>其中：</w:t>
                  </w:r>
                  <w:r>
                    <w:rPr>
                      <w:rFonts w:hint="default" w:ascii="Times New Roman" w:hAnsi="Times New Roman" w:eastAsia="宋体" w:cs="Times New Roman"/>
                      <w:color w:val="auto"/>
                      <w:kern w:val="0"/>
                      <w:sz w:val="21"/>
                      <w:szCs w:val="21"/>
                      <w:highlight w:val="none"/>
                      <w:lang w:val="en-US" w:eastAsia="zh-CN" w:bidi="ar-SA"/>
                    </w:rPr>
                    <w:t>甲醇</w:t>
                  </w:r>
                </w:p>
              </w:tc>
              <w:tc>
                <w:tcPr>
                  <w:tcW w:w="1759" w:type="dxa"/>
                  <w:noWrap w:val="0"/>
                  <w:vAlign w:val="center"/>
                </w:tcPr>
                <w:p w14:paraId="74054CD9">
                  <w:pPr>
                    <w:pStyle w:val="19"/>
                    <w:keepNext w:val="0"/>
                    <w:keepLines w:val="0"/>
                    <w:pageBreakBefore w:val="0"/>
                    <w:widowControl w:val="0"/>
                    <w:shd w:val="clear"/>
                    <w:kinsoku/>
                    <w:wordWrap/>
                    <w:overflowPunct/>
                    <w:topLinePunct w:val="0"/>
                    <w:autoSpaceDE/>
                    <w:autoSpaceDN/>
                    <w:bidi w:val="0"/>
                    <w:adjustRightInd/>
                    <w:snapToGrid w:val="0"/>
                    <w:spacing w:before="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0.54</w:t>
                  </w:r>
                </w:p>
              </w:tc>
              <w:tc>
                <w:tcPr>
                  <w:tcW w:w="1808" w:type="dxa"/>
                  <w:noWrap w:val="0"/>
                  <w:vAlign w:val="center"/>
                </w:tcPr>
                <w:p w14:paraId="78DAD69A">
                  <w:pPr>
                    <w:pStyle w:val="19"/>
                    <w:keepNext w:val="0"/>
                    <w:keepLines w:val="0"/>
                    <w:pageBreakBefore w:val="0"/>
                    <w:widowControl w:val="0"/>
                    <w:shd w:val="clear"/>
                    <w:kinsoku/>
                    <w:wordWrap/>
                    <w:overflowPunct/>
                    <w:topLinePunct w:val="0"/>
                    <w:autoSpaceDE/>
                    <w:autoSpaceDN/>
                    <w:bidi w:val="0"/>
                    <w:adjustRightInd/>
                    <w:snapToGrid w:val="0"/>
                    <w:spacing w:before="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0.075</w:t>
                  </w:r>
                </w:p>
              </w:tc>
              <w:tc>
                <w:tcPr>
                  <w:tcW w:w="1601" w:type="dxa"/>
                  <w:noWrap w:val="0"/>
                  <w:vAlign w:val="center"/>
                </w:tcPr>
                <w:p w14:paraId="28EC9755">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0.615</w:t>
                  </w:r>
                </w:p>
              </w:tc>
            </w:tr>
            <w:tr w14:paraId="36D65E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9" w:hRule="atLeast"/>
                <w:jc w:val="center"/>
              </w:trPr>
              <w:tc>
                <w:tcPr>
                  <w:tcW w:w="1483" w:type="dxa"/>
                  <w:noWrap w:val="0"/>
                  <w:vAlign w:val="center"/>
                </w:tcPr>
                <w:p w14:paraId="769149E2">
                  <w:pPr>
                    <w:jc w:val="center"/>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SA"/>
                    </w:rPr>
                    <w:t>其中：甲苯</w:t>
                  </w:r>
                </w:p>
              </w:tc>
              <w:tc>
                <w:tcPr>
                  <w:tcW w:w="1759" w:type="dxa"/>
                  <w:noWrap w:val="0"/>
                  <w:vAlign w:val="center"/>
                </w:tcPr>
                <w:p w14:paraId="046F2BDE">
                  <w:pPr>
                    <w:pStyle w:val="19"/>
                    <w:keepNext w:val="0"/>
                    <w:keepLines w:val="0"/>
                    <w:pageBreakBefore w:val="0"/>
                    <w:widowControl w:val="0"/>
                    <w:shd w:val="clear"/>
                    <w:kinsoku/>
                    <w:wordWrap/>
                    <w:overflowPunct/>
                    <w:topLinePunct w:val="0"/>
                    <w:autoSpaceDE/>
                    <w:autoSpaceDN/>
                    <w:bidi w:val="0"/>
                    <w:adjustRightInd/>
                    <w:snapToGrid w:val="0"/>
                    <w:spacing w:before="0" w:line="240" w:lineRule="auto"/>
                    <w:ind w:left="0" w:leftChars="0" w:right="0" w:rightChars="0" w:firstLine="0" w:firstLineChars="0"/>
                    <w:jc w:val="center"/>
                    <w:textAlignment w:val="auto"/>
                    <w:rPr>
                      <w:rFonts w:hint="eastAsia"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0.27</w:t>
                  </w:r>
                </w:p>
              </w:tc>
              <w:tc>
                <w:tcPr>
                  <w:tcW w:w="1808" w:type="dxa"/>
                  <w:noWrap w:val="0"/>
                  <w:vAlign w:val="center"/>
                </w:tcPr>
                <w:p w14:paraId="2640C335">
                  <w:pPr>
                    <w:pStyle w:val="19"/>
                    <w:keepNext w:val="0"/>
                    <w:keepLines w:val="0"/>
                    <w:pageBreakBefore w:val="0"/>
                    <w:widowControl w:val="0"/>
                    <w:shd w:val="clear"/>
                    <w:kinsoku/>
                    <w:wordWrap/>
                    <w:overflowPunct/>
                    <w:topLinePunct w:val="0"/>
                    <w:autoSpaceDE/>
                    <w:autoSpaceDN/>
                    <w:bidi w:val="0"/>
                    <w:adjustRightInd/>
                    <w:snapToGrid w:val="0"/>
                    <w:spacing w:before="0" w:line="240" w:lineRule="auto"/>
                    <w:ind w:left="0" w:leftChars="0" w:right="0" w:rightChars="0" w:firstLine="0" w:firstLineChars="0"/>
                    <w:jc w:val="center"/>
                    <w:textAlignment w:val="auto"/>
                    <w:rPr>
                      <w:rFonts w:hint="eastAsia"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0.15</w:t>
                  </w:r>
                </w:p>
              </w:tc>
              <w:tc>
                <w:tcPr>
                  <w:tcW w:w="1601" w:type="dxa"/>
                  <w:noWrap w:val="0"/>
                  <w:vAlign w:val="center"/>
                </w:tcPr>
                <w:p w14:paraId="31A42771">
                  <w:pPr>
                    <w:keepNext w:val="0"/>
                    <w:keepLines w:val="0"/>
                    <w:widowControl/>
                    <w:suppressLineNumbers w:val="0"/>
                    <w:jc w:val="center"/>
                    <w:textAlignment w:val="center"/>
                    <w:rPr>
                      <w:rFonts w:hint="eastAsia"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0.42</w:t>
                  </w:r>
                </w:p>
              </w:tc>
            </w:tr>
            <w:tr w14:paraId="541A3F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9" w:hRule="atLeast"/>
                <w:jc w:val="center"/>
              </w:trPr>
              <w:tc>
                <w:tcPr>
                  <w:tcW w:w="1483" w:type="dxa"/>
                  <w:noWrap w:val="0"/>
                  <w:vAlign w:val="center"/>
                </w:tcPr>
                <w:p w14:paraId="7676A12A">
                  <w:pPr>
                    <w:jc w:val="center"/>
                    <w:rPr>
                      <w:rFonts w:hint="eastAsia"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SA"/>
                    </w:rPr>
                    <w:t>硫酸雾</w:t>
                  </w:r>
                </w:p>
              </w:tc>
              <w:tc>
                <w:tcPr>
                  <w:tcW w:w="1759" w:type="dxa"/>
                  <w:noWrap w:val="0"/>
                  <w:vAlign w:val="center"/>
                </w:tcPr>
                <w:p w14:paraId="7177E5A3">
                  <w:pPr>
                    <w:pStyle w:val="19"/>
                    <w:keepNext w:val="0"/>
                    <w:keepLines w:val="0"/>
                    <w:pageBreakBefore w:val="0"/>
                    <w:widowControl w:val="0"/>
                    <w:shd w:val="clear"/>
                    <w:kinsoku/>
                    <w:wordWrap/>
                    <w:overflowPunct/>
                    <w:topLinePunct w:val="0"/>
                    <w:autoSpaceDE/>
                    <w:autoSpaceDN/>
                    <w:bidi w:val="0"/>
                    <w:adjustRightInd/>
                    <w:snapToGrid w:val="0"/>
                    <w:spacing w:before="0" w:line="240" w:lineRule="auto"/>
                    <w:ind w:left="0" w:leftChars="0" w:right="0" w:rightChars="0" w:firstLine="0" w:firstLineChars="0"/>
                    <w:jc w:val="center"/>
                    <w:textAlignment w:val="auto"/>
                    <w:rPr>
                      <w:rFonts w:hint="default"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0.03803</w:t>
                  </w:r>
                </w:p>
              </w:tc>
              <w:tc>
                <w:tcPr>
                  <w:tcW w:w="1808" w:type="dxa"/>
                  <w:noWrap w:val="0"/>
                  <w:vAlign w:val="center"/>
                </w:tcPr>
                <w:p w14:paraId="64062DD5">
                  <w:pPr>
                    <w:pStyle w:val="19"/>
                    <w:keepNext w:val="0"/>
                    <w:keepLines w:val="0"/>
                    <w:pageBreakBefore w:val="0"/>
                    <w:widowControl w:val="0"/>
                    <w:shd w:val="clear"/>
                    <w:kinsoku/>
                    <w:wordWrap/>
                    <w:overflowPunct/>
                    <w:topLinePunct w:val="0"/>
                    <w:autoSpaceDE/>
                    <w:autoSpaceDN/>
                    <w:bidi w:val="0"/>
                    <w:adjustRightInd/>
                    <w:snapToGrid w:val="0"/>
                    <w:spacing w:before="0" w:line="240" w:lineRule="auto"/>
                    <w:ind w:left="0" w:leftChars="0" w:right="0" w:rightChars="0" w:firstLine="0" w:firstLineChars="0"/>
                    <w:jc w:val="center"/>
                    <w:textAlignment w:val="auto"/>
                    <w:rPr>
                      <w:rFonts w:hint="default"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0.06825</w:t>
                  </w:r>
                </w:p>
              </w:tc>
              <w:tc>
                <w:tcPr>
                  <w:tcW w:w="1601" w:type="dxa"/>
                  <w:noWrap w:val="0"/>
                  <w:vAlign w:val="center"/>
                </w:tcPr>
                <w:p w14:paraId="7206725D">
                  <w:pPr>
                    <w:keepNext w:val="0"/>
                    <w:keepLines w:val="0"/>
                    <w:widowControl/>
                    <w:suppressLineNumbers w:val="0"/>
                    <w:jc w:val="center"/>
                    <w:textAlignment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0.1063</w:t>
                  </w:r>
                </w:p>
              </w:tc>
            </w:tr>
            <w:tr w14:paraId="5967E7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9" w:hRule="atLeast"/>
                <w:jc w:val="center"/>
              </w:trPr>
              <w:tc>
                <w:tcPr>
                  <w:tcW w:w="1483" w:type="dxa"/>
                  <w:noWrap w:val="0"/>
                  <w:vAlign w:val="center"/>
                </w:tcPr>
                <w:p w14:paraId="74C4AE9B">
                  <w:pPr>
                    <w:jc w:val="center"/>
                    <w:rPr>
                      <w:rFonts w:hint="eastAsia"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SA"/>
                    </w:rPr>
                    <w:t>氯化氢</w:t>
                  </w:r>
                </w:p>
              </w:tc>
              <w:tc>
                <w:tcPr>
                  <w:tcW w:w="1759" w:type="dxa"/>
                  <w:noWrap w:val="0"/>
                  <w:vAlign w:val="center"/>
                </w:tcPr>
                <w:p w14:paraId="0FC8135A">
                  <w:pPr>
                    <w:pStyle w:val="19"/>
                    <w:keepNext w:val="0"/>
                    <w:keepLines w:val="0"/>
                    <w:pageBreakBefore w:val="0"/>
                    <w:widowControl w:val="0"/>
                    <w:shd w:val="clear"/>
                    <w:kinsoku/>
                    <w:wordWrap/>
                    <w:overflowPunct/>
                    <w:topLinePunct w:val="0"/>
                    <w:autoSpaceDE/>
                    <w:autoSpaceDN/>
                    <w:bidi w:val="0"/>
                    <w:adjustRightInd/>
                    <w:snapToGrid w:val="0"/>
                    <w:spacing w:before="0" w:line="240" w:lineRule="auto"/>
                    <w:ind w:left="0" w:leftChars="0" w:right="0" w:rightChars="0" w:firstLine="0" w:firstLineChars="0"/>
                    <w:jc w:val="center"/>
                    <w:textAlignment w:val="auto"/>
                    <w:rPr>
                      <w:rFonts w:hint="default"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1.78425</w:t>
                  </w:r>
                </w:p>
              </w:tc>
              <w:tc>
                <w:tcPr>
                  <w:tcW w:w="1808" w:type="dxa"/>
                  <w:noWrap w:val="0"/>
                  <w:vAlign w:val="center"/>
                </w:tcPr>
                <w:p w14:paraId="6CD753B8">
                  <w:pPr>
                    <w:pStyle w:val="19"/>
                    <w:keepNext w:val="0"/>
                    <w:keepLines w:val="0"/>
                    <w:pageBreakBefore w:val="0"/>
                    <w:widowControl w:val="0"/>
                    <w:shd w:val="clear"/>
                    <w:kinsoku/>
                    <w:wordWrap/>
                    <w:overflowPunct/>
                    <w:topLinePunct w:val="0"/>
                    <w:autoSpaceDE/>
                    <w:autoSpaceDN/>
                    <w:bidi w:val="0"/>
                    <w:adjustRightInd/>
                    <w:snapToGrid w:val="0"/>
                    <w:spacing w:before="0" w:line="240" w:lineRule="auto"/>
                    <w:ind w:left="0" w:leftChars="0" w:right="0" w:rightChars="0" w:firstLine="0" w:firstLineChars="0"/>
                    <w:jc w:val="center"/>
                    <w:textAlignment w:val="auto"/>
                    <w:rPr>
                      <w:rFonts w:hint="default"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3.2025</w:t>
                  </w:r>
                </w:p>
              </w:tc>
              <w:tc>
                <w:tcPr>
                  <w:tcW w:w="1601" w:type="dxa"/>
                  <w:noWrap w:val="0"/>
                  <w:vAlign w:val="center"/>
                </w:tcPr>
                <w:p w14:paraId="3A1C86CD">
                  <w:pPr>
                    <w:keepNext w:val="0"/>
                    <w:keepLines w:val="0"/>
                    <w:widowControl/>
                    <w:suppressLineNumbers w:val="0"/>
                    <w:jc w:val="center"/>
                    <w:textAlignment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4.98675</w:t>
                  </w:r>
                </w:p>
              </w:tc>
            </w:tr>
            <w:tr w14:paraId="590D35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9" w:hRule="atLeast"/>
                <w:jc w:val="center"/>
              </w:trPr>
              <w:tc>
                <w:tcPr>
                  <w:tcW w:w="1483" w:type="dxa"/>
                  <w:noWrap w:val="0"/>
                  <w:vAlign w:val="center"/>
                </w:tcPr>
                <w:p w14:paraId="47981926">
                  <w:pPr>
                    <w:jc w:val="center"/>
                    <w:rPr>
                      <w:rFonts w:hint="eastAsia"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SA"/>
                    </w:rPr>
                    <w:t>颗粒物</w:t>
                  </w:r>
                </w:p>
              </w:tc>
              <w:tc>
                <w:tcPr>
                  <w:tcW w:w="1759" w:type="dxa"/>
                  <w:noWrap w:val="0"/>
                  <w:vAlign w:val="center"/>
                </w:tcPr>
                <w:p w14:paraId="34A1CCBA">
                  <w:pPr>
                    <w:shd w:val="clear"/>
                    <w:adjustRightInd w:val="0"/>
                    <w:snapToGrid w:val="0"/>
                    <w:spacing w:line="240" w:lineRule="auto"/>
                    <w:jc w:val="center"/>
                    <w:rPr>
                      <w:rFonts w:hint="default"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3.096</w:t>
                  </w:r>
                </w:p>
              </w:tc>
              <w:tc>
                <w:tcPr>
                  <w:tcW w:w="1808" w:type="dxa"/>
                  <w:noWrap w:val="0"/>
                  <w:vAlign w:val="center"/>
                </w:tcPr>
                <w:p w14:paraId="4139DA01">
                  <w:pPr>
                    <w:pStyle w:val="19"/>
                    <w:keepNext w:val="0"/>
                    <w:keepLines w:val="0"/>
                    <w:pageBreakBefore w:val="0"/>
                    <w:widowControl w:val="0"/>
                    <w:shd w:val="clear"/>
                    <w:kinsoku/>
                    <w:wordWrap/>
                    <w:overflowPunct/>
                    <w:topLinePunct w:val="0"/>
                    <w:autoSpaceDE/>
                    <w:autoSpaceDN/>
                    <w:bidi w:val="0"/>
                    <w:adjustRightInd/>
                    <w:snapToGrid w:val="0"/>
                    <w:spacing w:before="0" w:line="240" w:lineRule="auto"/>
                    <w:ind w:left="0" w:leftChars="0" w:right="0" w:rightChars="0" w:firstLine="0" w:firstLineChars="0"/>
                    <w:jc w:val="center"/>
                    <w:textAlignment w:val="auto"/>
                    <w:rPr>
                      <w:rFonts w:hint="eastAsia"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0.344</w:t>
                  </w:r>
                </w:p>
              </w:tc>
              <w:tc>
                <w:tcPr>
                  <w:tcW w:w="1601" w:type="dxa"/>
                  <w:noWrap w:val="0"/>
                  <w:vAlign w:val="center"/>
                </w:tcPr>
                <w:p w14:paraId="1A7198E4">
                  <w:pPr>
                    <w:keepNext w:val="0"/>
                    <w:keepLines w:val="0"/>
                    <w:widowControl/>
                    <w:suppressLineNumbers w:val="0"/>
                    <w:jc w:val="center"/>
                    <w:textAlignment w:val="center"/>
                    <w:rPr>
                      <w:rFonts w:hint="default"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3.</w:t>
                  </w:r>
                  <w:r>
                    <w:rPr>
                      <w:rFonts w:hint="eastAsia" w:cs="Times New Roman"/>
                      <w:i w:val="0"/>
                      <w:iCs w:val="0"/>
                      <w:color w:val="auto"/>
                      <w:kern w:val="0"/>
                      <w:sz w:val="21"/>
                      <w:szCs w:val="21"/>
                      <w:highlight w:val="none"/>
                      <w:u w:val="none"/>
                      <w:lang w:val="en-US" w:eastAsia="zh-CN" w:bidi="ar"/>
                    </w:rPr>
                    <w:t>44</w:t>
                  </w:r>
                </w:p>
              </w:tc>
            </w:tr>
            <w:tr w14:paraId="09E93D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9" w:hRule="atLeast"/>
                <w:jc w:val="center"/>
              </w:trPr>
              <w:tc>
                <w:tcPr>
                  <w:tcW w:w="1483" w:type="dxa"/>
                  <w:noWrap w:val="0"/>
                  <w:vAlign w:val="center"/>
                </w:tcPr>
                <w:p w14:paraId="0FFAAEF9">
                  <w:pPr>
                    <w:jc w:val="center"/>
                    <w:rPr>
                      <w:rFonts w:hint="eastAsia"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SA"/>
                    </w:rPr>
                    <w:t>氮氧化物</w:t>
                  </w:r>
                </w:p>
              </w:tc>
              <w:tc>
                <w:tcPr>
                  <w:tcW w:w="1759" w:type="dxa"/>
                  <w:noWrap w:val="0"/>
                  <w:vAlign w:val="center"/>
                </w:tcPr>
                <w:p w14:paraId="205C26DD">
                  <w:pPr>
                    <w:shd w:val="clear"/>
                    <w:adjustRightInd w:val="0"/>
                    <w:snapToGrid w:val="0"/>
                    <w:spacing w:line="240" w:lineRule="auto"/>
                    <w:jc w:val="center"/>
                    <w:rPr>
                      <w:rFonts w:hint="default"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0.3345</w:t>
                  </w:r>
                </w:p>
              </w:tc>
              <w:tc>
                <w:tcPr>
                  <w:tcW w:w="1808" w:type="dxa"/>
                  <w:noWrap w:val="0"/>
                  <w:vAlign w:val="center"/>
                </w:tcPr>
                <w:p w14:paraId="44974FDF">
                  <w:pPr>
                    <w:pStyle w:val="19"/>
                    <w:keepNext w:val="0"/>
                    <w:keepLines w:val="0"/>
                    <w:pageBreakBefore w:val="0"/>
                    <w:widowControl w:val="0"/>
                    <w:shd w:val="clear"/>
                    <w:kinsoku/>
                    <w:wordWrap/>
                    <w:overflowPunct/>
                    <w:topLinePunct w:val="0"/>
                    <w:autoSpaceDE/>
                    <w:autoSpaceDN/>
                    <w:bidi w:val="0"/>
                    <w:adjustRightInd/>
                    <w:snapToGrid w:val="0"/>
                    <w:spacing w:before="0" w:line="240" w:lineRule="auto"/>
                    <w:ind w:left="0" w:leftChars="0" w:right="0" w:rightChars="0" w:firstLine="0" w:firstLineChars="0"/>
                    <w:jc w:val="center"/>
                    <w:textAlignment w:val="auto"/>
                    <w:rPr>
                      <w:rFonts w:hint="default"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0.2572</w:t>
                  </w:r>
                </w:p>
              </w:tc>
              <w:tc>
                <w:tcPr>
                  <w:tcW w:w="1601" w:type="dxa"/>
                  <w:noWrap w:val="0"/>
                  <w:vAlign w:val="center"/>
                </w:tcPr>
                <w:p w14:paraId="471B8D6B">
                  <w:pPr>
                    <w:keepNext w:val="0"/>
                    <w:keepLines w:val="0"/>
                    <w:widowControl/>
                    <w:suppressLineNumbers w:val="0"/>
                    <w:jc w:val="center"/>
                    <w:textAlignment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0.5917</w:t>
                  </w:r>
                </w:p>
              </w:tc>
            </w:tr>
            <w:tr w14:paraId="68DF86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9" w:hRule="atLeast"/>
                <w:jc w:val="center"/>
              </w:trPr>
              <w:tc>
                <w:tcPr>
                  <w:tcW w:w="1483" w:type="dxa"/>
                  <w:noWrap w:val="0"/>
                  <w:vAlign w:val="center"/>
                </w:tcPr>
                <w:p w14:paraId="17A68310">
                  <w:pPr>
                    <w:jc w:val="center"/>
                    <w:rPr>
                      <w:rFonts w:hint="eastAsia"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SA"/>
                    </w:rPr>
                    <w:t>氨</w:t>
                  </w:r>
                </w:p>
              </w:tc>
              <w:tc>
                <w:tcPr>
                  <w:tcW w:w="1759" w:type="dxa"/>
                  <w:noWrap w:val="0"/>
                  <w:vAlign w:val="center"/>
                </w:tcPr>
                <w:p w14:paraId="5DCC4B22">
                  <w:pPr>
                    <w:shd w:val="clear"/>
                    <w:adjustRightInd w:val="0"/>
                    <w:snapToGrid w:val="0"/>
                    <w:spacing w:line="240" w:lineRule="auto"/>
                    <w:jc w:val="center"/>
                    <w:rPr>
                      <w:rFonts w:hint="default"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w:t>
                  </w:r>
                </w:p>
              </w:tc>
              <w:tc>
                <w:tcPr>
                  <w:tcW w:w="1808" w:type="dxa"/>
                  <w:noWrap w:val="0"/>
                  <w:vAlign w:val="center"/>
                </w:tcPr>
                <w:p w14:paraId="1A622E6B">
                  <w:pPr>
                    <w:pStyle w:val="19"/>
                    <w:keepNext w:val="0"/>
                    <w:keepLines w:val="0"/>
                    <w:pageBreakBefore w:val="0"/>
                    <w:widowControl w:val="0"/>
                    <w:shd w:val="clear"/>
                    <w:kinsoku/>
                    <w:wordWrap/>
                    <w:overflowPunct/>
                    <w:topLinePunct w:val="0"/>
                    <w:autoSpaceDE/>
                    <w:autoSpaceDN/>
                    <w:bidi w:val="0"/>
                    <w:adjustRightInd/>
                    <w:snapToGrid w:val="0"/>
                    <w:spacing w:before="0" w:line="240" w:lineRule="auto"/>
                    <w:ind w:left="0" w:leftChars="0" w:right="0" w:rightChars="0" w:firstLine="0" w:firstLineChars="0"/>
                    <w:jc w:val="center"/>
                    <w:textAlignment w:val="auto"/>
                    <w:rPr>
                      <w:rFonts w:hint="default"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w:t>
                  </w:r>
                </w:p>
              </w:tc>
              <w:tc>
                <w:tcPr>
                  <w:tcW w:w="1601" w:type="dxa"/>
                  <w:noWrap w:val="0"/>
                  <w:vAlign w:val="center"/>
                </w:tcPr>
                <w:p w14:paraId="0028FD9E">
                  <w:pPr>
                    <w:shd w:val="clear"/>
                    <w:adjustRightInd w:val="0"/>
                    <w:snapToGrid w:val="0"/>
                    <w:spacing w:line="240" w:lineRule="auto"/>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w:t>
                  </w:r>
                </w:p>
              </w:tc>
            </w:tr>
            <w:tr w14:paraId="449525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9" w:hRule="atLeast"/>
                <w:jc w:val="center"/>
              </w:trPr>
              <w:tc>
                <w:tcPr>
                  <w:tcW w:w="1483" w:type="dxa"/>
                  <w:noWrap w:val="0"/>
                  <w:vAlign w:val="center"/>
                </w:tcPr>
                <w:p w14:paraId="62C8F781">
                  <w:pPr>
                    <w:jc w:val="center"/>
                    <w:rPr>
                      <w:rFonts w:hint="eastAsia"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SA"/>
                    </w:rPr>
                    <w:t>臭气浓度</w:t>
                  </w:r>
                </w:p>
              </w:tc>
              <w:tc>
                <w:tcPr>
                  <w:tcW w:w="1759" w:type="dxa"/>
                  <w:noWrap w:val="0"/>
                  <w:vAlign w:val="center"/>
                </w:tcPr>
                <w:p w14:paraId="07724602">
                  <w:pPr>
                    <w:shd w:val="clear"/>
                    <w:adjustRightInd w:val="0"/>
                    <w:snapToGrid w:val="0"/>
                    <w:spacing w:line="240" w:lineRule="auto"/>
                    <w:jc w:val="center"/>
                    <w:rPr>
                      <w:rFonts w:hint="default"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w:t>
                  </w:r>
                </w:p>
              </w:tc>
              <w:tc>
                <w:tcPr>
                  <w:tcW w:w="1808" w:type="dxa"/>
                  <w:noWrap w:val="0"/>
                  <w:vAlign w:val="center"/>
                </w:tcPr>
                <w:p w14:paraId="63C48F9C">
                  <w:pPr>
                    <w:pStyle w:val="19"/>
                    <w:keepNext w:val="0"/>
                    <w:keepLines w:val="0"/>
                    <w:pageBreakBefore w:val="0"/>
                    <w:widowControl w:val="0"/>
                    <w:shd w:val="clear"/>
                    <w:kinsoku/>
                    <w:wordWrap/>
                    <w:overflowPunct/>
                    <w:topLinePunct w:val="0"/>
                    <w:autoSpaceDE/>
                    <w:autoSpaceDN/>
                    <w:bidi w:val="0"/>
                    <w:adjustRightInd/>
                    <w:snapToGrid w:val="0"/>
                    <w:spacing w:before="0" w:line="240" w:lineRule="auto"/>
                    <w:ind w:left="0" w:leftChars="0" w:right="0" w:rightChars="0" w:firstLine="0" w:firstLineChars="0"/>
                    <w:jc w:val="center"/>
                    <w:textAlignment w:val="auto"/>
                    <w:rPr>
                      <w:rFonts w:hint="default"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w:t>
                  </w:r>
                </w:p>
              </w:tc>
              <w:tc>
                <w:tcPr>
                  <w:tcW w:w="1601" w:type="dxa"/>
                  <w:noWrap w:val="0"/>
                  <w:vAlign w:val="center"/>
                </w:tcPr>
                <w:p w14:paraId="0F312641">
                  <w:pPr>
                    <w:shd w:val="clear"/>
                    <w:adjustRightInd w:val="0"/>
                    <w:snapToGrid w:val="0"/>
                    <w:spacing w:line="240" w:lineRule="auto"/>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w:t>
                  </w:r>
                </w:p>
              </w:tc>
            </w:tr>
          </w:tbl>
          <w:p w14:paraId="7D3B698C">
            <w:pPr>
              <w:shd w:val="clear"/>
              <w:adjustRightInd w:val="0"/>
              <w:snapToGrid w:val="0"/>
              <w:spacing w:line="240" w:lineRule="auto"/>
              <w:jc w:val="both"/>
              <w:rPr>
                <w:rFonts w:hint="default" w:ascii="Times New Roman" w:hAnsi="Times New Roman" w:eastAsia="宋体" w:cs="Times New Roman"/>
                <w:b/>
                <w:bCs/>
                <w:color w:val="auto"/>
                <w:kern w:val="2"/>
                <w:sz w:val="24"/>
                <w:szCs w:val="24"/>
                <w:highlight w:val="none"/>
                <w:lang w:val="en-US" w:eastAsia="zh-CN" w:bidi="ar-SA"/>
              </w:rPr>
            </w:pPr>
          </w:p>
          <w:p w14:paraId="499DCA45">
            <w:pPr>
              <w:shd w:val="clear"/>
              <w:adjustRightInd w:val="0"/>
              <w:snapToGrid w:val="0"/>
              <w:spacing w:line="360" w:lineRule="auto"/>
              <w:ind w:firstLine="482" w:firstLineChars="200"/>
              <w:jc w:val="center"/>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表2</w:t>
            </w:r>
            <w:r>
              <w:rPr>
                <w:rFonts w:hint="eastAsia" w:cs="Times New Roman"/>
                <w:b/>
                <w:bCs/>
                <w:color w:val="auto"/>
                <w:kern w:val="2"/>
                <w:sz w:val="24"/>
                <w:szCs w:val="24"/>
                <w:highlight w:val="none"/>
                <w:lang w:val="en-US" w:eastAsia="zh-CN" w:bidi="ar-SA"/>
              </w:rPr>
              <w:t>9</w:t>
            </w:r>
            <w:r>
              <w:rPr>
                <w:rFonts w:hint="default" w:ascii="Times New Roman" w:hAnsi="Times New Roman" w:eastAsia="宋体" w:cs="Times New Roman"/>
                <w:b/>
                <w:bCs/>
                <w:color w:val="auto"/>
                <w:kern w:val="2"/>
                <w:sz w:val="24"/>
                <w:szCs w:val="24"/>
                <w:highlight w:val="none"/>
                <w:lang w:val="en-US" w:eastAsia="zh-CN" w:bidi="ar-SA"/>
              </w:rPr>
              <w:t>非正常排放参数表</w:t>
            </w:r>
          </w:p>
          <w:tbl>
            <w:tblPr>
              <w:tblStyle w:val="3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68"/>
              <w:gridCol w:w="1178"/>
              <w:gridCol w:w="1105"/>
              <w:gridCol w:w="1236"/>
              <w:gridCol w:w="1254"/>
              <w:gridCol w:w="860"/>
              <w:gridCol w:w="913"/>
              <w:gridCol w:w="1375"/>
            </w:tblGrid>
            <w:tr w14:paraId="66DFD2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noWrap w:val="0"/>
                  <w:vAlign w:val="center"/>
                </w:tcPr>
                <w:p w14:paraId="1CE8E502">
                  <w:pPr>
                    <w:shd w:val="clear"/>
                    <w:spacing w:line="240" w:lineRule="auto"/>
                    <w:jc w:val="center"/>
                    <w:textAlignment w:val="center"/>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default" w:ascii="Times New Roman" w:hAnsi="Times New Roman" w:eastAsia="宋体" w:cs="Times New Roman"/>
                      <w:b/>
                      <w:color w:val="auto"/>
                      <w:sz w:val="21"/>
                      <w:szCs w:val="21"/>
                      <w:highlight w:val="none"/>
                    </w:rPr>
                    <w:t>污染源</w:t>
                  </w:r>
                </w:p>
              </w:tc>
              <w:tc>
                <w:tcPr>
                  <w:tcW w:w="1178" w:type="dxa"/>
                  <w:noWrap w:val="0"/>
                  <w:vAlign w:val="center"/>
                </w:tcPr>
                <w:p w14:paraId="371B2B95">
                  <w:pPr>
                    <w:shd w:val="clear"/>
                    <w:spacing w:line="240" w:lineRule="auto"/>
                    <w:jc w:val="center"/>
                    <w:textAlignment w:val="center"/>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default" w:ascii="Times New Roman" w:hAnsi="Times New Roman" w:eastAsia="宋体" w:cs="Times New Roman"/>
                      <w:b/>
                      <w:color w:val="auto"/>
                      <w:sz w:val="21"/>
                      <w:szCs w:val="21"/>
                      <w:highlight w:val="none"/>
                    </w:rPr>
                    <w:t>非正常排放原因</w:t>
                  </w:r>
                </w:p>
              </w:tc>
              <w:tc>
                <w:tcPr>
                  <w:tcW w:w="1105" w:type="dxa"/>
                  <w:noWrap w:val="0"/>
                  <w:vAlign w:val="center"/>
                </w:tcPr>
                <w:p w14:paraId="5D5946C4">
                  <w:pPr>
                    <w:shd w:val="clear"/>
                    <w:spacing w:line="240" w:lineRule="auto"/>
                    <w:jc w:val="center"/>
                    <w:textAlignment w:val="center"/>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default" w:ascii="Times New Roman" w:hAnsi="Times New Roman" w:eastAsia="宋体" w:cs="Times New Roman"/>
                      <w:b/>
                      <w:color w:val="auto"/>
                      <w:sz w:val="21"/>
                      <w:szCs w:val="21"/>
                      <w:highlight w:val="none"/>
                    </w:rPr>
                    <w:t>污染物</w:t>
                  </w:r>
                </w:p>
              </w:tc>
              <w:tc>
                <w:tcPr>
                  <w:tcW w:w="1236" w:type="dxa"/>
                  <w:noWrap w:val="0"/>
                  <w:vAlign w:val="center"/>
                </w:tcPr>
                <w:p w14:paraId="3242CA4C">
                  <w:pPr>
                    <w:shd w:val="clear"/>
                    <w:spacing w:line="240" w:lineRule="auto"/>
                    <w:jc w:val="center"/>
                    <w:textAlignment w:val="center"/>
                    <w:rPr>
                      <w:rFonts w:hint="default" w:ascii="Times New Roman" w:hAnsi="Times New Roman" w:eastAsia="宋体" w:cs="Times New Roman"/>
                      <w:b/>
                      <w:color w:val="auto"/>
                      <w:sz w:val="21"/>
                      <w:szCs w:val="21"/>
                      <w:highlight w:val="none"/>
                    </w:rPr>
                  </w:pPr>
                  <w:r>
                    <w:rPr>
                      <w:rFonts w:hint="eastAsia" w:cs="Times New Roman"/>
                      <w:b/>
                      <w:bCs/>
                      <w:color w:val="auto"/>
                      <w:kern w:val="2"/>
                      <w:sz w:val="21"/>
                      <w:szCs w:val="21"/>
                      <w:highlight w:val="none"/>
                      <w:vertAlign w:val="baseline"/>
                      <w:lang w:val="en-US" w:eastAsia="zh-CN" w:bidi="ar-SA"/>
                    </w:rPr>
                    <w:t>非正常</w:t>
                  </w:r>
                  <w:r>
                    <w:rPr>
                      <w:rFonts w:hint="default" w:ascii="Times New Roman" w:hAnsi="Times New Roman" w:eastAsia="宋体" w:cs="Times New Roman"/>
                      <w:b/>
                      <w:bCs/>
                      <w:color w:val="auto"/>
                      <w:kern w:val="2"/>
                      <w:sz w:val="21"/>
                      <w:szCs w:val="21"/>
                      <w:highlight w:val="none"/>
                      <w:vertAlign w:val="baseline"/>
                      <w:lang w:val="en-US" w:eastAsia="zh-CN" w:bidi="ar-SA"/>
                    </w:rPr>
                    <w:t>排放浓度</w:t>
                  </w:r>
                  <w:r>
                    <w:rPr>
                      <w:rFonts w:hint="default" w:ascii="Times New Roman" w:hAnsi="Times New Roman" w:eastAsia="宋体" w:cs="Times New Roman"/>
                      <w:b/>
                      <w:color w:val="auto"/>
                      <w:sz w:val="21"/>
                      <w:szCs w:val="21"/>
                      <w:highlight w:val="none"/>
                      <w:lang w:val="zh-CN" w:bidi="ar"/>
                    </w:rPr>
                    <w:t>（</w:t>
                  </w:r>
                  <w:r>
                    <w:rPr>
                      <w:rFonts w:hint="default" w:ascii="Times New Roman" w:hAnsi="Times New Roman" w:eastAsia="宋体" w:cs="Times New Roman"/>
                      <w:b/>
                      <w:color w:val="auto"/>
                      <w:sz w:val="21"/>
                      <w:szCs w:val="21"/>
                      <w:highlight w:val="none"/>
                      <w:lang w:bidi="ar"/>
                    </w:rPr>
                    <w:t>m</w:t>
                  </w:r>
                  <w:r>
                    <w:rPr>
                      <w:rFonts w:hint="default" w:ascii="Times New Roman" w:hAnsi="Times New Roman" w:eastAsia="宋体" w:cs="Times New Roman"/>
                      <w:b/>
                      <w:color w:val="auto"/>
                      <w:sz w:val="21"/>
                      <w:szCs w:val="21"/>
                      <w:highlight w:val="none"/>
                      <w:lang w:val="zh-CN" w:bidi="ar"/>
                    </w:rPr>
                    <w:t>g/m</w:t>
                  </w:r>
                  <w:r>
                    <w:rPr>
                      <w:rFonts w:hint="default" w:ascii="Times New Roman" w:hAnsi="Times New Roman" w:eastAsia="宋体" w:cs="Times New Roman"/>
                      <w:b/>
                      <w:color w:val="auto"/>
                      <w:sz w:val="21"/>
                      <w:szCs w:val="21"/>
                      <w:highlight w:val="none"/>
                      <w:vertAlign w:val="superscript"/>
                      <w:lang w:val="zh-CN" w:bidi="ar"/>
                    </w:rPr>
                    <w:t>3</w:t>
                  </w:r>
                  <w:r>
                    <w:rPr>
                      <w:rFonts w:hint="default" w:ascii="Times New Roman" w:hAnsi="Times New Roman" w:eastAsia="宋体" w:cs="Times New Roman"/>
                      <w:b/>
                      <w:color w:val="auto"/>
                      <w:sz w:val="21"/>
                      <w:szCs w:val="21"/>
                      <w:highlight w:val="none"/>
                      <w:lang w:val="zh-CN" w:bidi="ar"/>
                    </w:rPr>
                    <w:t>）</w:t>
                  </w:r>
                </w:p>
              </w:tc>
              <w:tc>
                <w:tcPr>
                  <w:tcW w:w="1254" w:type="dxa"/>
                  <w:noWrap w:val="0"/>
                  <w:vAlign w:val="center"/>
                </w:tcPr>
                <w:p w14:paraId="25A1C2A3">
                  <w:pPr>
                    <w:shd w:val="clear"/>
                    <w:spacing w:line="240" w:lineRule="auto"/>
                    <w:jc w:val="center"/>
                    <w:textAlignment w:val="center"/>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default" w:ascii="Times New Roman" w:hAnsi="Times New Roman" w:eastAsia="宋体" w:cs="Times New Roman"/>
                      <w:b/>
                      <w:color w:val="auto"/>
                      <w:sz w:val="21"/>
                      <w:szCs w:val="21"/>
                      <w:highlight w:val="none"/>
                    </w:rPr>
                    <w:t>非正常排放速率(kg/h)</w:t>
                  </w:r>
                </w:p>
              </w:tc>
              <w:tc>
                <w:tcPr>
                  <w:tcW w:w="860" w:type="dxa"/>
                  <w:noWrap w:val="0"/>
                  <w:vAlign w:val="center"/>
                </w:tcPr>
                <w:p w14:paraId="2930DB94">
                  <w:pPr>
                    <w:shd w:val="clear"/>
                    <w:spacing w:line="240" w:lineRule="auto"/>
                    <w:jc w:val="center"/>
                    <w:textAlignment w:val="center"/>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default" w:ascii="Times New Roman" w:hAnsi="Times New Roman" w:eastAsia="宋体" w:cs="Times New Roman"/>
                      <w:b/>
                      <w:color w:val="auto"/>
                      <w:sz w:val="21"/>
                      <w:szCs w:val="21"/>
                      <w:highlight w:val="none"/>
                    </w:rPr>
                    <w:t>单次持续时间/h</w:t>
                  </w:r>
                </w:p>
              </w:tc>
              <w:tc>
                <w:tcPr>
                  <w:tcW w:w="913" w:type="dxa"/>
                  <w:noWrap w:val="0"/>
                  <w:vAlign w:val="center"/>
                </w:tcPr>
                <w:p w14:paraId="2492A04A">
                  <w:pPr>
                    <w:shd w:val="clear"/>
                    <w:spacing w:line="240" w:lineRule="auto"/>
                    <w:jc w:val="center"/>
                    <w:textAlignment w:val="center"/>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default" w:ascii="Times New Roman" w:hAnsi="Times New Roman" w:eastAsia="宋体" w:cs="Times New Roman"/>
                      <w:b/>
                      <w:color w:val="auto"/>
                      <w:sz w:val="21"/>
                      <w:szCs w:val="21"/>
                      <w:highlight w:val="none"/>
                    </w:rPr>
                    <w:t>年发生频次/次</w:t>
                  </w:r>
                </w:p>
              </w:tc>
              <w:tc>
                <w:tcPr>
                  <w:tcW w:w="1375" w:type="dxa"/>
                  <w:noWrap w:val="0"/>
                  <w:vAlign w:val="center"/>
                </w:tcPr>
                <w:p w14:paraId="0CE93126">
                  <w:pPr>
                    <w:shd w:val="clear"/>
                    <w:spacing w:line="240" w:lineRule="auto"/>
                    <w:jc w:val="center"/>
                    <w:textAlignment w:val="center"/>
                    <w:rPr>
                      <w:rFonts w:hint="default" w:ascii="Times New Roman" w:hAnsi="Times New Roman" w:eastAsia="宋体" w:cs="Times New Roman"/>
                      <w:b/>
                      <w:color w:val="auto"/>
                      <w:sz w:val="21"/>
                      <w:szCs w:val="21"/>
                      <w:highlight w:val="none"/>
                      <w:lang w:val="en-US" w:eastAsia="zh-CN"/>
                    </w:rPr>
                  </w:pPr>
                  <w:r>
                    <w:rPr>
                      <w:rFonts w:hint="default" w:ascii="Times New Roman" w:hAnsi="Times New Roman" w:eastAsia="宋体" w:cs="Times New Roman"/>
                      <w:b/>
                      <w:color w:val="auto"/>
                      <w:sz w:val="21"/>
                      <w:szCs w:val="21"/>
                      <w:highlight w:val="none"/>
                      <w:lang w:val="en-US" w:eastAsia="zh-CN"/>
                    </w:rPr>
                    <w:t>应对措施</w:t>
                  </w:r>
                </w:p>
              </w:tc>
            </w:tr>
            <w:tr w14:paraId="71C148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restart"/>
                  <w:noWrap w:val="0"/>
                  <w:vAlign w:val="center"/>
                </w:tcPr>
                <w:p w14:paraId="2DD1426B">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kern w:val="2"/>
                      <w:sz w:val="21"/>
                      <w:szCs w:val="21"/>
                      <w:highlight w:val="none"/>
                      <w:vertAlign w:val="baseline"/>
                      <w:lang w:val="en-US" w:eastAsia="zh-CN" w:bidi="ar-SA"/>
                    </w:rPr>
                    <w:t>G1</w:t>
                  </w:r>
                </w:p>
              </w:tc>
              <w:tc>
                <w:tcPr>
                  <w:tcW w:w="1178" w:type="dxa"/>
                  <w:vMerge w:val="restart"/>
                  <w:noWrap w:val="0"/>
                  <w:vAlign w:val="center"/>
                </w:tcPr>
                <w:p w14:paraId="5AFBBF2D">
                  <w:pPr>
                    <w:shd w:val="clear"/>
                    <w:spacing w:line="240" w:lineRule="auto"/>
                    <w:jc w:val="center"/>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rPr>
                    <w:t>废气收集措施故障，废气治理的效率降至0</w:t>
                  </w:r>
                </w:p>
              </w:tc>
              <w:tc>
                <w:tcPr>
                  <w:tcW w:w="1105" w:type="dxa"/>
                  <w:noWrap w:val="0"/>
                  <w:vAlign w:val="center"/>
                </w:tcPr>
                <w:p w14:paraId="78C99033">
                  <w:pPr>
                    <w:shd w:val="clear"/>
                    <w:spacing w:line="240" w:lineRule="auto"/>
                    <w:jc w:val="center"/>
                    <w:rPr>
                      <w:rFonts w:hint="default" w:ascii="Times New Roman" w:hAnsi="Times New Roman" w:eastAsia="宋体" w:cs="Times New Roman"/>
                      <w:b/>
                      <w:bCs w:val="0"/>
                      <w:color w:val="auto"/>
                      <w:spacing w:val="-10"/>
                      <w:kern w:val="2"/>
                      <w:sz w:val="21"/>
                      <w:szCs w:val="21"/>
                      <w:highlight w:val="none"/>
                      <w:vertAlign w:val="baseline"/>
                      <w:lang w:val="en-US" w:eastAsia="zh-CN" w:bidi="ar-SA"/>
                    </w:rPr>
                  </w:pPr>
                  <w:r>
                    <w:rPr>
                      <w:rFonts w:hint="eastAsia" w:cs="Times New Roman"/>
                      <w:color w:val="auto"/>
                      <w:sz w:val="21"/>
                      <w:szCs w:val="21"/>
                      <w:highlight w:val="none"/>
                      <w:lang w:val="en-US" w:eastAsia="zh-CN"/>
                    </w:rPr>
                    <w:t>硫酸雾</w:t>
                  </w:r>
                </w:p>
              </w:tc>
              <w:tc>
                <w:tcPr>
                  <w:tcW w:w="1236" w:type="dxa"/>
                  <w:noWrap w:val="0"/>
                  <w:vAlign w:val="center"/>
                </w:tcPr>
                <w:p w14:paraId="1A322B74">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0.0036</w:t>
                  </w:r>
                </w:p>
              </w:tc>
              <w:tc>
                <w:tcPr>
                  <w:tcW w:w="1254" w:type="dxa"/>
                  <w:noWrap w:val="0"/>
                  <w:vAlign w:val="center"/>
                </w:tcPr>
                <w:p w14:paraId="525218CA">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0.00005</w:t>
                  </w:r>
                </w:p>
              </w:tc>
              <w:tc>
                <w:tcPr>
                  <w:tcW w:w="860" w:type="dxa"/>
                  <w:noWrap w:val="0"/>
                  <w:vAlign w:val="center"/>
                </w:tcPr>
                <w:p w14:paraId="61219650">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default" w:ascii="Times New Roman" w:hAnsi="Times New Roman" w:eastAsia="宋体" w:cs="Times New Roman"/>
                      <w:b/>
                      <w:bCs/>
                      <w:color w:val="auto"/>
                      <w:kern w:val="2"/>
                      <w:sz w:val="21"/>
                      <w:szCs w:val="21"/>
                      <w:highlight w:val="none"/>
                      <w:vertAlign w:val="baseline"/>
                      <w:lang w:val="en-US" w:eastAsia="zh-CN" w:bidi="ar-SA"/>
                    </w:rPr>
                    <w:t>/</w:t>
                  </w:r>
                </w:p>
              </w:tc>
              <w:tc>
                <w:tcPr>
                  <w:tcW w:w="913" w:type="dxa"/>
                  <w:noWrap w:val="0"/>
                  <w:vAlign w:val="center"/>
                </w:tcPr>
                <w:p w14:paraId="7B190DC0">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default" w:ascii="Times New Roman" w:hAnsi="Times New Roman" w:eastAsia="宋体" w:cs="Times New Roman"/>
                      <w:b/>
                      <w:bCs/>
                      <w:color w:val="auto"/>
                      <w:kern w:val="2"/>
                      <w:sz w:val="21"/>
                      <w:szCs w:val="21"/>
                      <w:highlight w:val="none"/>
                      <w:vertAlign w:val="baseline"/>
                      <w:lang w:val="en-US" w:eastAsia="zh-CN" w:bidi="ar-SA"/>
                    </w:rPr>
                    <w:t>/</w:t>
                  </w:r>
                </w:p>
              </w:tc>
              <w:tc>
                <w:tcPr>
                  <w:tcW w:w="1375" w:type="dxa"/>
                  <w:noWrap w:val="0"/>
                  <w:vAlign w:val="center"/>
                </w:tcPr>
                <w:p w14:paraId="11DF4543">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kern w:val="2"/>
                      <w:sz w:val="21"/>
                      <w:szCs w:val="21"/>
                      <w:highlight w:val="none"/>
                      <w:vertAlign w:val="baseline"/>
                      <w:lang w:val="en-US" w:eastAsia="zh-CN" w:bidi="ar-SA"/>
                    </w:rPr>
                    <w:t>立即关停产污设备并及时维修</w:t>
                  </w:r>
                </w:p>
              </w:tc>
            </w:tr>
            <w:tr w14:paraId="2A9753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3" w:hRule="atLeast"/>
                <w:jc w:val="center"/>
              </w:trPr>
              <w:tc>
                <w:tcPr>
                  <w:tcW w:w="0" w:type="auto"/>
                  <w:vMerge w:val="continue"/>
                  <w:noWrap w:val="0"/>
                  <w:vAlign w:val="center"/>
                </w:tcPr>
                <w:p w14:paraId="41B42F9F">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p>
              </w:tc>
              <w:tc>
                <w:tcPr>
                  <w:tcW w:w="1178" w:type="dxa"/>
                  <w:vMerge w:val="continue"/>
                  <w:noWrap w:val="0"/>
                  <w:vAlign w:val="center"/>
                </w:tcPr>
                <w:p w14:paraId="295126B0">
                  <w:pPr>
                    <w:shd w:val="clear"/>
                    <w:spacing w:line="240" w:lineRule="auto"/>
                    <w:jc w:val="center"/>
                    <w:rPr>
                      <w:rFonts w:hint="default" w:ascii="Times New Roman" w:hAnsi="Times New Roman" w:eastAsia="宋体" w:cs="Times New Roman"/>
                      <w:color w:val="auto"/>
                      <w:sz w:val="21"/>
                      <w:szCs w:val="21"/>
                      <w:highlight w:val="none"/>
                    </w:rPr>
                  </w:pPr>
                </w:p>
              </w:tc>
              <w:tc>
                <w:tcPr>
                  <w:tcW w:w="1105" w:type="dxa"/>
                  <w:noWrap w:val="0"/>
                  <w:vAlign w:val="center"/>
                </w:tcPr>
                <w:p w14:paraId="18AD5E0C">
                  <w:pPr>
                    <w:shd w:val="clear"/>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氯化氢</w:t>
                  </w:r>
                </w:p>
              </w:tc>
              <w:tc>
                <w:tcPr>
                  <w:tcW w:w="1236" w:type="dxa"/>
                  <w:noWrap w:val="0"/>
                  <w:vAlign w:val="center"/>
                </w:tcPr>
                <w:p w14:paraId="74B448FC">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0.179</w:t>
                  </w:r>
                </w:p>
              </w:tc>
              <w:tc>
                <w:tcPr>
                  <w:tcW w:w="1254" w:type="dxa"/>
                  <w:noWrap w:val="0"/>
                  <w:vAlign w:val="center"/>
                </w:tcPr>
                <w:p w14:paraId="6AF017D5">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0.0025</w:t>
                  </w:r>
                </w:p>
              </w:tc>
              <w:tc>
                <w:tcPr>
                  <w:tcW w:w="860" w:type="dxa"/>
                  <w:noWrap w:val="0"/>
                  <w:vAlign w:val="center"/>
                </w:tcPr>
                <w:p w14:paraId="792C3B99">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default" w:ascii="Times New Roman" w:hAnsi="Times New Roman" w:eastAsia="宋体" w:cs="Times New Roman"/>
                      <w:b/>
                      <w:bCs/>
                      <w:color w:val="auto"/>
                      <w:kern w:val="2"/>
                      <w:sz w:val="21"/>
                      <w:szCs w:val="21"/>
                      <w:highlight w:val="none"/>
                      <w:vertAlign w:val="baseline"/>
                      <w:lang w:val="en-US" w:eastAsia="zh-CN" w:bidi="ar-SA"/>
                    </w:rPr>
                    <w:t>/</w:t>
                  </w:r>
                </w:p>
              </w:tc>
              <w:tc>
                <w:tcPr>
                  <w:tcW w:w="913" w:type="dxa"/>
                  <w:noWrap w:val="0"/>
                  <w:vAlign w:val="center"/>
                </w:tcPr>
                <w:p w14:paraId="43825C3E">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default" w:ascii="Times New Roman" w:hAnsi="Times New Roman" w:eastAsia="宋体" w:cs="Times New Roman"/>
                      <w:b/>
                      <w:bCs/>
                      <w:color w:val="auto"/>
                      <w:kern w:val="2"/>
                      <w:sz w:val="21"/>
                      <w:szCs w:val="21"/>
                      <w:highlight w:val="none"/>
                      <w:vertAlign w:val="baseline"/>
                      <w:lang w:val="en-US" w:eastAsia="zh-CN" w:bidi="ar-SA"/>
                    </w:rPr>
                    <w:t>/</w:t>
                  </w:r>
                </w:p>
              </w:tc>
              <w:tc>
                <w:tcPr>
                  <w:tcW w:w="1375" w:type="dxa"/>
                  <w:noWrap w:val="0"/>
                  <w:vAlign w:val="center"/>
                </w:tcPr>
                <w:p w14:paraId="76948CA2">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kern w:val="2"/>
                      <w:sz w:val="21"/>
                      <w:szCs w:val="21"/>
                      <w:highlight w:val="none"/>
                      <w:vertAlign w:val="baseline"/>
                      <w:lang w:val="en-US" w:eastAsia="zh-CN" w:bidi="ar-SA"/>
                    </w:rPr>
                    <w:t>立即关停产污设备并及时维修</w:t>
                  </w:r>
                </w:p>
              </w:tc>
            </w:tr>
            <w:tr w14:paraId="7D2802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3" w:hRule="atLeast"/>
                <w:jc w:val="center"/>
              </w:trPr>
              <w:tc>
                <w:tcPr>
                  <w:tcW w:w="0" w:type="auto"/>
                  <w:vMerge w:val="continue"/>
                  <w:noWrap w:val="0"/>
                  <w:vAlign w:val="center"/>
                </w:tcPr>
                <w:p w14:paraId="21D42390">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p>
              </w:tc>
              <w:tc>
                <w:tcPr>
                  <w:tcW w:w="1178" w:type="dxa"/>
                  <w:vMerge w:val="continue"/>
                  <w:noWrap w:val="0"/>
                  <w:vAlign w:val="center"/>
                </w:tcPr>
                <w:p w14:paraId="2D16647D">
                  <w:pPr>
                    <w:shd w:val="clear"/>
                    <w:spacing w:line="240" w:lineRule="auto"/>
                    <w:jc w:val="center"/>
                    <w:rPr>
                      <w:rFonts w:hint="default" w:ascii="Times New Roman" w:hAnsi="Times New Roman" w:eastAsia="宋体" w:cs="Times New Roman"/>
                      <w:color w:val="auto"/>
                      <w:sz w:val="21"/>
                      <w:szCs w:val="21"/>
                      <w:highlight w:val="none"/>
                    </w:rPr>
                  </w:pPr>
                </w:p>
              </w:tc>
              <w:tc>
                <w:tcPr>
                  <w:tcW w:w="1105" w:type="dxa"/>
                  <w:noWrap w:val="0"/>
                  <w:vAlign w:val="center"/>
                </w:tcPr>
                <w:p w14:paraId="461AABB2">
                  <w:pPr>
                    <w:shd w:val="clear"/>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氮氧化物</w:t>
                  </w:r>
                </w:p>
              </w:tc>
              <w:tc>
                <w:tcPr>
                  <w:tcW w:w="1236" w:type="dxa"/>
                  <w:noWrap w:val="0"/>
                  <w:vAlign w:val="center"/>
                </w:tcPr>
                <w:p w14:paraId="7792AB25">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0.014</w:t>
                  </w:r>
                </w:p>
              </w:tc>
              <w:tc>
                <w:tcPr>
                  <w:tcW w:w="1254" w:type="dxa"/>
                  <w:noWrap w:val="0"/>
                  <w:vAlign w:val="center"/>
                </w:tcPr>
                <w:p w14:paraId="1AF0EE8A">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0.0002</w:t>
                  </w:r>
                </w:p>
              </w:tc>
              <w:tc>
                <w:tcPr>
                  <w:tcW w:w="860" w:type="dxa"/>
                  <w:noWrap w:val="0"/>
                  <w:vAlign w:val="center"/>
                </w:tcPr>
                <w:p w14:paraId="17316CA4">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default" w:ascii="Times New Roman" w:hAnsi="Times New Roman" w:eastAsia="宋体" w:cs="Times New Roman"/>
                      <w:b/>
                      <w:bCs/>
                      <w:color w:val="auto"/>
                      <w:kern w:val="2"/>
                      <w:sz w:val="21"/>
                      <w:szCs w:val="21"/>
                      <w:highlight w:val="none"/>
                      <w:vertAlign w:val="baseline"/>
                      <w:lang w:val="en-US" w:eastAsia="zh-CN" w:bidi="ar-SA"/>
                    </w:rPr>
                    <w:t>/</w:t>
                  </w:r>
                </w:p>
              </w:tc>
              <w:tc>
                <w:tcPr>
                  <w:tcW w:w="913" w:type="dxa"/>
                  <w:noWrap w:val="0"/>
                  <w:vAlign w:val="center"/>
                </w:tcPr>
                <w:p w14:paraId="358F7E78">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default" w:ascii="Times New Roman" w:hAnsi="Times New Roman" w:eastAsia="宋体" w:cs="Times New Roman"/>
                      <w:b/>
                      <w:bCs/>
                      <w:color w:val="auto"/>
                      <w:kern w:val="2"/>
                      <w:sz w:val="21"/>
                      <w:szCs w:val="21"/>
                      <w:highlight w:val="none"/>
                      <w:vertAlign w:val="baseline"/>
                      <w:lang w:val="en-US" w:eastAsia="zh-CN" w:bidi="ar-SA"/>
                    </w:rPr>
                    <w:t>/</w:t>
                  </w:r>
                </w:p>
              </w:tc>
              <w:tc>
                <w:tcPr>
                  <w:tcW w:w="1375" w:type="dxa"/>
                  <w:noWrap w:val="0"/>
                  <w:vAlign w:val="center"/>
                </w:tcPr>
                <w:p w14:paraId="5FA49029">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kern w:val="2"/>
                      <w:sz w:val="21"/>
                      <w:szCs w:val="21"/>
                      <w:highlight w:val="none"/>
                      <w:vertAlign w:val="baseline"/>
                      <w:lang w:val="en-US" w:eastAsia="zh-CN" w:bidi="ar-SA"/>
                    </w:rPr>
                    <w:t>立即关停产污设备并及时维修</w:t>
                  </w:r>
                </w:p>
              </w:tc>
            </w:tr>
            <w:tr w14:paraId="63351B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0" w:hRule="atLeast"/>
                <w:jc w:val="center"/>
              </w:trPr>
              <w:tc>
                <w:tcPr>
                  <w:tcW w:w="0" w:type="auto"/>
                  <w:vMerge w:val="restart"/>
                  <w:noWrap w:val="0"/>
                  <w:vAlign w:val="center"/>
                </w:tcPr>
                <w:p w14:paraId="627510E9">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G2</w:t>
                  </w:r>
                </w:p>
              </w:tc>
              <w:tc>
                <w:tcPr>
                  <w:tcW w:w="1178" w:type="dxa"/>
                  <w:vMerge w:val="restart"/>
                  <w:noWrap w:val="0"/>
                  <w:vAlign w:val="center"/>
                </w:tcPr>
                <w:p w14:paraId="02AB3C61">
                  <w:pPr>
                    <w:shd w:val="clea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废气收集措施故障，废气治理的效率降至0</w:t>
                  </w:r>
                </w:p>
              </w:tc>
              <w:tc>
                <w:tcPr>
                  <w:tcW w:w="1105" w:type="dxa"/>
                  <w:noWrap w:val="0"/>
                  <w:vAlign w:val="center"/>
                </w:tcPr>
                <w:p w14:paraId="0A262DF0">
                  <w:pPr>
                    <w:shd w:val="clear"/>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b w:val="0"/>
                      <w:bCs w:val="0"/>
                      <w:color w:val="auto"/>
                      <w:kern w:val="2"/>
                      <w:sz w:val="21"/>
                      <w:szCs w:val="21"/>
                      <w:highlight w:val="none"/>
                      <w:vertAlign w:val="baseline"/>
                      <w:lang w:val="en-US" w:eastAsia="zh-CN" w:bidi="ar-SA"/>
                    </w:rPr>
                    <w:t>非甲烷总烃</w:t>
                  </w:r>
                  <w:r>
                    <w:rPr>
                      <w:rFonts w:hint="eastAsia" w:cs="Times New Roman"/>
                      <w:color w:val="auto"/>
                      <w:kern w:val="0"/>
                      <w:sz w:val="21"/>
                      <w:szCs w:val="21"/>
                      <w:highlight w:val="none"/>
                      <w:lang w:val="en-US" w:eastAsia="zh-CN" w:bidi="ar-SA"/>
                    </w:rPr>
                    <w:t>(TVOC)</w:t>
                  </w:r>
                </w:p>
              </w:tc>
              <w:tc>
                <w:tcPr>
                  <w:tcW w:w="1236" w:type="dxa"/>
                  <w:noWrap w:val="0"/>
                  <w:vAlign w:val="center"/>
                </w:tcPr>
                <w:p w14:paraId="7396943E">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0.1958</w:t>
                  </w:r>
                </w:p>
              </w:tc>
              <w:tc>
                <w:tcPr>
                  <w:tcW w:w="1254" w:type="dxa"/>
                  <w:noWrap w:val="0"/>
                  <w:vAlign w:val="center"/>
                </w:tcPr>
                <w:p w14:paraId="000EB22E">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0.00258</w:t>
                  </w:r>
                </w:p>
              </w:tc>
              <w:tc>
                <w:tcPr>
                  <w:tcW w:w="860" w:type="dxa"/>
                  <w:noWrap w:val="0"/>
                  <w:vAlign w:val="center"/>
                </w:tcPr>
                <w:p w14:paraId="1CD65E0D">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default" w:ascii="Times New Roman" w:hAnsi="Times New Roman" w:eastAsia="宋体" w:cs="Times New Roman"/>
                      <w:b/>
                      <w:bCs/>
                      <w:color w:val="auto"/>
                      <w:kern w:val="2"/>
                      <w:sz w:val="21"/>
                      <w:szCs w:val="21"/>
                      <w:highlight w:val="none"/>
                      <w:vertAlign w:val="baseline"/>
                      <w:lang w:val="en-US" w:eastAsia="zh-CN" w:bidi="ar-SA"/>
                    </w:rPr>
                    <w:t>/</w:t>
                  </w:r>
                </w:p>
              </w:tc>
              <w:tc>
                <w:tcPr>
                  <w:tcW w:w="913" w:type="dxa"/>
                  <w:noWrap w:val="0"/>
                  <w:vAlign w:val="center"/>
                </w:tcPr>
                <w:p w14:paraId="35490DCB">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default" w:ascii="Times New Roman" w:hAnsi="Times New Roman" w:eastAsia="宋体" w:cs="Times New Roman"/>
                      <w:b/>
                      <w:bCs/>
                      <w:color w:val="auto"/>
                      <w:kern w:val="2"/>
                      <w:sz w:val="21"/>
                      <w:szCs w:val="21"/>
                      <w:highlight w:val="none"/>
                      <w:vertAlign w:val="baseline"/>
                      <w:lang w:val="en-US" w:eastAsia="zh-CN" w:bidi="ar-SA"/>
                    </w:rPr>
                    <w:t>/</w:t>
                  </w:r>
                </w:p>
              </w:tc>
              <w:tc>
                <w:tcPr>
                  <w:tcW w:w="1375" w:type="dxa"/>
                  <w:noWrap w:val="0"/>
                  <w:vAlign w:val="center"/>
                </w:tcPr>
                <w:p w14:paraId="1D7FC653">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kern w:val="2"/>
                      <w:sz w:val="21"/>
                      <w:szCs w:val="21"/>
                      <w:highlight w:val="none"/>
                      <w:vertAlign w:val="baseline"/>
                      <w:lang w:val="en-US" w:eastAsia="zh-CN" w:bidi="ar-SA"/>
                    </w:rPr>
                    <w:t>立即关停产污设备并及时维修</w:t>
                  </w:r>
                </w:p>
              </w:tc>
            </w:tr>
            <w:tr w14:paraId="3F80B9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6" w:hRule="atLeast"/>
                <w:jc w:val="center"/>
              </w:trPr>
              <w:tc>
                <w:tcPr>
                  <w:tcW w:w="0" w:type="auto"/>
                  <w:vMerge w:val="continue"/>
                  <w:noWrap w:val="0"/>
                  <w:vAlign w:val="center"/>
                </w:tcPr>
                <w:p w14:paraId="08E6A75C">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eastAsia" w:cs="Times New Roman"/>
                      <w:b w:val="0"/>
                      <w:bCs w:val="0"/>
                      <w:color w:val="auto"/>
                      <w:kern w:val="2"/>
                      <w:sz w:val="21"/>
                      <w:szCs w:val="21"/>
                      <w:highlight w:val="none"/>
                      <w:vertAlign w:val="baseline"/>
                      <w:lang w:val="en-US" w:eastAsia="zh-CN" w:bidi="ar-SA"/>
                    </w:rPr>
                  </w:pPr>
                </w:p>
              </w:tc>
              <w:tc>
                <w:tcPr>
                  <w:tcW w:w="1178" w:type="dxa"/>
                  <w:vMerge w:val="continue"/>
                  <w:noWrap w:val="0"/>
                  <w:vAlign w:val="center"/>
                </w:tcPr>
                <w:p w14:paraId="2B4B6B00">
                  <w:pPr>
                    <w:shd w:val="clear"/>
                    <w:spacing w:line="240" w:lineRule="auto"/>
                    <w:jc w:val="center"/>
                    <w:rPr>
                      <w:rFonts w:hint="default" w:ascii="Times New Roman" w:hAnsi="Times New Roman" w:eastAsia="宋体" w:cs="Times New Roman"/>
                      <w:color w:val="auto"/>
                      <w:sz w:val="21"/>
                      <w:szCs w:val="21"/>
                      <w:highlight w:val="none"/>
                    </w:rPr>
                  </w:pPr>
                </w:p>
              </w:tc>
              <w:tc>
                <w:tcPr>
                  <w:tcW w:w="1105" w:type="dxa"/>
                  <w:noWrap w:val="0"/>
                  <w:vAlign w:val="center"/>
                </w:tcPr>
                <w:p w14:paraId="328FFCF4">
                  <w:pPr>
                    <w:shd w:val="clear"/>
                    <w:spacing w:line="240" w:lineRule="auto"/>
                    <w:jc w:val="both"/>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其中：甲醇</w:t>
                  </w:r>
                </w:p>
              </w:tc>
              <w:tc>
                <w:tcPr>
                  <w:tcW w:w="1236" w:type="dxa"/>
                  <w:noWrap w:val="0"/>
                  <w:vAlign w:val="center"/>
                </w:tcPr>
                <w:p w14:paraId="03941EBA">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0.0215</w:t>
                  </w:r>
                </w:p>
              </w:tc>
              <w:tc>
                <w:tcPr>
                  <w:tcW w:w="1254" w:type="dxa"/>
                  <w:noWrap w:val="0"/>
                  <w:vAlign w:val="center"/>
                </w:tcPr>
                <w:p w14:paraId="520CA473">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0.00028</w:t>
                  </w:r>
                </w:p>
              </w:tc>
              <w:tc>
                <w:tcPr>
                  <w:tcW w:w="860" w:type="dxa"/>
                  <w:noWrap w:val="0"/>
                  <w:vAlign w:val="center"/>
                </w:tcPr>
                <w:p w14:paraId="7B111990">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default" w:ascii="Times New Roman" w:hAnsi="Times New Roman" w:eastAsia="宋体" w:cs="Times New Roman"/>
                      <w:b/>
                      <w:bCs/>
                      <w:color w:val="auto"/>
                      <w:kern w:val="2"/>
                      <w:sz w:val="21"/>
                      <w:szCs w:val="21"/>
                      <w:highlight w:val="none"/>
                      <w:vertAlign w:val="baseline"/>
                      <w:lang w:val="en-US" w:eastAsia="zh-CN" w:bidi="ar-SA"/>
                    </w:rPr>
                    <w:t>/</w:t>
                  </w:r>
                </w:p>
              </w:tc>
              <w:tc>
                <w:tcPr>
                  <w:tcW w:w="913" w:type="dxa"/>
                  <w:noWrap w:val="0"/>
                  <w:vAlign w:val="center"/>
                </w:tcPr>
                <w:p w14:paraId="2906B6C9">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default" w:ascii="Times New Roman" w:hAnsi="Times New Roman" w:eastAsia="宋体" w:cs="Times New Roman"/>
                      <w:b/>
                      <w:bCs/>
                      <w:color w:val="auto"/>
                      <w:kern w:val="2"/>
                      <w:sz w:val="21"/>
                      <w:szCs w:val="21"/>
                      <w:highlight w:val="none"/>
                      <w:vertAlign w:val="baseline"/>
                      <w:lang w:val="en-US" w:eastAsia="zh-CN" w:bidi="ar-SA"/>
                    </w:rPr>
                    <w:t>/</w:t>
                  </w:r>
                </w:p>
              </w:tc>
              <w:tc>
                <w:tcPr>
                  <w:tcW w:w="1375" w:type="dxa"/>
                  <w:noWrap w:val="0"/>
                  <w:vAlign w:val="center"/>
                </w:tcPr>
                <w:p w14:paraId="6E3BB4C7">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kern w:val="2"/>
                      <w:sz w:val="21"/>
                      <w:szCs w:val="21"/>
                      <w:highlight w:val="none"/>
                      <w:vertAlign w:val="baseline"/>
                      <w:lang w:val="en-US" w:eastAsia="zh-CN" w:bidi="ar-SA"/>
                    </w:rPr>
                    <w:t>立即关停产污设备并及时维修</w:t>
                  </w:r>
                </w:p>
              </w:tc>
            </w:tr>
            <w:tr w14:paraId="1D8B3A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3" w:hRule="atLeast"/>
                <w:jc w:val="center"/>
              </w:trPr>
              <w:tc>
                <w:tcPr>
                  <w:tcW w:w="0" w:type="auto"/>
                  <w:vMerge w:val="continue"/>
                  <w:noWrap w:val="0"/>
                  <w:vAlign w:val="center"/>
                </w:tcPr>
                <w:p w14:paraId="1EB96118">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eastAsia" w:cs="Times New Roman"/>
                      <w:b w:val="0"/>
                      <w:bCs w:val="0"/>
                      <w:color w:val="auto"/>
                      <w:kern w:val="2"/>
                      <w:sz w:val="21"/>
                      <w:szCs w:val="21"/>
                      <w:highlight w:val="none"/>
                      <w:vertAlign w:val="baseline"/>
                      <w:lang w:val="en-US" w:eastAsia="zh-CN" w:bidi="ar-SA"/>
                    </w:rPr>
                  </w:pPr>
                </w:p>
              </w:tc>
              <w:tc>
                <w:tcPr>
                  <w:tcW w:w="1178" w:type="dxa"/>
                  <w:vMerge w:val="continue"/>
                  <w:noWrap w:val="0"/>
                  <w:vAlign w:val="center"/>
                </w:tcPr>
                <w:p w14:paraId="5D4BBE00">
                  <w:pPr>
                    <w:shd w:val="clear"/>
                    <w:spacing w:line="240" w:lineRule="auto"/>
                    <w:jc w:val="center"/>
                    <w:rPr>
                      <w:rFonts w:hint="default" w:ascii="Times New Roman" w:hAnsi="Times New Roman" w:eastAsia="宋体" w:cs="Times New Roman"/>
                      <w:color w:val="auto"/>
                      <w:sz w:val="21"/>
                      <w:szCs w:val="21"/>
                      <w:highlight w:val="none"/>
                    </w:rPr>
                  </w:pPr>
                </w:p>
              </w:tc>
              <w:tc>
                <w:tcPr>
                  <w:tcW w:w="1105" w:type="dxa"/>
                  <w:noWrap w:val="0"/>
                  <w:vAlign w:val="center"/>
                </w:tcPr>
                <w:p w14:paraId="4EEE8BBA">
                  <w:pPr>
                    <w:shd w:val="clear"/>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其中：苯系物（甲苯）</w:t>
                  </w:r>
                </w:p>
              </w:tc>
              <w:tc>
                <w:tcPr>
                  <w:tcW w:w="1236" w:type="dxa"/>
                  <w:noWrap w:val="0"/>
                  <w:vAlign w:val="center"/>
                </w:tcPr>
                <w:p w14:paraId="05066B12">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0.0431</w:t>
                  </w:r>
                </w:p>
              </w:tc>
              <w:tc>
                <w:tcPr>
                  <w:tcW w:w="1254" w:type="dxa"/>
                  <w:noWrap w:val="0"/>
                  <w:vAlign w:val="center"/>
                </w:tcPr>
                <w:p w14:paraId="158E1A9A">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0.00056</w:t>
                  </w:r>
                </w:p>
              </w:tc>
              <w:tc>
                <w:tcPr>
                  <w:tcW w:w="860" w:type="dxa"/>
                  <w:noWrap w:val="0"/>
                  <w:vAlign w:val="center"/>
                </w:tcPr>
                <w:p w14:paraId="53581756">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default" w:ascii="Times New Roman" w:hAnsi="Times New Roman" w:eastAsia="宋体" w:cs="Times New Roman"/>
                      <w:b/>
                      <w:bCs/>
                      <w:color w:val="auto"/>
                      <w:kern w:val="2"/>
                      <w:sz w:val="21"/>
                      <w:szCs w:val="21"/>
                      <w:highlight w:val="none"/>
                      <w:vertAlign w:val="baseline"/>
                      <w:lang w:val="en-US" w:eastAsia="zh-CN" w:bidi="ar-SA"/>
                    </w:rPr>
                    <w:t>/</w:t>
                  </w:r>
                </w:p>
              </w:tc>
              <w:tc>
                <w:tcPr>
                  <w:tcW w:w="913" w:type="dxa"/>
                  <w:noWrap w:val="0"/>
                  <w:vAlign w:val="center"/>
                </w:tcPr>
                <w:p w14:paraId="2C72BD2E">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default" w:ascii="Times New Roman" w:hAnsi="Times New Roman" w:eastAsia="宋体" w:cs="Times New Roman"/>
                      <w:b/>
                      <w:bCs/>
                      <w:color w:val="auto"/>
                      <w:kern w:val="2"/>
                      <w:sz w:val="21"/>
                      <w:szCs w:val="21"/>
                      <w:highlight w:val="none"/>
                      <w:vertAlign w:val="baseline"/>
                      <w:lang w:val="en-US" w:eastAsia="zh-CN" w:bidi="ar-SA"/>
                    </w:rPr>
                    <w:t>/</w:t>
                  </w:r>
                </w:p>
              </w:tc>
              <w:tc>
                <w:tcPr>
                  <w:tcW w:w="1375" w:type="dxa"/>
                  <w:noWrap w:val="0"/>
                  <w:vAlign w:val="center"/>
                </w:tcPr>
                <w:p w14:paraId="6B3DBA63">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kern w:val="2"/>
                      <w:sz w:val="21"/>
                      <w:szCs w:val="21"/>
                      <w:highlight w:val="none"/>
                      <w:vertAlign w:val="baseline"/>
                      <w:lang w:val="en-US" w:eastAsia="zh-CN" w:bidi="ar-SA"/>
                    </w:rPr>
                    <w:t>立即关停产污设备并及时维修</w:t>
                  </w:r>
                </w:p>
              </w:tc>
            </w:tr>
            <w:tr w14:paraId="7B23F0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0" w:hRule="atLeast"/>
                <w:jc w:val="center"/>
              </w:trPr>
              <w:tc>
                <w:tcPr>
                  <w:tcW w:w="0" w:type="auto"/>
                  <w:vMerge w:val="continue"/>
                  <w:noWrap w:val="0"/>
                  <w:vAlign w:val="center"/>
                </w:tcPr>
                <w:p w14:paraId="12EBA7FA">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eastAsia" w:cs="Times New Roman"/>
                      <w:b w:val="0"/>
                      <w:bCs w:val="0"/>
                      <w:color w:val="auto"/>
                      <w:kern w:val="2"/>
                      <w:sz w:val="21"/>
                      <w:szCs w:val="21"/>
                      <w:highlight w:val="none"/>
                      <w:vertAlign w:val="baseline"/>
                      <w:lang w:val="en-US" w:eastAsia="zh-CN" w:bidi="ar-SA"/>
                    </w:rPr>
                  </w:pPr>
                </w:p>
              </w:tc>
              <w:tc>
                <w:tcPr>
                  <w:tcW w:w="1178" w:type="dxa"/>
                  <w:vMerge w:val="continue"/>
                  <w:noWrap w:val="0"/>
                  <w:vAlign w:val="center"/>
                </w:tcPr>
                <w:p w14:paraId="519FCB3A">
                  <w:pPr>
                    <w:shd w:val="clear"/>
                    <w:spacing w:line="240" w:lineRule="auto"/>
                    <w:jc w:val="center"/>
                    <w:rPr>
                      <w:rFonts w:hint="default" w:ascii="Times New Roman" w:hAnsi="Times New Roman" w:eastAsia="宋体" w:cs="Times New Roman"/>
                      <w:color w:val="auto"/>
                      <w:sz w:val="21"/>
                      <w:szCs w:val="21"/>
                      <w:highlight w:val="none"/>
                    </w:rPr>
                  </w:pPr>
                </w:p>
              </w:tc>
              <w:tc>
                <w:tcPr>
                  <w:tcW w:w="1105" w:type="dxa"/>
                  <w:noWrap w:val="0"/>
                  <w:vAlign w:val="center"/>
                </w:tcPr>
                <w:p w14:paraId="2259C01B">
                  <w:pPr>
                    <w:shd w:val="clear"/>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颗粒物</w:t>
                  </w:r>
                </w:p>
              </w:tc>
              <w:tc>
                <w:tcPr>
                  <w:tcW w:w="1236" w:type="dxa"/>
                  <w:noWrap w:val="0"/>
                  <w:vAlign w:val="center"/>
                </w:tcPr>
                <w:p w14:paraId="4F722591">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0.0992</w:t>
                  </w:r>
                </w:p>
              </w:tc>
              <w:tc>
                <w:tcPr>
                  <w:tcW w:w="1254" w:type="dxa"/>
                  <w:noWrap w:val="0"/>
                  <w:vAlign w:val="center"/>
                </w:tcPr>
                <w:p w14:paraId="7FFCCCCB">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0.00129</w:t>
                  </w:r>
                </w:p>
              </w:tc>
              <w:tc>
                <w:tcPr>
                  <w:tcW w:w="860" w:type="dxa"/>
                  <w:noWrap w:val="0"/>
                  <w:vAlign w:val="center"/>
                </w:tcPr>
                <w:p w14:paraId="36654FEE">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default" w:ascii="Times New Roman" w:hAnsi="Times New Roman" w:eastAsia="宋体" w:cs="Times New Roman"/>
                      <w:b/>
                      <w:bCs/>
                      <w:color w:val="auto"/>
                      <w:kern w:val="2"/>
                      <w:sz w:val="21"/>
                      <w:szCs w:val="21"/>
                      <w:highlight w:val="none"/>
                      <w:vertAlign w:val="baseline"/>
                      <w:lang w:val="en-US" w:eastAsia="zh-CN" w:bidi="ar-SA"/>
                    </w:rPr>
                    <w:t>/</w:t>
                  </w:r>
                </w:p>
              </w:tc>
              <w:tc>
                <w:tcPr>
                  <w:tcW w:w="913" w:type="dxa"/>
                  <w:noWrap w:val="0"/>
                  <w:vAlign w:val="center"/>
                </w:tcPr>
                <w:p w14:paraId="6E95B670">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default" w:ascii="Times New Roman" w:hAnsi="Times New Roman" w:eastAsia="宋体" w:cs="Times New Roman"/>
                      <w:b/>
                      <w:bCs/>
                      <w:color w:val="auto"/>
                      <w:kern w:val="2"/>
                      <w:sz w:val="21"/>
                      <w:szCs w:val="21"/>
                      <w:highlight w:val="none"/>
                      <w:vertAlign w:val="baseline"/>
                      <w:lang w:val="en-US" w:eastAsia="zh-CN" w:bidi="ar-SA"/>
                    </w:rPr>
                    <w:t>/</w:t>
                  </w:r>
                </w:p>
              </w:tc>
              <w:tc>
                <w:tcPr>
                  <w:tcW w:w="1375" w:type="dxa"/>
                  <w:noWrap w:val="0"/>
                  <w:vAlign w:val="center"/>
                </w:tcPr>
                <w:p w14:paraId="5DA6F876">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kern w:val="2"/>
                      <w:sz w:val="21"/>
                      <w:szCs w:val="21"/>
                      <w:highlight w:val="none"/>
                      <w:vertAlign w:val="baseline"/>
                      <w:lang w:val="en-US" w:eastAsia="zh-CN" w:bidi="ar-SA"/>
                    </w:rPr>
                    <w:t>立即关停产污设备并及时维修</w:t>
                  </w:r>
                </w:p>
              </w:tc>
            </w:tr>
          </w:tbl>
          <w:p w14:paraId="1D1988E3">
            <w:pPr>
              <w:shd w:val="clear"/>
              <w:adjustRightInd w:val="0"/>
              <w:snapToGrid w:val="0"/>
              <w:spacing w:line="240" w:lineRule="auto"/>
              <w:jc w:val="center"/>
              <w:rPr>
                <w:rFonts w:hint="default" w:ascii="Times New Roman" w:hAnsi="Times New Roman" w:eastAsia="宋体" w:cs="Times New Roman"/>
                <w:b/>
                <w:bCs/>
                <w:color w:val="auto"/>
                <w:kern w:val="2"/>
                <w:sz w:val="24"/>
                <w:szCs w:val="24"/>
                <w:highlight w:val="none"/>
                <w:lang w:val="en-US" w:eastAsia="zh-CN" w:bidi="ar-SA"/>
              </w:rPr>
            </w:pPr>
          </w:p>
          <w:p w14:paraId="0A71C639">
            <w:pPr>
              <w:shd w:val="clear"/>
              <w:adjustRightInd w:val="0"/>
              <w:snapToGrid w:val="0"/>
              <w:spacing w:line="360" w:lineRule="auto"/>
              <w:jc w:val="center"/>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表</w:t>
            </w:r>
            <w:r>
              <w:rPr>
                <w:rFonts w:hint="eastAsia" w:cs="Times New Roman"/>
                <w:b/>
                <w:bCs/>
                <w:color w:val="auto"/>
                <w:kern w:val="2"/>
                <w:sz w:val="24"/>
                <w:szCs w:val="24"/>
                <w:highlight w:val="none"/>
                <w:lang w:val="en-US" w:eastAsia="zh-CN" w:bidi="ar-SA"/>
              </w:rPr>
              <w:t>30</w:t>
            </w:r>
            <w:r>
              <w:rPr>
                <w:rFonts w:hint="default" w:ascii="Times New Roman" w:hAnsi="Times New Roman" w:eastAsia="宋体" w:cs="Times New Roman"/>
                <w:b/>
                <w:bCs/>
                <w:color w:val="auto"/>
                <w:kern w:val="2"/>
                <w:sz w:val="24"/>
                <w:szCs w:val="24"/>
                <w:highlight w:val="none"/>
                <w:lang w:val="en-US" w:eastAsia="zh-CN" w:bidi="ar-SA"/>
              </w:rPr>
              <w:t>项目废气排放口一览表</w:t>
            </w:r>
          </w:p>
          <w:tbl>
            <w:tblPr>
              <w:tblStyle w:val="3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01"/>
              <w:gridCol w:w="653"/>
              <w:gridCol w:w="1278"/>
              <w:gridCol w:w="1011"/>
              <w:gridCol w:w="924"/>
              <w:gridCol w:w="478"/>
              <w:gridCol w:w="504"/>
              <w:gridCol w:w="1136"/>
              <w:gridCol w:w="631"/>
              <w:gridCol w:w="706"/>
              <w:gridCol w:w="667"/>
            </w:tblGrid>
            <w:tr w14:paraId="302A33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1" w:type="dxa"/>
                  <w:vMerge w:val="restart"/>
                  <w:noWrap w:val="0"/>
                  <w:vAlign w:val="center"/>
                </w:tcPr>
                <w:p w14:paraId="4D348914">
                  <w:pPr>
                    <w:keepNext w:val="0"/>
                    <w:keepLines w:val="0"/>
                    <w:pageBreakBefore w:val="0"/>
                    <w:widowControl w:val="0"/>
                    <w:shd w:val="clear"/>
                    <w:kinsoku/>
                    <w:wordWrap/>
                    <w:overflowPunct/>
                    <w:topLinePunct w:val="0"/>
                    <w:autoSpaceDE/>
                    <w:autoSpaceDN/>
                    <w:bidi w:val="0"/>
                    <w:spacing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b/>
                      <w:color w:val="auto"/>
                      <w:sz w:val="21"/>
                      <w:szCs w:val="21"/>
                      <w:highlight w:val="none"/>
                    </w:rPr>
                    <w:t>排放口编号</w:t>
                  </w:r>
                </w:p>
              </w:tc>
              <w:tc>
                <w:tcPr>
                  <w:tcW w:w="653" w:type="dxa"/>
                  <w:vMerge w:val="restart"/>
                  <w:noWrap w:val="0"/>
                  <w:vAlign w:val="center"/>
                </w:tcPr>
                <w:p w14:paraId="1DE9F2DC">
                  <w:pPr>
                    <w:keepNext w:val="0"/>
                    <w:keepLines w:val="0"/>
                    <w:pageBreakBefore w:val="0"/>
                    <w:widowControl w:val="0"/>
                    <w:shd w:val="clear"/>
                    <w:kinsoku/>
                    <w:wordWrap/>
                    <w:overflowPunct/>
                    <w:topLinePunct w:val="0"/>
                    <w:autoSpaceDE/>
                    <w:autoSpaceDN/>
                    <w:bidi w:val="0"/>
                    <w:spacing w:line="240" w:lineRule="auto"/>
                    <w:jc w:val="center"/>
                    <w:textAlignment w:val="auto"/>
                    <w:rPr>
                      <w:rFonts w:hint="default" w:ascii="Times New Roman" w:hAnsi="Times New Roman" w:eastAsia="宋体" w:cs="Times New Roman"/>
                      <w:b/>
                      <w:color w:val="auto"/>
                      <w:sz w:val="21"/>
                      <w:szCs w:val="21"/>
                      <w:highlight w:val="none"/>
                      <w:lang w:val="en-US" w:eastAsia="zh-CN"/>
                    </w:rPr>
                  </w:pPr>
                  <w:r>
                    <w:rPr>
                      <w:rFonts w:hint="default" w:ascii="Times New Roman" w:hAnsi="Times New Roman" w:eastAsia="宋体" w:cs="Times New Roman"/>
                      <w:b/>
                      <w:color w:val="auto"/>
                      <w:sz w:val="21"/>
                      <w:szCs w:val="21"/>
                      <w:highlight w:val="none"/>
                    </w:rPr>
                    <w:t>废气类型</w:t>
                  </w:r>
                </w:p>
              </w:tc>
              <w:tc>
                <w:tcPr>
                  <w:tcW w:w="1278" w:type="dxa"/>
                  <w:vMerge w:val="restart"/>
                  <w:noWrap w:val="0"/>
                  <w:vAlign w:val="center"/>
                </w:tcPr>
                <w:p w14:paraId="6BD0AFFE">
                  <w:pPr>
                    <w:keepNext w:val="0"/>
                    <w:keepLines w:val="0"/>
                    <w:pageBreakBefore w:val="0"/>
                    <w:widowControl w:val="0"/>
                    <w:shd w:val="clear"/>
                    <w:kinsoku/>
                    <w:wordWrap/>
                    <w:overflowPunct/>
                    <w:topLinePunct w:val="0"/>
                    <w:autoSpaceDE/>
                    <w:autoSpaceDN/>
                    <w:bidi w:val="0"/>
                    <w:spacing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b/>
                      <w:color w:val="auto"/>
                      <w:sz w:val="21"/>
                      <w:szCs w:val="21"/>
                      <w:highlight w:val="none"/>
                    </w:rPr>
                    <w:t>污染物种类</w:t>
                  </w:r>
                </w:p>
              </w:tc>
              <w:tc>
                <w:tcPr>
                  <w:tcW w:w="1935" w:type="dxa"/>
                  <w:gridSpan w:val="2"/>
                  <w:noWrap w:val="0"/>
                  <w:vAlign w:val="top"/>
                </w:tcPr>
                <w:p w14:paraId="10AD06DD">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b/>
                      <w:color w:val="auto"/>
                      <w:sz w:val="21"/>
                      <w:szCs w:val="21"/>
                      <w:highlight w:val="none"/>
                    </w:rPr>
                    <w:t>排放口地理坐标</w:t>
                  </w:r>
                </w:p>
              </w:tc>
              <w:tc>
                <w:tcPr>
                  <w:tcW w:w="478" w:type="dxa"/>
                  <w:vMerge w:val="restart"/>
                  <w:noWrap w:val="0"/>
                  <w:vAlign w:val="center"/>
                </w:tcPr>
                <w:p w14:paraId="676975AF">
                  <w:pPr>
                    <w:keepNext w:val="0"/>
                    <w:keepLines w:val="0"/>
                    <w:pageBreakBefore w:val="0"/>
                    <w:widowControl w:val="0"/>
                    <w:shd w:val="clear"/>
                    <w:kinsoku/>
                    <w:wordWrap/>
                    <w:overflowPunct/>
                    <w:topLinePunct w:val="0"/>
                    <w:autoSpaceDE/>
                    <w:autoSpaceDN/>
                    <w:bidi w:val="0"/>
                    <w:spacing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b/>
                      <w:color w:val="auto"/>
                      <w:sz w:val="21"/>
                      <w:szCs w:val="21"/>
                      <w:highlight w:val="none"/>
                    </w:rPr>
                    <w:t>治理措施</w:t>
                  </w:r>
                </w:p>
              </w:tc>
              <w:tc>
                <w:tcPr>
                  <w:tcW w:w="504" w:type="dxa"/>
                  <w:vMerge w:val="restart"/>
                  <w:noWrap w:val="0"/>
                  <w:vAlign w:val="center"/>
                </w:tcPr>
                <w:p w14:paraId="637FF041">
                  <w:pPr>
                    <w:keepNext w:val="0"/>
                    <w:keepLines w:val="0"/>
                    <w:pageBreakBefore w:val="0"/>
                    <w:widowControl w:val="0"/>
                    <w:shd w:val="clear"/>
                    <w:kinsoku/>
                    <w:wordWrap/>
                    <w:overflowPunct/>
                    <w:topLinePunct w:val="0"/>
                    <w:autoSpaceDE/>
                    <w:autoSpaceDN/>
                    <w:bidi w:val="0"/>
                    <w:spacing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b/>
                      <w:color w:val="auto"/>
                      <w:sz w:val="21"/>
                      <w:szCs w:val="21"/>
                      <w:highlight w:val="none"/>
                    </w:rPr>
                    <w:t>是否为可行技术</w:t>
                  </w:r>
                </w:p>
              </w:tc>
              <w:tc>
                <w:tcPr>
                  <w:tcW w:w="1136" w:type="dxa"/>
                  <w:vMerge w:val="restart"/>
                  <w:noWrap w:val="0"/>
                  <w:vAlign w:val="center"/>
                </w:tcPr>
                <w:p w14:paraId="4F03472B">
                  <w:pPr>
                    <w:keepNext w:val="0"/>
                    <w:keepLines w:val="0"/>
                    <w:pageBreakBefore w:val="0"/>
                    <w:widowControl w:val="0"/>
                    <w:shd w:val="clear"/>
                    <w:kinsoku/>
                    <w:wordWrap/>
                    <w:overflowPunct/>
                    <w:topLinePunct w:val="0"/>
                    <w:autoSpaceDE/>
                    <w:autoSpaceDN/>
                    <w:bidi w:val="0"/>
                    <w:spacing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b/>
                      <w:color w:val="auto"/>
                      <w:sz w:val="21"/>
                      <w:szCs w:val="21"/>
                      <w:highlight w:val="none"/>
                    </w:rPr>
                    <w:t>排气量</w:t>
                  </w:r>
                </w:p>
              </w:tc>
              <w:tc>
                <w:tcPr>
                  <w:tcW w:w="631" w:type="dxa"/>
                  <w:vMerge w:val="restart"/>
                  <w:noWrap w:val="0"/>
                  <w:vAlign w:val="center"/>
                </w:tcPr>
                <w:p w14:paraId="75986C8F">
                  <w:pPr>
                    <w:keepNext w:val="0"/>
                    <w:keepLines w:val="0"/>
                    <w:pageBreakBefore w:val="0"/>
                    <w:widowControl w:val="0"/>
                    <w:shd w:val="clear"/>
                    <w:kinsoku/>
                    <w:wordWrap/>
                    <w:overflowPunct/>
                    <w:topLinePunct w:val="0"/>
                    <w:autoSpaceDE/>
                    <w:autoSpaceDN/>
                    <w:bidi w:val="0"/>
                    <w:spacing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b/>
                      <w:color w:val="auto"/>
                      <w:sz w:val="21"/>
                      <w:szCs w:val="21"/>
                      <w:highlight w:val="none"/>
                    </w:rPr>
                    <w:t>排气筒高度</w:t>
                  </w:r>
                </w:p>
              </w:tc>
              <w:tc>
                <w:tcPr>
                  <w:tcW w:w="706" w:type="dxa"/>
                  <w:vMerge w:val="restart"/>
                  <w:noWrap w:val="0"/>
                  <w:vAlign w:val="center"/>
                </w:tcPr>
                <w:p w14:paraId="177F34B9">
                  <w:pPr>
                    <w:keepNext w:val="0"/>
                    <w:keepLines w:val="0"/>
                    <w:pageBreakBefore w:val="0"/>
                    <w:widowControl w:val="0"/>
                    <w:shd w:val="clear"/>
                    <w:kinsoku/>
                    <w:wordWrap/>
                    <w:overflowPunct/>
                    <w:topLinePunct w:val="0"/>
                    <w:autoSpaceDE/>
                    <w:autoSpaceDN/>
                    <w:bidi w:val="0"/>
                    <w:spacing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b/>
                      <w:color w:val="auto"/>
                      <w:sz w:val="21"/>
                      <w:szCs w:val="21"/>
                      <w:highlight w:val="none"/>
                    </w:rPr>
                    <w:t>排气筒出口内径</w:t>
                  </w:r>
                </w:p>
              </w:tc>
              <w:tc>
                <w:tcPr>
                  <w:tcW w:w="667" w:type="dxa"/>
                  <w:vMerge w:val="restart"/>
                  <w:noWrap w:val="0"/>
                  <w:vAlign w:val="center"/>
                </w:tcPr>
                <w:p w14:paraId="409FF30F">
                  <w:pPr>
                    <w:keepNext w:val="0"/>
                    <w:keepLines w:val="0"/>
                    <w:pageBreakBefore w:val="0"/>
                    <w:widowControl w:val="0"/>
                    <w:shd w:val="clear"/>
                    <w:kinsoku/>
                    <w:wordWrap/>
                    <w:overflowPunct/>
                    <w:topLinePunct w:val="0"/>
                    <w:autoSpaceDE/>
                    <w:autoSpaceDN/>
                    <w:bidi w:val="0"/>
                    <w:spacing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b/>
                      <w:color w:val="auto"/>
                      <w:sz w:val="21"/>
                      <w:szCs w:val="21"/>
                      <w:highlight w:val="none"/>
                    </w:rPr>
                    <w:t>排气温度</w:t>
                  </w:r>
                </w:p>
              </w:tc>
            </w:tr>
            <w:tr w14:paraId="2B8A36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1" w:type="dxa"/>
                  <w:vMerge w:val="continue"/>
                  <w:noWrap w:val="0"/>
                  <w:vAlign w:val="top"/>
                </w:tcPr>
                <w:p w14:paraId="14CCFF64">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p>
              </w:tc>
              <w:tc>
                <w:tcPr>
                  <w:tcW w:w="653" w:type="dxa"/>
                  <w:vMerge w:val="continue"/>
                  <w:noWrap w:val="0"/>
                  <w:vAlign w:val="top"/>
                </w:tcPr>
                <w:p w14:paraId="649EFB0E">
                  <w:pPr>
                    <w:keepNext w:val="0"/>
                    <w:keepLines w:val="0"/>
                    <w:pageBreakBefore w:val="0"/>
                    <w:widowControl w:val="0"/>
                    <w:shd w:val="clear"/>
                    <w:kinsoku/>
                    <w:wordWrap/>
                    <w:overflowPunct/>
                    <w:topLinePunct w:val="0"/>
                    <w:autoSpaceDE/>
                    <w:autoSpaceDN/>
                    <w:bidi w:val="0"/>
                    <w:spacing w:line="240" w:lineRule="auto"/>
                    <w:jc w:val="center"/>
                    <w:textAlignment w:val="auto"/>
                    <w:rPr>
                      <w:rFonts w:hint="default" w:ascii="Times New Roman" w:hAnsi="Times New Roman" w:eastAsia="宋体" w:cs="Times New Roman"/>
                      <w:b/>
                      <w:color w:val="auto"/>
                      <w:sz w:val="21"/>
                      <w:szCs w:val="21"/>
                      <w:highlight w:val="none"/>
                      <w:lang w:val="en-US" w:eastAsia="zh-CN"/>
                    </w:rPr>
                  </w:pPr>
                </w:p>
              </w:tc>
              <w:tc>
                <w:tcPr>
                  <w:tcW w:w="1278" w:type="dxa"/>
                  <w:vMerge w:val="continue"/>
                  <w:noWrap w:val="0"/>
                  <w:vAlign w:val="top"/>
                </w:tcPr>
                <w:p w14:paraId="7671C9AE">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p>
              </w:tc>
              <w:tc>
                <w:tcPr>
                  <w:tcW w:w="1011" w:type="dxa"/>
                  <w:noWrap w:val="0"/>
                  <w:vAlign w:val="center"/>
                </w:tcPr>
                <w:p w14:paraId="04309BDF">
                  <w:pPr>
                    <w:keepNext w:val="0"/>
                    <w:keepLines w:val="0"/>
                    <w:pageBreakBefore w:val="0"/>
                    <w:widowControl w:val="0"/>
                    <w:shd w:val="clear"/>
                    <w:kinsoku/>
                    <w:wordWrap/>
                    <w:overflowPunct/>
                    <w:topLinePunct w:val="0"/>
                    <w:autoSpaceDE/>
                    <w:autoSpaceDN/>
                    <w:bidi w:val="0"/>
                    <w:spacing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b/>
                      <w:color w:val="auto"/>
                      <w:sz w:val="21"/>
                      <w:szCs w:val="21"/>
                      <w:highlight w:val="none"/>
                    </w:rPr>
                    <w:t>经度</w:t>
                  </w:r>
                </w:p>
              </w:tc>
              <w:tc>
                <w:tcPr>
                  <w:tcW w:w="924" w:type="dxa"/>
                  <w:noWrap w:val="0"/>
                  <w:vAlign w:val="center"/>
                </w:tcPr>
                <w:p w14:paraId="204C01D5">
                  <w:pPr>
                    <w:keepNext w:val="0"/>
                    <w:keepLines w:val="0"/>
                    <w:pageBreakBefore w:val="0"/>
                    <w:widowControl w:val="0"/>
                    <w:shd w:val="clear"/>
                    <w:kinsoku/>
                    <w:wordWrap/>
                    <w:overflowPunct/>
                    <w:topLinePunct w:val="0"/>
                    <w:autoSpaceDE/>
                    <w:autoSpaceDN/>
                    <w:bidi w:val="0"/>
                    <w:spacing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b/>
                      <w:color w:val="auto"/>
                      <w:sz w:val="21"/>
                      <w:szCs w:val="21"/>
                      <w:highlight w:val="none"/>
                    </w:rPr>
                    <w:t>纬度</w:t>
                  </w:r>
                </w:p>
              </w:tc>
              <w:tc>
                <w:tcPr>
                  <w:tcW w:w="478" w:type="dxa"/>
                  <w:vMerge w:val="continue"/>
                  <w:noWrap w:val="0"/>
                  <w:vAlign w:val="top"/>
                </w:tcPr>
                <w:p w14:paraId="1FB16F38">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p>
              </w:tc>
              <w:tc>
                <w:tcPr>
                  <w:tcW w:w="504" w:type="dxa"/>
                  <w:vMerge w:val="continue"/>
                  <w:noWrap w:val="0"/>
                  <w:vAlign w:val="top"/>
                </w:tcPr>
                <w:p w14:paraId="51160DEF">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p>
              </w:tc>
              <w:tc>
                <w:tcPr>
                  <w:tcW w:w="1136" w:type="dxa"/>
                  <w:vMerge w:val="continue"/>
                  <w:noWrap w:val="0"/>
                  <w:vAlign w:val="top"/>
                </w:tcPr>
                <w:p w14:paraId="7F0BCD4E">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p>
              </w:tc>
              <w:tc>
                <w:tcPr>
                  <w:tcW w:w="631" w:type="dxa"/>
                  <w:vMerge w:val="continue"/>
                  <w:noWrap w:val="0"/>
                  <w:vAlign w:val="top"/>
                </w:tcPr>
                <w:p w14:paraId="6180830B">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p>
              </w:tc>
              <w:tc>
                <w:tcPr>
                  <w:tcW w:w="706" w:type="dxa"/>
                  <w:vMerge w:val="continue"/>
                  <w:noWrap w:val="0"/>
                  <w:vAlign w:val="top"/>
                </w:tcPr>
                <w:p w14:paraId="5D2E26BA">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p>
              </w:tc>
              <w:tc>
                <w:tcPr>
                  <w:tcW w:w="667" w:type="dxa"/>
                  <w:vMerge w:val="continue"/>
                  <w:noWrap w:val="0"/>
                  <w:vAlign w:val="top"/>
                </w:tcPr>
                <w:p w14:paraId="3E11057A">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p>
              </w:tc>
            </w:tr>
            <w:tr w14:paraId="2742B1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58" w:hRule="atLeast"/>
                <w:jc w:val="center"/>
              </w:trPr>
              <w:tc>
                <w:tcPr>
                  <w:tcW w:w="501" w:type="dxa"/>
                  <w:noWrap w:val="0"/>
                  <w:vAlign w:val="center"/>
                </w:tcPr>
                <w:p w14:paraId="7659EAF3">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pacing w:val="-10"/>
                      <w:sz w:val="21"/>
                      <w:szCs w:val="21"/>
                      <w:highlight w:val="none"/>
                      <w:vertAlign w:val="baseline"/>
                      <w:lang w:val="en-US" w:eastAsia="zh-CN"/>
                    </w:rPr>
                  </w:pPr>
                  <w:r>
                    <w:rPr>
                      <w:rFonts w:hint="default" w:ascii="Times New Roman" w:hAnsi="Times New Roman" w:eastAsia="宋体" w:cs="Times New Roman"/>
                      <w:b w:val="0"/>
                      <w:bCs/>
                      <w:color w:val="auto"/>
                      <w:spacing w:val="-10"/>
                      <w:sz w:val="21"/>
                      <w:szCs w:val="21"/>
                      <w:highlight w:val="none"/>
                      <w:vertAlign w:val="baseline"/>
                      <w:lang w:val="en-US" w:eastAsia="zh-CN"/>
                    </w:rPr>
                    <w:t>G1</w:t>
                  </w:r>
                </w:p>
              </w:tc>
              <w:tc>
                <w:tcPr>
                  <w:tcW w:w="653" w:type="dxa"/>
                  <w:noWrap w:val="0"/>
                  <w:vAlign w:val="center"/>
                </w:tcPr>
                <w:p w14:paraId="1EF2EDDC">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pacing w:val="-10"/>
                      <w:sz w:val="21"/>
                      <w:szCs w:val="21"/>
                      <w:highlight w:val="none"/>
                      <w:vertAlign w:val="baseline"/>
                      <w:lang w:val="en-US" w:eastAsia="zh-CN"/>
                    </w:rPr>
                  </w:pPr>
                  <w:r>
                    <w:rPr>
                      <w:rFonts w:hint="eastAsia" w:cs="Times New Roman"/>
                      <w:b w:val="0"/>
                      <w:bCs/>
                      <w:color w:val="auto"/>
                      <w:spacing w:val="-10"/>
                      <w:sz w:val="21"/>
                      <w:szCs w:val="21"/>
                      <w:highlight w:val="none"/>
                      <w:vertAlign w:val="baseline"/>
                      <w:lang w:val="en-US" w:eastAsia="zh-CN"/>
                    </w:rPr>
                    <w:t>酸雾</w:t>
                  </w:r>
                  <w:r>
                    <w:rPr>
                      <w:rFonts w:hint="default" w:ascii="Times New Roman" w:hAnsi="Times New Roman" w:eastAsia="宋体" w:cs="Times New Roman"/>
                      <w:b w:val="0"/>
                      <w:bCs/>
                      <w:color w:val="auto"/>
                      <w:spacing w:val="-10"/>
                      <w:sz w:val="21"/>
                      <w:szCs w:val="21"/>
                      <w:highlight w:val="none"/>
                      <w:vertAlign w:val="baseline"/>
                      <w:lang w:val="en-US" w:eastAsia="zh-CN"/>
                    </w:rPr>
                    <w:t>废气</w:t>
                  </w:r>
                </w:p>
              </w:tc>
              <w:tc>
                <w:tcPr>
                  <w:tcW w:w="1278" w:type="dxa"/>
                  <w:noWrap w:val="0"/>
                  <w:vAlign w:val="center"/>
                </w:tcPr>
                <w:p w14:paraId="39BEA277">
                  <w:pPr>
                    <w:shd w:val="clear"/>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eastAsia" w:cs="Times New Roman"/>
                      <w:b w:val="0"/>
                      <w:bCs/>
                      <w:color w:val="auto"/>
                      <w:spacing w:val="-10"/>
                      <w:sz w:val="21"/>
                      <w:szCs w:val="21"/>
                      <w:highlight w:val="none"/>
                      <w:vertAlign w:val="baseline"/>
                      <w:lang w:val="en-US" w:eastAsia="zh-CN"/>
                    </w:rPr>
                    <w:t>硫酸雾、氯化氢、氮氧化物</w:t>
                  </w:r>
                </w:p>
              </w:tc>
              <w:tc>
                <w:tcPr>
                  <w:tcW w:w="1011" w:type="dxa"/>
                  <w:noWrap w:val="0"/>
                  <w:vAlign w:val="center"/>
                </w:tcPr>
                <w:p w14:paraId="32C3F1B3">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pacing w:val="-10"/>
                      <w:sz w:val="21"/>
                      <w:szCs w:val="21"/>
                      <w:highlight w:val="none"/>
                      <w:vertAlign w:val="baseline"/>
                      <w:lang w:val="en-US" w:eastAsia="zh-CN"/>
                    </w:rPr>
                  </w:pPr>
                  <w:r>
                    <w:rPr>
                      <w:rFonts w:hint="eastAsia" w:cs="Times New Roman"/>
                      <w:b w:val="0"/>
                      <w:bCs/>
                      <w:color w:val="auto"/>
                      <w:spacing w:val="-10"/>
                      <w:sz w:val="21"/>
                      <w:szCs w:val="21"/>
                      <w:highlight w:val="none"/>
                      <w:vertAlign w:val="baseline"/>
                      <w:lang w:val="en-US" w:eastAsia="zh-CN"/>
                    </w:rPr>
                    <w:t>113.44461</w:t>
                  </w:r>
                </w:p>
              </w:tc>
              <w:tc>
                <w:tcPr>
                  <w:tcW w:w="924" w:type="dxa"/>
                  <w:noWrap w:val="0"/>
                  <w:vAlign w:val="center"/>
                </w:tcPr>
                <w:p w14:paraId="003AB972">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pacing w:val="-10"/>
                      <w:sz w:val="21"/>
                      <w:szCs w:val="21"/>
                      <w:highlight w:val="none"/>
                      <w:vertAlign w:val="baseline"/>
                      <w:lang w:val="en-US" w:eastAsia="zh-CN"/>
                    </w:rPr>
                  </w:pPr>
                  <w:r>
                    <w:rPr>
                      <w:rFonts w:hint="eastAsia" w:cs="Times New Roman"/>
                      <w:b w:val="0"/>
                      <w:bCs/>
                      <w:color w:val="auto"/>
                      <w:spacing w:val="-10"/>
                      <w:sz w:val="21"/>
                      <w:szCs w:val="21"/>
                      <w:highlight w:val="none"/>
                      <w:vertAlign w:val="baseline"/>
                      <w:lang w:val="en-US" w:eastAsia="zh-CN"/>
                    </w:rPr>
                    <w:t>22.55642</w:t>
                  </w:r>
                </w:p>
              </w:tc>
              <w:tc>
                <w:tcPr>
                  <w:tcW w:w="478" w:type="dxa"/>
                  <w:noWrap w:val="0"/>
                  <w:vAlign w:val="center"/>
                </w:tcPr>
                <w:p w14:paraId="0311729C">
                  <w:pPr>
                    <w:pStyle w:val="82"/>
                    <w:numPr>
                      <w:ilvl w:val="0"/>
                      <w:numId w:val="0"/>
                    </w:numPr>
                    <w:shd w:val="clear"/>
                    <w:spacing w:line="240" w:lineRule="auto"/>
                    <w:ind w:left="0" w:leftChars="0" w:firstLine="0" w:firstLineChars="0"/>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eastAsia" w:cs="Times New Roman"/>
                      <w:b w:val="0"/>
                      <w:bCs/>
                      <w:color w:val="auto"/>
                      <w:spacing w:val="-10"/>
                      <w:sz w:val="21"/>
                      <w:szCs w:val="21"/>
                      <w:highlight w:val="none"/>
                      <w:vertAlign w:val="baseline"/>
                      <w:lang w:val="en-US" w:eastAsia="zh-CN"/>
                    </w:rPr>
                    <w:t>碱液喷淋塔</w:t>
                  </w:r>
                </w:p>
              </w:tc>
              <w:tc>
                <w:tcPr>
                  <w:tcW w:w="504" w:type="dxa"/>
                  <w:noWrap w:val="0"/>
                  <w:vAlign w:val="center"/>
                </w:tcPr>
                <w:p w14:paraId="541E2C96">
                  <w:pPr>
                    <w:shd w:val="clear"/>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是</w:t>
                  </w:r>
                </w:p>
              </w:tc>
              <w:tc>
                <w:tcPr>
                  <w:tcW w:w="1136" w:type="dxa"/>
                  <w:noWrap w:val="0"/>
                  <w:vAlign w:val="center"/>
                </w:tcPr>
                <w:p w14:paraId="76C72FA6">
                  <w:pPr>
                    <w:pStyle w:val="82"/>
                    <w:keepNext w:val="0"/>
                    <w:keepLines w:val="0"/>
                    <w:pageBreakBefore w:val="0"/>
                    <w:widowControl w:val="0"/>
                    <w:numPr>
                      <w:ilvl w:val="0"/>
                      <w:numId w:val="0"/>
                    </w:numPr>
                    <w:shd w:val="clear"/>
                    <w:kinsoku/>
                    <w:wordWrap/>
                    <w:overflowPunct/>
                    <w:topLinePunct/>
                    <w:autoSpaceDE w:val="0"/>
                    <w:autoSpaceDN w:val="0"/>
                    <w:bidi w:val="0"/>
                    <w:adjustRightInd/>
                    <w:snapToGrid/>
                    <w:spacing w:line="240" w:lineRule="auto"/>
                    <w:ind w:left="0" w:leftChars="0" w:firstLine="0" w:firstLineChars="0"/>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eastAsia" w:cs="Times New Roman"/>
                      <w:b w:val="0"/>
                      <w:color w:val="auto"/>
                      <w:sz w:val="21"/>
                      <w:szCs w:val="21"/>
                      <w:highlight w:val="none"/>
                      <w:lang w:val="en-US" w:eastAsia="zh-CN"/>
                    </w:rPr>
                    <w:t>14</w:t>
                  </w:r>
                  <w:r>
                    <w:rPr>
                      <w:rFonts w:hint="default" w:ascii="Times New Roman" w:hAnsi="Times New Roman" w:eastAsia="宋体" w:cs="Times New Roman"/>
                      <w:b w:val="0"/>
                      <w:color w:val="auto"/>
                      <w:sz w:val="21"/>
                      <w:szCs w:val="21"/>
                      <w:highlight w:val="none"/>
                      <w:lang w:val="en-US" w:eastAsia="zh-CN"/>
                    </w:rPr>
                    <w:t>000m</w:t>
                  </w:r>
                  <w:r>
                    <w:rPr>
                      <w:rFonts w:hint="default" w:ascii="Times New Roman" w:hAnsi="Times New Roman" w:eastAsia="宋体" w:cs="Times New Roman"/>
                      <w:b w:val="0"/>
                      <w:color w:val="auto"/>
                      <w:sz w:val="21"/>
                      <w:szCs w:val="21"/>
                      <w:highlight w:val="none"/>
                      <w:vertAlign w:val="superscript"/>
                      <w:lang w:val="en-US" w:eastAsia="zh-CN"/>
                    </w:rPr>
                    <w:t>3</w:t>
                  </w:r>
                  <w:r>
                    <w:rPr>
                      <w:rFonts w:hint="default" w:ascii="Times New Roman" w:hAnsi="Times New Roman" w:eastAsia="宋体" w:cs="Times New Roman"/>
                      <w:b w:val="0"/>
                      <w:color w:val="auto"/>
                      <w:sz w:val="21"/>
                      <w:szCs w:val="21"/>
                      <w:highlight w:val="none"/>
                      <w:vertAlign w:val="baseline"/>
                      <w:lang w:val="en-US" w:eastAsia="zh-CN"/>
                    </w:rPr>
                    <w:t>/h</w:t>
                  </w:r>
                </w:p>
              </w:tc>
              <w:tc>
                <w:tcPr>
                  <w:tcW w:w="631" w:type="dxa"/>
                  <w:noWrap w:val="0"/>
                  <w:vAlign w:val="center"/>
                </w:tcPr>
                <w:p w14:paraId="5BAB8F46">
                  <w:pPr>
                    <w:pStyle w:val="82"/>
                    <w:numPr>
                      <w:ilvl w:val="0"/>
                      <w:numId w:val="0"/>
                    </w:numPr>
                    <w:shd w:val="clear"/>
                    <w:spacing w:line="240" w:lineRule="auto"/>
                    <w:ind w:left="0" w:leftChars="0" w:firstLine="0" w:firstLineChars="0"/>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eastAsia" w:cs="Times New Roman"/>
                      <w:b w:val="0"/>
                      <w:color w:val="auto"/>
                      <w:sz w:val="21"/>
                      <w:szCs w:val="21"/>
                      <w:highlight w:val="none"/>
                      <w:lang w:val="en-US" w:eastAsia="zh-CN"/>
                    </w:rPr>
                    <w:t>43</w:t>
                  </w:r>
                  <w:r>
                    <w:rPr>
                      <w:rFonts w:hint="default" w:ascii="Times New Roman" w:hAnsi="Times New Roman" w:eastAsia="宋体" w:cs="Times New Roman"/>
                      <w:b w:val="0"/>
                      <w:color w:val="auto"/>
                      <w:sz w:val="21"/>
                      <w:szCs w:val="21"/>
                      <w:highlight w:val="none"/>
                    </w:rPr>
                    <w:t>m</w:t>
                  </w:r>
                </w:p>
              </w:tc>
              <w:tc>
                <w:tcPr>
                  <w:tcW w:w="706" w:type="dxa"/>
                  <w:noWrap w:val="0"/>
                  <w:vAlign w:val="center"/>
                </w:tcPr>
                <w:p w14:paraId="4CDFC047">
                  <w:pPr>
                    <w:pStyle w:val="82"/>
                    <w:numPr>
                      <w:ilvl w:val="0"/>
                      <w:numId w:val="0"/>
                    </w:numPr>
                    <w:shd w:val="clear"/>
                    <w:spacing w:line="240" w:lineRule="auto"/>
                    <w:ind w:left="0" w:leftChars="0" w:firstLine="0" w:firstLineChars="0"/>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rPr>
                    <w:t>0.</w:t>
                  </w:r>
                  <w:r>
                    <w:rPr>
                      <w:rFonts w:hint="eastAsia" w:cs="Times New Roman"/>
                      <w:b w:val="0"/>
                      <w:bCs/>
                      <w:color w:val="auto"/>
                      <w:sz w:val="21"/>
                      <w:szCs w:val="21"/>
                      <w:highlight w:val="none"/>
                      <w:lang w:val="en-US" w:eastAsia="zh-CN"/>
                    </w:rPr>
                    <w:t>6</w:t>
                  </w:r>
                  <w:r>
                    <w:rPr>
                      <w:rFonts w:hint="default" w:ascii="Times New Roman" w:hAnsi="Times New Roman" w:eastAsia="宋体" w:cs="Times New Roman"/>
                      <w:b w:val="0"/>
                      <w:bCs/>
                      <w:color w:val="auto"/>
                      <w:sz w:val="21"/>
                      <w:szCs w:val="21"/>
                      <w:highlight w:val="none"/>
                    </w:rPr>
                    <w:t>m</w:t>
                  </w:r>
                </w:p>
              </w:tc>
              <w:tc>
                <w:tcPr>
                  <w:tcW w:w="667" w:type="dxa"/>
                  <w:noWrap w:val="0"/>
                  <w:vAlign w:val="center"/>
                </w:tcPr>
                <w:p w14:paraId="72D7781F">
                  <w:pPr>
                    <w:pStyle w:val="82"/>
                    <w:numPr>
                      <w:ilvl w:val="0"/>
                      <w:numId w:val="0"/>
                    </w:numPr>
                    <w:shd w:val="clear"/>
                    <w:spacing w:line="240" w:lineRule="auto"/>
                    <w:ind w:left="0" w:leftChars="0" w:firstLine="0" w:firstLineChars="0"/>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eastAsia" w:cs="Times New Roman"/>
                      <w:b w:val="0"/>
                      <w:color w:val="auto"/>
                      <w:sz w:val="21"/>
                      <w:szCs w:val="21"/>
                      <w:highlight w:val="none"/>
                      <w:lang w:val="en-US" w:eastAsia="zh-CN"/>
                    </w:rPr>
                    <w:t>3</w:t>
                  </w:r>
                  <w:r>
                    <w:rPr>
                      <w:rFonts w:hint="default" w:ascii="Times New Roman" w:hAnsi="Times New Roman" w:eastAsia="宋体" w:cs="Times New Roman"/>
                      <w:b w:val="0"/>
                      <w:color w:val="auto"/>
                      <w:sz w:val="21"/>
                      <w:szCs w:val="21"/>
                      <w:highlight w:val="none"/>
                    </w:rPr>
                    <w:t>0℃</w:t>
                  </w:r>
                </w:p>
              </w:tc>
            </w:tr>
            <w:tr w14:paraId="7D48BD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58" w:hRule="atLeast"/>
                <w:jc w:val="center"/>
              </w:trPr>
              <w:tc>
                <w:tcPr>
                  <w:tcW w:w="501" w:type="dxa"/>
                  <w:noWrap w:val="0"/>
                  <w:vAlign w:val="center"/>
                </w:tcPr>
                <w:p w14:paraId="70D63241">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pacing w:val="-10"/>
                      <w:sz w:val="21"/>
                      <w:szCs w:val="21"/>
                      <w:highlight w:val="none"/>
                      <w:vertAlign w:val="baseline"/>
                      <w:lang w:val="en-US" w:eastAsia="zh-CN"/>
                    </w:rPr>
                  </w:pPr>
                  <w:r>
                    <w:rPr>
                      <w:rFonts w:hint="default" w:ascii="Times New Roman" w:hAnsi="Times New Roman" w:eastAsia="宋体" w:cs="Times New Roman"/>
                      <w:b w:val="0"/>
                      <w:bCs/>
                      <w:color w:val="auto"/>
                      <w:spacing w:val="-10"/>
                      <w:sz w:val="21"/>
                      <w:szCs w:val="21"/>
                      <w:highlight w:val="none"/>
                      <w:vertAlign w:val="baseline"/>
                      <w:lang w:val="en-US" w:eastAsia="zh-CN"/>
                    </w:rPr>
                    <w:t>G2</w:t>
                  </w:r>
                </w:p>
              </w:tc>
              <w:tc>
                <w:tcPr>
                  <w:tcW w:w="653" w:type="dxa"/>
                  <w:noWrap w:val="0"/>
                  <w:vAlign w:val="center"/>
                </w:tcPr>
                <w:p w14:paraId="6B4372E0">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pacing w:val="-10"/>
                      <w:sz w:val="21"/>
                      <w:szCs w:val="21"/>
                      <w:highlight w:val="none"/>
                      <w:vertAlign w:val="baseline"/>
                      <w:lang w:val="en-US" w:eastAsia="zh-CN"/>
                    </w:rPr>
                  </w:pPr>
                  <w:r>
                    <w:rPr>
                      <w:rFonts w:hint="eastAsia" w:cs="Times New Roman"/>
                      <w:b w:val="0"/>
                      <w:bCs/>
                      <w:color w:val="auto"/>
                      <w:spacing w:val="-10"/>
                      <w:sz w:val="21"/>
                      <w:szCs w:val="21"/>
                      <w:highlight w:val="none"/>
                      <w:vertAlign w:val="baseline"/>
                      <w:lang w:val="en-US" w:eastAsia="zh-CN"/>
                    </w:rPr>
                    <w:t>有机</w:t>
                  </w:r>
                  <w:r>
                    <w:rPr>
                      <w:rFonts w:hint="default" w:ascii="Times New Roman" w:hAnsi="Times New Roman" w:eastAsia="宋体" w:cs="Times New Roman"/>
                      <w:b w:val="0"/>
                      <w:bCs/>
                      <w:color w:val="auto"/>
                      <w:spacing w:val="-10"/>
                      <w:sz w:val="21"/>
                      <w:szCs w:val="21"/>
                      <w:highlight w:val="none"/>
                      <w:vertAlign w:val="baseline"/>
                      <w:lang w:val="en-US" w:eastAsia="zh-CN"/>
                    </w:rPr>
                    <w:t>废气</w:t>
                  </w:r>
                  <w:r>
                    <w:rPr>
                      <w:rFonts w:hint="eastAsia" w:cs="Times New Roman"/>
                      <w:b w:val="0"/>
                      <w:bCs/>
                      <w:color w:val="auto"/>
                      <w:spacing w:val="-10"/>
                      <w:sz w:val="21"/>
                      <w:szCs w:val="21"/>
                      <w:highlight w:val="none"/>
                      <w:vertAlign w:val="baseline"/>
                      <w:lang w:val="en-US" w:eastAsia="zh-CN"/>
                    </w:rPr>
                    <w:t>、粉尘废气</w:t>
                  </w:r>
                </w:p>
              </w:tc>
              <w:tc>
                <w:tcPr>
                  <w:tcW w:w="1278" w:type="dxa"/>
                  <w:noWrap w:val="0"/>
                  <w:vAlign w:val="center"/>
                </w:tcPr>
                <w:p w14:paraId="0FE0B9B8">
                  <w:pPr>
                    <w:shd w:val="clea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非甲烷总烃</w:t>
                  </w:r>
                  <w:r>
                    <w:rPr>
                      <w:rFonts w:hint="eastAsia" w:cs="Times New Roman"/>
                      <w:color w:val="auto"/>
                      <w:sz w:val="21"/>
                      <w:szCs w:val="21"/>
                      <w:highlight w:val="none"/>
                      <w:lang w:val="en-US" w:eastAsia="zh-CN"/>
                    </w:rPr>
                    <w:t>(TVOC)</w:t>
                  </w:r>
                  <w:r>
                    <w:rPr>
                      <w:rFonts w:hint="default"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苯系物(</w:t>
                  </w:r>
                  <w:r>
                    <w:rPr>
                      <w:rFonts w:hint="default" w:ascii="Times New Roman" w:hAnsi="Times New Roman" w:eastAsia="宋体" w:cs="Times New Roman"/>
                      <w:color w:val="auto"/>
                      <w:sz w:val="21"/>
                      <w:szCs w:val="21"/>
                      <w:highlight w:val="none"/>
                      <w:lang w:val="en-US" w:eastAsia="zh-CN"/>
                    </w:rPr>
                    <w:t>甲苯</w:t>
                  </w:r>
                  <w:r>
                    <w:rPr>
                      <w:rFonts w:hint="eastAsia"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甲醇、颗粒物</w:t>
                  </w:r>
                  <w:r>
                    <w:rPr>
                      <w:rFonts w:hint="default" w:ascii="Times New Roman" w:hAnsi="Times New Roman" w:eastAsia="宋体" w:cs="Times New Roman"/>
                      <w:color w:val="auto"/>
                      <w:sz w:val="21"/>
                      <w:szCs w:val="21"/>
                      <w:highlight w:val="none"/>
                      <w:lang w:val="en-US" w:eastAsia="zh-CN"/>
                    </w:rPr>
                    <w:t>、氨及臭气浓度</w:t>
                  </w:r>
                </w:p>
              </w:tc>
              <w:tc>
                <w:tcPr>
                  <w:tcW w:w="1011" w:type="dxa"/>
                  <w:noWrap w:val="0"/>
                  <w:vAlign w:val="center"/>
                </w:tcPr>
                <w:p w14:paraId="61E6C393">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pacing w:val="-10"/>
                      <w:sz w:val="21"/>
                      <w:szCs w:val="21"/>
                      <w:highlight w:val="none"/>
                      <w:vertAlign w:val="baseline"/>
                      <w:lang w:val="en-US" w:eastAsia="zh-CN"/>
                    </w:rPr>
                  </w:pPr>
                  <w:r>
                    <w:rPr>
                      <w:rFonts w:hint="eastAsia" w:cs="Times New Roman"/>
                      <w:b w:val="0"/>
                      <w:bCs/>
                      <w:color w:val="auto"/>
                      <w:spacing w:val="-10"/>
                      <w:sz w:val="21"/>
                      <w:szCs w:val="21"/>
                      <w:highlight w:val="none"/>
                      <w:vertAlign w:val="baseline"/>
                      <w:lang w:val="en-US" w:eastAsia="zh-CN"/>
                    </w:rPr>
                    <w:t>113.44455</w:t>
                  </w:r>
                </w:p>
              </w:tc>
              <w:tc>
                <w:tcPr>
                  <w:tcW w:w="924" w:type="dxa"/>
                  <w:noWrap w:val="0"/>
                  <w:vAlign w:val="center"/>
                </w:tcPr>
                <w:p w14:paraId="0FEA14C9">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pacing w:val="-10"/>
                      <w:sz w:val="21"/>
                      <w:szCs w:val="21"/>
                      <w:highlight w:val="none"/>
                      <w:vertAlign w:val="baseline"/>
                      <w:lang w:val="en-US" w:eastAsia="zh-CN"/>
                    </w:rPr>
                  </w:pPr>
                  <w:r>
                    <w:rPr>
                      <w:rFonts w:hint="eastAsia" w:cs="Times New Roman"/>
                      <w:b w:val="0"/>
                      <w:bCs/>
                      <w:color w:val="auto"/>
                      <w:spacing w:val="-10"/>
                      <w:sz w:val="21"/>
                      <w:szCs w:val="21"/>
                      <w:highlight w:val="none"/>
                      <w:vertAlign w:val="baseline"/>
                      <w:lang w:val="en-US" w:eastAsia="zh-CN"/>
                    </w:rPr>
                    <w:t>22.55645</w:t>
                  </w:r>
                </w:p>
              </w:tc>
              <w:tc>
                <w:tcPr>
                  <w:tcW w:w="478" w:type="dxa"/>
                  <w:noWrap w:val="0"/>
                  <w:vAlign w:val="center"/>
                </w:tcPr>
                <w:p w14:paraId="483C091D">
                  <w:pPr>
                    <w:pStyle w:val="82"/>
                    <w:numPr>
                      <w:ilvl w:val="0"/>
                      <w:numId w:val="0"/>
                    </w:numPr>
                    <w:shd w:val="clear"/>
                    <w:spacing w:line="240" w:lineRule="auto"/>
                    <w:ind w:left="0" w:leftChars="0" w:firstLine="0" w:firstLineChars="0"/>
                    <w:jc w:val="center"/>
                    <w:rPr>
                      <w:rFonts w:hint="default" w:ascii="Times New Roman" w:hAnsi="Times New Roman" w:eastAsia="宋体" w:cs="Times New Roman"/>
                      <w:b w:val="0"/>
                      <w:color w:val="auto"/>
                      <w:sz w:val="21"/>
                      <w:szCs w:val="21"/>
                      <w:highlight w:val="none"/>
                      <w:lang w:val="en-US" w:eastAsia="zh-CN"/>
                    </w:rPr>
                  </w:pPr>
                  <w:r>
                    <w:rPr>
                      <w:rFonts w:hint="eastAsia" w:cs="Times New Roman"/>
                      <w:b w:val="0"/>
                      <w:color w:val="auto"/>
                      <w:sz w:val="21"/>
                      <w:szCs w:val="21"/>
                      <w:highlight w:val="none"/>
                      <w:lang w:val="en-US" w:eastAsia="zh-CN"/>
                    </w:rPr>
                    <w:t>单</w:t>
                  </w:r>
                  <w:r>
                    <w:rPr>
                      <w:rFonts w:hint="default" w:ascii="Times New Roman" w:hAnsi="Times New Roman" w:eastAsia="宋体" w:cs="Times New Roman"/>
                      <w:b w:val="0"/>
                      <w:color w:val="auto"/>
                      <w:sz w:val="21"/>
                      <w:szCs w:val="21"/>
                      <w:highlight w:val="none"/>
                      <w:lang w:val="en-US" w:eastAsia="zh-CN"/>
                    </w:rPr>
                    <w:t>级活性炭</w:t>
                  </w:r>
                </w:p>
              </w:tc>
              <w:tc>
                <w:tcPr>
                  <w:tcW w:w="504" w:type="dxa"/>
                  <w:noWrap w:val="0"/>
                  <w:vAlign w:val="center"/>
                </w:tcPr>
                <w:p w14:paraId="0742287C">
                  <w:pPr>
                    <w:shd w:val="clea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是</w:t>
                  </w:r>
                </w:p>
              </w:tc>
              <w:tc>
                <w:tcPr>
                  <w:tcW w:w="1136" w:type="dxa"/>
                  <w:noWrap w:val="0"/>
                  <w:vAlign w:val="center"/>
                </w:tcPr>
                <w:p w14:paraId="70A1F2C5">
                  <w:pPr>
                    <w:pStyle w:val="82"/>
                    <w:keepNext w:val="0"/>
                    <w:keepLines w:val="0"/>
                    <w:pageBreakBefore w:val="0"/>
                    <w:widowControl w:val="0"/>
                    <w:numPr>
                      <w:ilvl w:val="0"/>
                      <w:numId w:val="0"/>
                    </w:numPr>
                    <w:shd w:val="clear"/>
                    <w:kinsoku/>
                    <w:wordWrap/>
                    <w:overflowPunct/>
                    <w:topLinePunct/>
                    <w:autoSpaceDE w:val="0"/>
                    <w:autoSpaceDN w:val="0"/>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color w:val="auto"/>
                      <w:sz w:val="21"/>
                      <w:szCs w:val="21"/>
                      <w:highlight w:val="none"/>
                      <w:lang w:val="en-US" w:eastAsia="zh-CN"/>
                    </w:rPr>
                  </w:pPr>
                  <w:r>
                    <w:rPr>
                      <w:rFonts w:hint="eastAsia" w:cs="Times New Roman"/>
                      <w:b w:val="0"/>
                      <w:color w:val="auto"/>
                      <w:sz w:val="21"/>
                      <w:szCs w:val="21"/>
                      <w:highlight w:val="none"/>
                      <w:lang w:val="en-US" w:eastAsia="zh-CN"/>
                    </w:rPr>
                    <w:t>13</w:t>
                  </w:r>
                  <w:r>
                    <w:rPr>
                      <w:rFonts w:hint="default" w:ascii="Times New Roman" w:hAnsi="Times New Roman" w:eastAsia="宋体" w:cs="Times New Roman"/>
                      <w:b w:val="0"/>
                      <w:color w:val="auto"/>
                      <w:sz w:val="21"/>
                      <w:szCs w:val="21"/>
                      <w:highlight w:val="none"/>
                      <w:lang w:val="en-US" w:eastAsia="zh-CN"/>
                    </w:rPr>
                    <w:t>000m</w:t>
                  </w:r>
                  <w:r>
                    <w:rPr>
                      <w:rFonts w:hint="default" w:ascii="Times New Roman" w:hAnsi="Times New Roman" w:eastAsia="宋体" w:cs="Times New Roman"/>
                      <w:b w:val="0"/>
                      <w:color w:val="auto"/>
                      <w:sz w:val="21"/>
                      <w:szCs w:val="21"/>
                      <w:highlight w:val="none"/>
                      <w:vertAlign w:val="superscript"/>
                      <w:lang w:val="en-US" w:eastAsia="zh-CN"/>
                    </w:rPr>
                    <w:t>3</w:t>
                  </w:r>
                  <w:r>
                    <w:rPr>
                      <w:rFonts w:hint="default" w:ascii="Times New Roman" w:hAnsi="Times New Roman" w:eastAsia="宋体" w:cs="Times New Roman"/>
                      <w:b w:val="0"/>
                      <w:color w:val="auto"/>
                      <w:sz w:val="21"/>
                      <w:szCs w:val="21"/>
                      <w:highlight w:val="none"/>
                      <w:vertAlign w:val="baseline"/>
                      <w:lang w:val="en-US" w:eastAsia="zh-CN"/>
                    </w:rPr>
                    <w:t>/h</w:t>
                  </w:r>
                </w:p>
              </w:tc>
              <w:tc>
                <w:tcPr>
                  <w:tcW w:w="631" w:type="dxa"/>
                  <w:noWrap w:val="0"/>
                  <w:vAlign w:val="center"/>
                </w:tcPr>
                <w:p w14:paraId="0B3EB659">
                  <w:pPr>
                    <w:pStyle w:val="82"/>
                    <w:numPr>
                      <w:ilvl w:val="0"/>
                      <w:numId w:val="0"/>
                    </w:numPr>
                    <w:shd w:val="clear"/>
                    <w:spacing w:line="240" w:lineRule="auto"/>
                    <w:ind w:left="0" w:leftChars="0" w:firstLine="0" w:firstLineChars="0"/>
                    <w:jc w:val="center"/>
                    <w:rPr>
                      <w:rFonts w:hint="default" w:ascii="Times New Roman" w:hAnsi="Times New Roman" w:eastAsia="宋体" w:cs="Times New Roman"/>
                      <w:b w:val="0"/>
                      <w:color w:val="auto"/>
                      <w:sz w:val="21"/>
                      <w:szCs w:val="21"/>
                      <w:highlight w:val="none"/>
                      <w:lang w:val="en-US" w:eastAsia="zh-CN"/>
                    </w:rPr>
                  </w:pPr>
                  <w:r>
                    <w:rPr>
                      <w:rFonts w:hint="eastAsia" w:cs="Times New Roman"/>
                      <w:b w:val="0"/>
                      <w:color w:val="auto"/>
                      <w:sz w:val="21"/>
                      <w:szCs w:val="21"/>
                      <w:highlight w:val="none"/>
                      <w:lang w:val="en-US" w:eastAsia="zh-CN"/>
                    </w:rPr>
                    <w:t>4</w:t>
                  </w:r>
                  <w:r>
                    <w:rPr>
                      <w:rFonts w:hint="default" w:ascii="Times New Roman" w:hAnsi="Times New Roman" w:eastAsia="宋体" w:cs="Times New Roman"/>
                      <w:b w:val="0"/>
                      <w:color w:val="auto"/>
                      <w:sz w:val="21"/>
                      <w:szCs w:val="21"/>
                      <w:highlight w:val="none"/>
                      <w:lang w:val="en-US" w:eastAsia="zh-CN"/>
                    </w:rPr>
                    <w:t>3m</w:t>
                  </w:r>
                </w:p>
              </w:tc>
              <w:tc>
                <w:tcPr>
                  <w:tcW w:w="706" w:type="dxa"/>
                  <w:noWrap w:val="0"/>
                  <w:vAlign w:val="center"/>
                </w:tcPr>
                <w:p w14:paraId="3BECABE9">
                  <w:pPr>
                    <w:pStyle w:val="82"/>
                    <w:numPr>
                      <w:ilvl w:val="0"/>
                      <w:numId w:val="0"/>
                    </w:numPr>
                    <w:shd w:val="clear"/>
                    <w:spacing w:line="240" w:lineRule="auto"/>
                    <w:ind w:left="0" w:leftChars="0" w:firstLine="0" w:firstLineChars="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0.</w:t>
                  </w:r>
                  <w:r>
                    <w:rPr>
                      <w:rFonts w:hint="eastAsia" w:cs="Times New Roman"/>
                      <w:b w:val="0"/>
                      <w:bCs/>
                      <w:color w:val="auto"/>
                      <w:sz w:val="21"/>
                      <w:szCs w:val="21"/>
                      <w:highlight w:val="none"/>
                      <w:lang w:val="en-US" w:eastAsia="zh-CN"/>
                    </w:rPr>
                    <w:t>6</w:t>
                  </w:r>
                  <w:r>
                    <w:rPr>
                      <w:rFonts w:hint="default" w:ascii="Times New Roman" w:hAnsi="Times New Roman" w:eastAsia="宋体" w:cs="Times New Roman"/>
                      <w:b w:val="0"/>
                      <w:bCs/>
                      <w:color w:val="auto"/>
                      <w:sz w:val="21"/>
                      <w:szCs w:val="21"/>
                      <w:highlight w:val="none"/>
                      <w:lang w:val="en-US" w:eastAsia="zh-CN"/>
                    </w:rPr>
                    <w:t>m</w:t>
                  </w:r>
                </w:p>
              </w:tc>
              <w:tc>
                <w:tcPr>
                  <w:tcW w:w="667" w:type="dxa"/>
                  <w:noWrap w:val="0"/>
                  <w:vAlign w:val="center"/>
                </w:tcPr>
                <w:p w14:paraId="64C5A582">
                  <w:pPr>
                    <w:pStyle w:val="82"/>
                    <w:numPr>
                      <w:ilvl w:val="0"/>
                      <w:numId w:val="0"/>
                    </w:numPr>
                    <w:shd w:val="clear"/>
                    <w:spacing w:line="240" w:lineRule="auto"/>
                    <w:ind w:left="0" w:leftChars="0" w:firstLine="0" w:firstLineChars="0"/>
                    <w:jc w:val="center"/>
                    <w:rPr>
                      <w:rFonts w:hint="default" w:ascii="Times New Roman" w:hAnsi="Times New Roman" w:eastAsia="宋体" w:cs="Times New Roman"/>
                      <w:b w:val="0"/>
                      <w:color w:val="auto"/>
                      <w:sz w:val="21"/>
                      <w:szCs w:val="21"/>
                      <w:highlight w:val="none"/>
                      <w:lang w:val="en-US" w:eastAsia="zh-CN"/>
                    </w:rPr>
                  </w:pPr>
                  <w:r>
                    <w:rPr>
                      <w:rFonts w:hint="eastAsia" w:cs="Times New Roman"/>
                      <w:b w:val="0"/>
                      <w:color w:val="auto"/>
                      <w:sz w:val="21"/>
                      <w:szCs w:val="21"/>
                      <w:highlight w:val="none"/>
                      <w:lang w:val="en-US" w:eastAsia="zh-CN"/>
                    </w:rPr>
                    <w:t>3</w:t>
                  </w:r>
                  <w:r>
                    <w:rPr>
                      <w:rFonts w:hint="default" w:ascii="Times New Roman" w:hAnsi="Times New Roman" w:eastAsia="宋体" w:cs="Times New Roman"/>
                      <w:b w:val="0"/>
                      <w:color w:val="auto"/>
                      <w:sz w:val="21"/>
                      <w:szCs w:val="21"/>
                      <w:highlight w:val="none"/>
                    </w:rPr>
                    <w:t>0℃</w:t>
                  </w:r>
                </w:p>
              </w:tc>
            </w:tr>
          </w:tbl>
          <w:p w14:paraId="7AC21952">
            <w:pPr>
              <w:numPr>
                <w:ilvl w:val="0"/>
                <w:numId w:val="9"/>
              </w:numPr>
              <w:shd w:val="clear"/>
              <w:adjustRightInd w:val="0"/>
              <w:snapToGrid w:val="0"/>
              <w:spacing w:line="360" w:lineRule="auto"/>
              <w:ind w:firstLine="442" w:firstLineChars="200"/>
              <w:jc w:val="both"/>
              <w:rPr>
                <w:rFonts w:hint="default" w:ascii="Times New Roman" w:hAnsi="Times New Roman" w:eastAsia="宋体" w:cs="Times New Roman"/>
                <w:b/>
                <w:bCs w:val="0"/>
                <w:color w:val="auto"/>
                <w:spacing w:val="-10"/>
                <w:sz w:val="24"/>
                <w:szCs w:val="24"/>
                <w:highlight w:val="none"/>
                <w:lang w:val="en-US" w:eastAsia="zh-CN"/>
              </w:rPr>
            </w:pPr>
            <w:r>
              <w:rPr>
                <w:rFonts w:hint="default" w:ascii="Times New Roman" w:hAnsi="Times New Roman" w:eastAsia="宋体" w:cs="Times New Roman"/>
                <w:b/>
                <w:bCs w:val="0"/>
                <w:color w:val="auto"/>
                <w:spacing w:val="-10"/>
                <w:sz w:val="24"/>
                <w:szCs w:val="24"/>
                <w:highlight w:val="none"/>
                <w:lang w:val="en-US" w:eastAsia="zh-CN"/>
              </w:rPr>
              <w:t>废气治理可行性分析</w:t>
            </w:r>
          </w:p>
          <w:p w14:paraId="79E71895">
            <w:pPr>
              <w:keepNext w:val="0"/>
              <w:keepLines w:val="0"/>
              <w:pageBreakBefore w:val="0"/>
              <w:widowControl/>
              <w:suppressLineNumbers w:val="0"/>
              <w:kinsoku/>
              <w:wordWrap/>
              <w:overflowPunct/>
              <w:topLinePunct w:val="0"/>
              <w:autoSpaceDE/>
              <w:autoSpaceDN/>
              <w:bidi w:val="0"/>
              <w:adjustRightInd/>
              <w:snapToGrid/>
              <w:spacing w:line="360" w:lineRule="auto"/>
              <w:ind w:firstLine="422" w:firstLineChars="200"/>
              <w:jc w:val="left"/>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b/>
                <w:bCs/>
                <w:color w:val="auto"/>
                <w:sz w:val="21"/>
                <w:szCs w:val="21"/>
                <w:highlight w:val="none"/>
              </w:rPr>
              <w:t>碱液喷淋塔可行性分析</w:t>
            </w:r>
            <w:r>
              <w:rPr>
                <w:rFonts w:hint="default" w:ascii="Times New Roman" w:hAnsi="Times New Roman" w:eastAsia="宋体" w:cs="Times New Roman"/>
                <w:b/>
                <w:bCs/>
                <w:color w:val="auto"/>
                <w:sz w:val="21"/>
                <w:szCs w:val="21"/>
                <w:highlight w:val="none"/>
              </w:rPr>
              <w:t>：</w:t>
            </w:r>
            <w:r>
              <w:rPr>
                <w:rFonts w:hint="default" w:ascii="Times New Roman" w:hAnsi="Times New Roman" w:eastAsia="宋体" w:cs="Times New Roman"/>
                <w:b w:val="0"/>
                <w:bCs w:val="0"/>
                <w:color w:val="auto"/>
                <w:sz w:val="21"/>
                <w:szCs w:val="21"/>
                <w:highlight w:val="none"/>
              </w:rPr>
              <w:t>项目</w:t>
            </w:r>
            <w:r>
              <w:rPr>
                <w:rFonts w:hint="eastAsia" w:ascii="Times New Roman" w:hAnsi="Times New Roman" w:eastAsia="宋体" w:cs="Times New Roman"/>
                <w:b w:val="0"/>
                <w:bCs w:val="0"/>
                <w:color w:val="auto"/>
                <w:sz w:val="21"/>
                <w:szCs w:val="21"/>
                <w:highlight w:val="none"/>
                <w:lang w:val="en-US" w:eastAsia="zh-CN"/>
              </w:rPr>
              <w:t>碱液</w:t>
            </w:r>
            <w:r>
              <w:rPr>
                <w:rFonts w:hint="default" w:ascii="Times New Roman" w:hAnsi="Times New Roman" w:eastAsia="宋体" w:cs="Times New Roman"/>
                <w:b w:val="0"/>
                <w:bCs w:val="0"/>
                <w:color w:val="auto"/>
                <w:sz w:val="21"/>
                <w:szCs w:val="21"/>
                <w:highlight w:val="none"/>
              </w:rPr>
              <w:t>喷淋处理</w:t>
            </w:r>
            <w:r>
              <w:rPr>
                <w:rFonts w:hint="eastAsia" w:ascii="Times New Roman" w:hAnsi="Times New Roman" w:eastAsia="宋体" w:cs="Times New Roman"/>
                <w:b w:val="0"/>
                <w:bCs w:val="0"/>
                <w:color w:val="auto"/>
                <w:sz w:val="21"/>
                <w:szCs w:val="21"/>
                <w:highlight w:val="none"/>
                <w:lang w:val="en-US" w:eastAsia="zh-CN"/>
              </w:rPr>
              <w:t>酸雾</w:t>
            </w:r>
            <w:r>
              <w:rPr>
                <w:rFonts w:hint="default" w:ascii="Times New Roman" w:hAnsi="Times New Roman" w:eastAsia="宋体" w:cs="Times New Roman"/>
                <w:b w:val="0"/>
                <w:bCs w:val="0"/>
                <w:color w:val="auto"/>
                <w:sz w:val="21"/>
                <w:szCs w:val="21"/>
                <w:highlight w:val="none"/>
              </w:rPr>
              <w:t>属于《排污许可证申请与核发技术规</w:t>
            </w:r>
            <w:r>
              <w:rPr>
                <w:rFonts w:hint="default" w:ascii="Times New Roman" w:hAnsi="Times New Roman" w:eastAsia="宋体" w:cs="Times New Roman"/>
                <w:b w:val="0"/>
                <w:bCs w:val="0"/>
                <w:color w:val="auto"/>
                <w:kern w:val="0"/>
                <w:sz w:val="21"/>
                <w:szCs w:val="21"/>
                <w:highlight w:val="none"/>
                <w:lang w:val="en-US" w:eastAsia="zh-CN" w:bidi="ar-SA"/>
              </w:rPr>
              <w:t xml:space="preserve">范 </w:t>
            </w:r>
            <w:r>
              <w:rPr>
                <w:rFonts w:hint="eastAsia" w:ascii="Times New Roman" w:hAnsi="Times New Roman" w:eastAsia="宋体" w:cs="Times New Roman"/>
                <w:b w:val="0"/>
                <w:bCs w:val="0"/>
                <w:color w:val="auto"/>
                <w:kern w:val="0"/>
                <w:sz w:val="21"/>
                <w:szCs w:val="21"/>
                <w:highlight w:val="none"/>
                <w:lang w:val="en-US" w:eastAsia="zh-CN" w:bidi="ar-SA"/>
              </w:rPr>
              <w:t>总则</w:t>
            </w:r>
            <w:r>
              <w:rPr>
                <w:rFonts w:hint="default" w:ascii="Times New Roman" w:hAnsi="Times New Roman" w:eastAsia="宋体" w:cs="Times New Roman"/>
                <w:color w:val="auto"/>
                <w:kern w:val="0"/>
                <w:sz w:val="21"/>
                <w:szCs w:val="21"/>
                <w:highlight w:val="none"/>
                <w:lang w:val="en-US" w:eastAsia="zh-CN" w:bidi="ar-SA"/>
              </w:rPr>
              <w:t xml:space="preserve">》（HJ </w:t>
            </w:r>
            <w:r>
              <w:rPr>
                <w:rFonts w:hint="eastAsia" w:ascii="Times New Roman" w:hAnsi="Times New Roman" w:eastAsia="宋体" w:cs="Times New Roman"/>
                <w:color w:val="auto"/>
                <w:kern w:val="0"/>
                <w:sz w:val="21"/>
                <w:szCs w:val="21"/>
                <w:highlight w:val="none"/>
                <w:lang w:val="en-US" w:eastAsia="zh-CN" w:bidi="ar-SA"/>
              </w:rPr>
              <w:t>942</w:t>
            </w:r>
            <w:r>
              <w:rPr>
                <w:rFonts w:hint="default" w:ascii="Times New Roman" w:hAnsi="Times New Roman" w:eastAsia="宋体" w:cs="Times New Roman"/>
                <w:color w:val="auto"/>
                <w:kern w:val="0"/>
                <w:sz w:val="21"/>
                <w:szCs w:val="21"/>
                <w:highlight w:val="none"/>
                <w:lang w:val="en-US" w:eastAsia="zh-CN" w:bidi="ar-SA"/>
              </w:rPr>
              <w:t>—20</w:t>
            </w:r>
            <w:r>
              <w:rPr>
                <w:rFonts w:hint="eastAsia" w:ascii="Times New Roman" w:hAnsi="Times New Roman" w:eastAsia="宋体" w:cs="Times New Roman"/>
                <w:color w:val="auto"/>
                <w:kern w:val="0"/>
                <w:sz w:val="21"/>
                <w:szCs w:val="21"/>
                <w:highlight w:val="none"/>
                <w:lang w:val="en-US" w:eastAsia="zh-CN" w:bidi="ar-SA"/>
              </w:rPr>
              <w:t>18</w:t>
            </w:r>
            <w:r>
              <w:rPr>
                <w:rFonts w:hint="default" w:ascii="Times New Roman" w:hAnsi="Times New Roman" w:eastAsia="宋体" w:cs="Times New Roman"/>
                <w:color w:val="auto"/>
                <w:kern w:val="0"/>
                <w:sz w:val="21"/>
                <w:szCs w:val="21"/>
                <w:highlight w:val="none"/>
                <w:lang w:val="en-US" w:eastAsia="zh-CN" w:bidi="ar-SA"/>
              </w:rPr>
              <w:t>）废气</w:t>
            </w:r>
            <w:r>
              <w:rPr>
                <w:rFonts w:hint="eastAsia" w:ascii="Times New Roman" w:hAnsi="Times New Roman" w:eastAsia="宋体" w:cs="Times New Roman"/>
                <w:color w:val="auto"/>
                <w:kern w:val="0"/>
                <w:sz w:val="21"/>
                <w:szCs w:val="21"/>
                <w:highlight w:val="none"/>
                <w:lang w:val="en-US" w:eastAsia="zh-CN" w:bidi="ar-SA"/>
              </w:rPr>
              <w:t>污染</w:t>
            </w:r>
            <w:r>
              <w:rPr>
                <w:rFonts w:hint="default" w:ascii="Times New Roman" w:hAnsi="Times New Roman" w:eastAsia="宋体" w:cs="Times New Roman"/>
                <w:color w:val="auto"/>
                <w:kern w:val="0"/>
                <w:sz w:val="21"/>
                <w:szCs w:val="21"/>
                <w:highlight w:val="none"/>
                <w:lang w:val="en-US" w:eastAsia="zh-CN" w:bidi="ar-SA"/>
              </w:rPr>
              <w:t>防治</w:t>
            </w:r>
            <w:r>
              <w:rPr>
                <w:rFonts w:hint="eastAsia" w:ascii="Times New Roman" w:hAnsi="Times New Roman" w:eastAsia="宋体" w:cs="Times New Roman"/>
                <w:color w:val="auto"/>
                <w:kern w:val="0"/>
                <w:sz w:val="21"/>
                <w:szCs w:val="21"/>
                <w:highlight w:val="none"/>
                <w:lang w:val="en-US" w:eastAsia="zh-CN" w:bidi="ar-SA"/>
              </w:rPr>
              <w:t>推荐</w:t>
            </w:r>
            <w:r>
              <w:rPr>
                <w:rFonts w:hint="default" w:ascii="Times New Roman" w:hAnsi="Times New Roman" w:eastAsia="宋体" w:cs="Times New Roman"/>
                <w:color w:val="auto"/>
                <w:kern w:val="0"/>
                <w:sz w:val="21"/>
                <w:szCs w:val="21"/>
                <w:highlight w:val="none"/>
                <w:lang w:val="en-US" w:eastAsia="zh-CN" w:bidi="ar-SA"/>
              </w:rPr>
              <w:t>可行技术</w:t>
            </w:r>
            <w:r>
              <w:rPr>
                <w:rFonts w:hint="eastAsia" w:ascii="Times New Roman" w:hAnsi="Times New Roman" w:eastAsia="宋体" w:cs="Times New Roman"/>
                <w:color w:val="auto"/>
                <w:kern w:val="0"/>
                <w:sz w:val="21"/>
                <w:szCs w:val="21"/>
                <w:highlight w:val="none"/>
                <w:lang w:val="en-US" w:eastAsia="zh-CN" w:bidi="ar-SA"/>
              </w:rPr>
              <w:t>。</w:t>
            </w:r>
            <w:r>
              <w:rPr>
                <w:rFonts w:hint="default" w:ascii="Times New Roman" w:hAnsi="Times New Roman" w:eastAsia="宋体" w:cs="Times New Roman"/>
                <w:color w:val="auto"/>
                <w:kern w:val="0"/>
                <w:sz w:val="21"/>
                <w:szCs w:val="21"/>
                <w:highlight w:val="none"/>
                <w:lang w:val="en-US" w:eastAsia="zh-CN" w:bidi="ar-SA"/>
              </w:rPr>
              <w:t>喷淋系统由塔身、喷嘴、循环水泵、水箱等组成。主要的运作方式是不断酸雾废气由风管引入净化塔，经过填料层，废气与氢氧化钠吸收液进行气液两相充分接触吸收中和反应，酸雾废气经过净化后，再经除雾板脱水除雾后由风机排入大气。吸收液在塔底经水泵增压后在塔顶喷淋而下，最后回流至塔底循环使用。</w:t>
            </w:r>
          </w:p>
          <w:p w14:paraId="62075706">
            <w:pPr>
              <w:keepNext w:val="0"/>
              <w:keepLines w:val="0"/>
              <w:pageBreakBefore w:val="0"/>
              <w:widowControl w:val="0"/>
              <w:suppressLineNumbers w:val="0"/>
              <w:shd w:val="clear"/>
              <w:tabs>
                <w:tab w:val="left" w:pos="960"/>
              </w:tabs>
              <w:kinsoku/>
              <w:wordWrap/>
              <w:overflowPunct/>
              <w:topLinePunct w:val="0"/>
              <w:autoSpaceDE/>
              <w:autoSpaceDN/>
              <w:bidi w:val="0"/>
              <w:adjustRightInd/>
              <w:snapToGrid/>
              <w:spacing w:before="0" w:beforeAutospacing="0" w:after="0" w:afterAutospacing="0" w:line="360" w:lineRule="auto"/>
              <w:ind w:left="0" w:right="0" w:firstLine="422" w:firstLineChars="200"/>
              <w:jc w:val="both"/>
              <w:textAlignment w:val="auto"/>
              <w:rPr>
                <w:rFonts w:hint="default" w:ascii="Times New Roman" w:hAnsi="Times New Roman" w:eastAsia="宋体" w:cs="Times New Roman"/>
                <w:bCs/>
                <w:color w:val="auto"/>
                <w:sz w:val="21"/>
                <w:szCs w:val="21"/>
                <w:highlight w:val="none"/>
              </w:rPr>
            </w:pPr>
            <w:r>
              <w:rPr>
                <w:rFonts w:hint="eastAsia" w:cs="Times New Roman"/>
                <w:b/>
                <w:bCs/>
                <w:color w:val="auto"/>
                <w:sz w:val="21"/>
                <w:szCs w:val="21"/>
                <w:highlight w:val="none"/>
                <w:lang w:val="en-US" w:eastAsia="zh-CN"/>
              </w:rPr>
              <w:t>单级</w:t>
            </w:r>
            <w:r>
              <w:rPr>
                <w:rFonts w:hint="default" w:ascii="Times New Roman" w:hAnsi="Times New Roman" w:eastAsia="宋体" w:cs="Times New Roman"/>
                <w:b/>
                <w:bCs/>
                <w:color w:val="auto"/>
                <w:sz w:val="21"/>
                <w:szCs w:val="21"/>
                <w:highlight w:val="none"/>
              </w:rPr>
              <w:t>活性炭吸附装置：</w:t>
            </w:r>
            <w:r>
              <w:rPr>
                <w:rFonts w:hint="default" w:ascii="Times New Roman" w:hAnsi="Times New Roman" w:eastAsia="宋体" w:cs="Times New Roman"/>
                <w:bCs/>
                <w:color w:val="auto"/>
                <w:sz w:val="21"/>
                <w:szCs w:val="21"/>
                <w:highlight w:val="none"/>
              </w:rPr>
              <w:t>活性炭是一种很细小的炭粒，有很大的表面积，而且炭粒中还有更细小的孔——毛细管。这种毛细管具有很强的吸附能力，由于炭粒的表面积很大，从而赋予了活性炭所特有的吸附性能，所以能与气体（杂质）充分接触，当这些气体（杂质）碰到毛细管就被吸附，起到净化作用。</w:t>
            </w:r>
          </w:p>
          <w:p w14:paraId="0084ED97">
            <w:pPr>
              <w:keepNext w:val="0"/>
              <w:keepLines w:val="0"/>
              <w:pageBreakBefore w:val="0"/>
              <w:widowControl w:val="0"/>
              <w:suppressLineNumbers w:val="0"/>
              <w:shd w:val="clear"/>
              <w:tabs>
                <w:tab w:val="left" w:pos="960"/>
              </w:tabs>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bCs/>
                <w:color w:val="auto"/>
                <w:sz w:val="21"/>
                <w:szCs w:val="21"/>
                <w:highlight w:val="none"/>
                <w:lang w:eastAsia="zh-CN"/>
              </w:rPr>
            </w:pPr>
            <w:r>
              <w:rPr>
                <w:rFonts w:hint="default" w:ascii="Times New Roman" w:hAnsi="Times New Roman" w:eastAsia="宋体" w:cs="Times New Roman"/>
                <w:bCs/>
                <w:color w:val="auto"/>
                <w:sz w:val="21"/>
                <w:szCs w:val="21"/>
                <w:highlight w:val="none"/>
              </w:rPr>
              <w:t>活性炭吸附法处理有机废气是目前最成熟的废气处理方式之一，且活性炭吸附设备简单、投资小，从而很大程度上减少对环境的污染。活性炭吸附处理在治理有机废气方面应用比较广泛，活性炭由于比表面积大，质量轻，</w:t>
            </w:r>
            <w:r>
              <w:rPr>
                <w:rFonts w:hint="default" w:ascii="Times New Roman" w:hAnsi="Times New Roman" w:cs="Times New Roman"/>
                <w:bCs/>
                <w:color w:val="auto"/>
                <w:sz w:val="21"/>
                <w:szCs w:val="21"/>
                <w:highlight w:val="none"/>
                <w:lang w:eastAsia="zh-CN"/>
              </w:rPr>
              <w:t>良好地</w:t>
            </w:r>
            <w:r>
              <w:rPr>
                <w:rFonts w:hint="default" w:ascii="Times New Roman" w:hAnsi="Times New Roman" w:eastAsia="宋体" w:cs="Times New Roman"/>
                <w:bCs/>
                <w:color w:val="auto"/>
                <w:sz w:val="21"/>
                <w:szCs w:val="21"/>
                <w:highlight w:val="none"/>
              </w:rPr>
              <w:t>选择活性及热稳定性等特点，广泛应用于</w:t>
            </w:r>
            <w:r>
              <w:rPr>
                <w:rFonts w:hint="eastAsia" w:cs="Times New Roman"/>
                <w:bCs/>
                <w:color w:val="auto"/>
                <w:sz w:val="21"/>
                <w:szCs w:val="21"/>
                <w:highlight w:val="none"/>
                <w:lang w:val="en-US" w:eastAsia="zh-CN"/>
              </w:rPr>
              <w:t>有机</w:t>
            </w:r>
            <w:r>
              <w:rPr>
                <w:rFonts w:hint="default" w:ascii="Times New Roman" w:hAnsi="Times New Roman" w:eastAsia="宋体" w:cs="Times New Roman"/>
                <w:bCs/>
                <w:color w:val="auto"/>
                <w:sz w:val="21"/>
                <w:szCs w:val="21"/>
                <w:highlight w:val="none"/>
                <w:lang w:val="en-US" w:eastAsia="zh-CN"/>
              </w:rPr>
              <w:t>废气</w:t>
            </w:r>
            <w:r>
              <w:rPr>
                <w:rFonts w:hint="default" w:ascii="Times New Roman" w:hAnsi="Times New Roman" w:eastAsia="宋体" w:cs="Times New Roman"/>
                <w:bCs/>
                <w:color w:val="auto"/>
                <w:sz w:val="21"/>
                <w:szCs w:val="21"/>
                <w:highlight w:val="none"/>
              </w:rPr>
              <w:t>及恶臭气体的治理方面</w:t>
            </w:r>
            <w:r>
              <w:rPr>
                <w:rFonts w:hint="default" w:ascii="Times New Roman" w:hAnsi="Times New Roman" w:eastAsia="宋体" w:cs="Times New Roman"/>
                <w:bCs/>
                <w:color w:val="auto"/>
                <w:sz w:val="21"/>
                <w:szCs w:val="21"/>
                <w:highlight w:val="none"/>
                <w:lang w:eastAsia="zh-CN"/>
              </w:rPr>
              <w:t>。</w:t>
            </w:r>
          </w:p>
          <w:p w14:paraId="168AD020">
            <w:pPr>
              <w:pStyle w:val="40"/>
              <w:keepNext w:val="0"/>
              <w:keepLines w:val="0"/>
              <w:pageBreakBefore w:val="0"/>
              <w:widowControl w:val="0"/>
              <w:kinsoku/>
              <w:wordWrap w:val="0"/>
              <w:overflowPunct w:val="0"/>
              <w:topLinePunct/>
              <w:autoSpaceDE w:val="0"/>
              <w:autoSpaceDN w:val="0"/>
              <w:bidi w:val="0"/>
              <w:adjustRightInd w:val="0"/>
              <w:snapToGrid/>
              <w:spacing w:line="360" w:lineRule="auto"/>
              <w:ind w:firstLine="420" w:firstLineChars="200"/>
              <w:jc w:val="both"/>
              <w:textAlignment w:val="auto"/>
              <w:rPr>
                <w:rFonts w:hint="default"/>
                <w:color w:val="auto"/>
                <w:sz w:val="21"/>
                <w:szCs w:val="21"/>
                <w:highlight w:val="none"/>
                <w:lang w:eastAsia="zh-CN"/>
              </w:rPr>
            </w:pPr>
            <w:r>
              <w:rPr>
                <w:rFonts w:hint="default"/>
                <w:color w:val="auto"/>
                <w:sz w:val="21"/>
                <w:szCs w:val="21"/>
                <w:highlight w:val="none"/>
                <w:lang w:eastAsia="zh-CN"/>
              </w:rPr>
              <w:t>综上所述，碱液喷淋塔对于处理酸雾废气是可行的，活性炭吸附装置对于处理有机废气</w:t>
            </w:r>
            <w:r>
              <w:rPr>
                <w:rFonts w:hint="default" w:ascii="Times New Roman" w:hAnsi="Times New Roman" w:eastAsia="宋体" w:cs="Times New Roman"/>
                <w:bCs/>
                <w:color w:val="auto"/>
                <w:sz w:val="21"/>
                <w:szCs w:val="21"/>
                <w:highlight w:val="none"/>
              </w:rPr>
              <w:t>及恶臭气体</w:t>
            </w:r>
            <w:r>
              <w:rPr>
                <w:rFonts w:hint="default"/>
                <w:color w:val="auto"/>
                <w:sz w:val="21"/>
                <w:szCs w:val="21"/>
                <w:highlight w:val="none"/>
                <w:lang w:eastAsia="zh-CN"/>
              </w:rPr>
              <w:t>是可行的。</w:t>
            </w:r>
          </w:p>
          <w:p w14:paraId="42D280C9">
            <w:pPr>
              <w:pStyle w:val="19"/>
              <w:shd w:val="clear"/>
              <w:spacing w:before="0" w:line="360" w:lineRule="auto"/>
              <w:ind w:left="0" w:firstLine="420" w:firstLineChars="200"/>
              <w:jc w:val="both"/>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本项目共设</w:t>
            </w:r>
            <w:r>
              <w:rPr>
                <w:rFonts w:hint="eastAsia" w:cs="Times New Roman"/>
                <w:bCs/>
                <w:color w:val="auto"/>
                <w:sz w:val="21"/>
                <w:szCs w:val="21"/>
                <w:highlight w:val="none"/>
                <w:lang w:val="en-US" w:eastAsia="zh-CN"/>
              </w:rPr>
              <w:t>一</w:t>
            </w:r>
            <w:r>
              <w:rPr>
                <w:rFonts w:hint="default" w:ascii="Times New Roman" w:hAnsi="Times New Roman" w:eastAsia="宋体" w:cs="Times New Roman"/>
                <w:bCs/>
                <w:color w:val="auto"/>
                <w:sz w:val="21"/>
                <w:szCs w:val="21"/>
                <w:highlight w:val="none"/>
                <w:lang w:val="en-US" w:eastAsia="zh-CN"/>
              </w:rPr>
              <w:t>套</w:t>
            </w:r>
            <w:r>
              <w:rPr>
                <w:rFonts w:hint="eastAsia" w:cs="Times New Roman"/>
                <w:bCs/>
                <w:color w:val="auto"/>
                <w:sz w:val="21"/>
                <w:szCs w:val="21"/>
                <w:highlight w:val="none"/>
                <w:lang w:val="en-US" w:eastAsia="zh-CN"/>
              </w:rPr>
              <w:t>单</w:t>
            </w:r>
            <w:r>
              <w:rPr>
                <w:rFonts w:hint="default" w:ascii="Times New Roman" w:hAnsi="Times New Roman" w:eastAsia="宋体" w:cs="Times New Roman"/>
                <w:bCs/>
                <w:color w:val="auto"/>
                <w:sz w:val="21"/>
                <w:szCs w:val="21"/>
                <w:highlight w:val="none"/>
                <w:lang w:val="en-US" w:eastAsia="zh-CN"/>
              </w:rPr>
              <w:t>级活性炭吸附装置，用于处理净化</w:t>
            </w:r>
            <w:r>
              <w:rPr>
                <w:rFonts w:hint="eastAsia" w:cs="Times New Roman"/>
                <w:bCs/>
                <w:color w:val="auto"/>
                <w:sz w:val="21"/>
                <w:szCs w:val="21"/>
                <w:highlight w:val="none"/>
                <w:lang w:val="en-US" w:eastAsia="zh-CN"/>
              </w:rPr>
              <w:t>G2</w:t>
            </w:r>
            <w:r>
              <w:rPr>
                <w:rFonts w:hint="default" w:ascii="Times New Roman" w:hAnsi="Times New Roman" w:eastAsia="宋体" w:cs="Times New Roman"/>
                <w:bCs/>
                <w:color w:val="auto"/>
                <w:sz w:val="21"/>
                <w:szCs w:val="21"/>
                <w:highlight w:val="none"/>
                <w:lang w:val="en-US" w:eastAsia="zh-CN"/>
              </w:rPr>
              <w:t>的废气，活性炭设备参数详见下表：</w:t>
            </w:r>
          </w:p>
          <w:p w14:paraId="4DDF7083">
            <w:pPr>
              <w:shd w:val="clear"/>
              <w:adjustRightInd w:val="0"/>
              <w:snapToGrid w:val="0"/>
              <w:spacing w:line="360" w:lineRule="auto"/>
              <w:ind w:firstLine="663" w:firstLineChars="300"/>
              <w:jc w:val="center"/>
              <w:rPr>
                <w:rFonts w:hint="default" w:ascii="Times New Roman" w:hAnsi="Times New Roman" w:eastAsia="宋体" w:cs="Times New Roman"/>
                <w:b/>
                <w:bCs w:val="0"/>
                <w:color w:val="auto"/>
                <w:spacing w:val="-10"/>
                <w:sz w:val="24"/>
                <w:szCs w:val="24"/>
                <w:highlight w:val="none"/>
                <w:lang w:val="en-US" w:eastAsia="zh-CN"/>
              </w:rPr>
            </w:pPr>
            <w:r>
              <w:rPr>
                <w:rFonts w:hint="default" w:ascii="Times New Roman" w:hAnsi="Times New Roman" w:eastAsia="宋体" w:cs="Times New Roman"/>
                <w:b/>
                <w:bCs w:val="0"/>
                <w:color w:val="auto"/>
                <w:spacing w:val="-10"/>
                <w:sz w:val="24"/>
                <w:szCs w:val="24"/>
                <w:highlight w:val="none"/>
                <w:lang w:val="en-US" w:eastAsia="zh-CN"/>
              </w:rPr>
              <w:t>表</w:t>
            </w:r>
            <w:r>
              <w:rPr>
                <w:rFonts w:hint="eastAsia" w:cs="Times New Roman"/>
                <w:b/>
                <w:bCs w:val="0"/>
                <w:color w:val="auto"/>
                <w:spacing w:val="-10"/>
                <w:sz w:val="24"/>
                <w:szCs w:val="24"/>
                <w:highlight w:val="none"/>
                <w:lang w:val="en-US" w:eastAsia="zh-CN"/>
              </w:rPr>
              <w:t>31单</w:t>
            </w:r>
            <w:r>
              <w:rPr>
                <w:rFonts w:hint="default" w:ascii="Times New Roman" w:hAnsi="Times New Roman" w:eastAsia="宋体" w:cs="Times New Roman"/>
                <w:b/>
                <w:bCs w:val="0"/>
                <w:color w:val="auto"/>
                <w:spacing w:val="-10"/>
                <w:sz w:val="24"/>
                <w:szCs w:val="24"/>
                <w:highlight w:val="none"/>
                <w:lang w:val="en-US" w:eastAsia="zh-CN"/>
              </w:rPr>
              <w:t>级活性炭装置参数一览表</w:t>
            </w:r>
          </w:p>
          <w:tbl>
            <w:tblPr>
              <w:tblStyle w:val="3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378"/>
              <w:gridCol w:w="1854"/>
            </w:tblGrid>
            <w:tr w14:paraId="31ED33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62" w:hRule="atLeast"/>
                <w:jc w:val="center"/>
              </w:trPr>
              <w:tc>
                <w:tcPr>
                  <w:tcW w:w="3378" w:type="dxa"/>
                  <w:vMerge w:val="restart"/>
                  <w:noWrap w:val="0"/>
                  <w:vAlign w:val="center"/>
                </w:tcPr>
                <w:p w14:paraId="7F3179CA">
                  <w:pPr>
                    <w:keepNext w:val="0"/>
                    <w:keepLines w:val="0"/>
                    <w:pageBreakBefore w:val="0"/>
                    <w:widowControl/>
                    <w:numPr>
                      <w:ilvl w:val="0"/>
                      <w:numId w:val="0"/>
                    </w:numPr>
                    <w:shd w:val="clear"/>
                    <w:kinsoku/>
                    <w:wordWrap/>
                    <w:overflowPunct/>
                    <w:topLinePunct w:val="0"/>
                    <w:autoSpaceDE/>
                    <w:autoSpaceDN/>
                    <w:bidi w:val="0"/>
                    <w:adjustRightInd/>
                    <w:snapToGrid/>
                    <w:spacing w:line="240" w:lineRule="auto"/>
                    <w:contextualSpacing/>
                    <w:jc w:val="center"/>
                    <w:rPr>
                      <w:rFonts w:hint="default" w:ascii="Times New Roman" w:hAnsi="Times New Roman" w:eastAsia="宋体" w:cs="Times New Roman"/>
                      <w:b/>
                      <w:bCs/>
                      <w:color w:val="auto"/>
                      <w:highlight w:val="none"/>
                      <w:vertAlign w:val="baseline"/>
                      <w:lang w:val="en-US" w:eastAsia="zh-CN"/>
                    </w:rPr>
                  </w:pPr>
                  <w:r>
                    <w:rPr>
                      <w:rFonts w:hint="default" w:ascii="Times New Roman" w:hAnsi="Times New Roman" w:eastAsia="宋体" w:cs="Times New Roman"/>
                      <w:b/>
                      <w:bCs/>
                      <w:color w:val="auto"/>
                      <w:highlight w:val="none"/>
                      <w:vertAlign w:val="baseline"/>
                      <w:lang w:val="en-US" w:eastAsia="zh-CN"/>
                    </w:rPr>
                    <w:t>参数</w:t>
                  </w:r>
                </w:p>
              </w:tc>
              <w:tc>
                <w:tcPr>
                  <w:tcW w:w="1854" w:type="dxa"/>
                  <w:noWrap w:val="0"/>
                  <w:vAlign w:val="center"/>
                </w:tcPr>
                <w:p w14:paraId="3397A43F">
                  <w:pPr>
                    <w:keepNext w:val="0"/>
                    <w:keepLines w:val="0"/>
                    <w:pageBreakBefore w:val="0"/>
                    <w:widowControl/>
                    <w:numPr>
                      <w:ilvl w:val="0"/>
                      <w:numId w:val="0"/>
                    </w:numPr>
                    <w:shd w:val="clear"/>
                    <w:kinsoku/>
                    <w:wordWrap/>
                    <w:overflowPunct/>
                    <w:topLinePunct w:val="0"/>
                    <w:autoSpaceDE/>
                    <w:autoSpaceDN/>
                    <w:bidi w:val="0"/>
                    <w:adjustRightInd/>
                    <w:snapToGrid/>
                    <w:spacing w:line="240" w:lineRule="auto"/>
                    <w:contextualSpacing/>
                    <w:jc w:val="center"/>
                    <w:rPr>
                      <w:rFonts w:hint="default" w:ascii="Times New Roman" w:hAnsi="Times New Roman" w:eastAsia="宋体" w:cs="Times New Roman"/>
                      <w:b/>
                      <w:bCs/>
                      <w:color w:val="auto"/>
                      <w:highlight w:val="none"/>
                      <w:vertAlign w:val="baseline"/>
                      <w:lang w:val="en-US" w:eastAsia="zh-CN"/>
                    </w:rPr>
                  </w:pPr>
                  <w:r>
                    <w:rPr>
                      <w:rFonts w:hint="default" w:ascii="Times New Roman" w:hAnsi="Times New Roman" w:eastAsia="宋体" w:cs="Times New Roman"/>
                      <w:b/>
                      <w:bCs/>
                      <w:color w:val="auto"/>
                      <w:highlight w:val="none"/>
                      <w:vertAlign w:val="baseline"/>
                      <w:lang w:val="en-US" w:eastAsia="zh-CN"/>
                    </w:rPr>
                    <w:t>废气种类</w:t>
                  </w:r>
                </w:p>
              </w:tc>
            </w:tr>
            <w:tr w14:paraId="3F072B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97" w:hRule="atLeast"/>
                <w:jc w:val="center"/>
              </w:trPr>
              <w:tc>
                <w:tcPr>
                  <w:tcW w:w="3378" w:type="dxa"/>
                  <w:vMerge w:val="continue"/>
                  <w:noWrap w:val="0"/>
                  <w:vAlign w:val="center"/>
                </w:tcPr>
                <w:p w14:paraId="03F18A39">
                  <w:pPr>
                    <w:keepNext w:val="0"/>
                    <w:keepLines w:val="0"/>
                    <w:pageBreakBefore w:val="0"/>
                    <w:widowControl/>
                    <w:numPr>
                      <w:ilvl w:val="0"/>
                      <w:numId w:val="0"/>
                    </w:numPr>
                    <w:shd w:val="clear"/>
                    <w:kinsoku/>
                    <w:wordWrap/>
                    <w:overflowPunct/>
                    <w:topLinePunct w:val="0"/>
                    <w:autoSpaceDE/>
                    <w:autoSpaceDN/>
                    <w:bidi w:val="0"/>
                    <w:adjustRightInd/>
                    <w:snapToGrid/>
                    <w:spacing w:line="240" w:lineRule="auto"/>
                    <w:contextualSpacing/>
                    <w:jc w:val="center"/>
                    <w:rPr>
                      <w:rFonts w:hint="default" w:ascii="Times New Roman" w:hAnsi="Times New Roman" w:eastAsia="宋体" w:cs="Times New Roman"/>
                      <w:b/>
                      <w:bCs/>
                      <w:color w:val="auto"/>
                      <w:highlight w:val="none"/>
                      <w:vertAlign w:val="baseline"/>
                    </w:rPr>
                  </w:pPr>
                </w:p>
              </w:tc>
              <w:tc>
                <w:tcPr>
                  <w:tcW w:w="1854" w:type="dxa"/>
                  <w:noWrap w:val="0"/>
                  <w:vAlign w:val="center"/>
                </w:tcPr>
                <w:p w14:paraId="10FC0988">
                  <w:pPr>
                    <w:keepNext w:val="0"/>
                    <w:keepLines w:val="0"/>
                    <w:pageBreakBefore w:val="0"/>
                    <w:widowControl/>
                    <w:numPr>
                      <w:ilvl w:val="0"/>
                      <w:numId w:val="0"/>
                    </w:numPr>
                    <w:shd w:val="clear"/>
                    <w:kinsoku/>
                    <w:wordWrap/>
                    <w:overflowPunct/>
                    <w:topLinePunct w:val="0"/>
                    <w:autoSpaceDE/>
                    <w:autoSpaceDN/>
                    <w:bidi w:val="0"/>
                    <w:adjustRightInd/>
                    <w:snapToGrid/>
                    <w:spacing w:line="240" w:lineRule="auto"/>
                    <w:contextualSpacing/>
                    <w:jc w:val="center"/>
                    <w:rPr>
                      <w:rFonts w:hint="default" w:ascii="Times New Roman" w:hAnsi="Times New Roman" w:eastAsia="宋体" w:cs="Times New Roman"/>
                      <w:b/>
                      <w:bCs/>
                      <w:color w:val="auto"/>
                      <w:kern w:val="2"/>
                      <w:sz w:val="21"/>
                      <w:szCs w:val="24"/>
                      <w:highlight w:val="none"/>
                      <w:lang w:val="en-US" w:eastAsia="zh-CN" w:bidi="ar-SA"/>
                    </w:rPr>
                  </w:pPr>
                  <w:r>
                    <w:rPr>
                      <w:rFonts w:hint="eastAsia" w:cs="Times New Roman"/>
                      <w:b/>
                      <w:bCs/>
                      <w:color w:val="auto"/>
                      <w:kern w:val="2"/>
                      <w:sz w:val="21"/>
                      <w:szCs w:val="24"/>
                      <w:highlight w:val="none"/>
                      <w:lang w:val="en-US" w:eastAsia="zh-CN" w:bidi="ar-SA"/>
                    </w:rPr>
                    <w:t>G2</w:t>
                  </w:r>
                </w:p>
              </w:tc>
            </w:tr>
            <w:tr w14:paraId="576A5B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3378" w:type="dxa"/>
                  <w:noWrap w:val="0"/>
                  <w:vAlign w:val="center"/>
                </w:tcPr>
                <w:p w14:paraId="6AECF6B8">
                  <w:pPr>
                    <w:keepNext w:val="0"/>
                    <w:keepLines w:val="0"/>
                    <w:pageBreakBefore w:val="0"/>
                    <w:widowControl/>
                    <w:numPr>
                      <w:ilvl w:val="0"/>
                      <w:numId w:val="0"/>
                    </w:numPr>
                    <w:shd w:val="clear"/>
                    <w:kinsoku/>
                    <w:wordWrap/>
                    <w:overflowPunct/>
                    <w:topLinePunct w:val="0"/>
                    <w:autoSpaceDE/>
                    <w:autoSpaceDN/>
                    <w:bidi w:val="0"/>
                    <w:adjustRightInd/>
                    <w:snapToGrid/>
                    <w:spacing w:line="240" w:lineRule="auto"/>
                    <w:contextualSpacing/>
                    <w:jc w:val="center"/>
                    <w:rPr>
                      <w:rFonts w:hint="default" w:ascii="Times New Roman" w:hAnsi="Times New Roman" w:eastAsia="宋体" w:cs="Times New Roman"/>
                      <w:b/>
                      <w:bCs/>
                      <w:color w:val="auto"/>
                      <w:highlight w:val="none"/>
                      <w:vertAlign w:val="baseline"/>
                      <w:lang w:val="en-US" w:eastAsia="zh-CN"/>
                    </w:rPr>
                  </w:pPr>
                  <w:r>
                    <w:rPr>
                      <w:rFonts w:hint="default" w:ascii="Times New Roman" w:hAnsi="Times New Roman" w:eastAsia="宋体" w:cs="Times New Roman"/>
                      <w:b/>
                      <w:bCs/>
                      <w:color w:val="auto"/>
                      <w:highlight w:val="none"/>
                      <w:vertAlign w:val="baseline"/>
                      <w:lang w:val="en-US" w:eastAsia="zh-CN"/>
                    </w:rPr>
                    <w:t>风量</w:t>
                  </w:r>
                  <w:r>
                    <w:rPr>
                      <w:rFonts w:hint="default" w:ascii="Times New Roman" w:hAnsi="Times New Roman" w:eastAsia="宋体" w:cs="Times New Roman"/>
                      <w:b/>
                      <w:bCs/>
                      <w:color w:val="auto"/>
                      <w:sz w:val="21"/>
                      <w:szCs w:val="21"/>
                      <w:highlight w:val="none"/>
                    </w:rPr>
                    <w:t>m</w:t>
                  </w:r>
                  <w:r>
                    <w:rPr>
                      <w:rFonts w:hint="default" w:ascii="Times New Roman" w:hAnsi="Times New Roman" w:eastAsia="宋体" w:cs="Times New Roman"/>
                      <w:b/>
                      <w:bCs/>
                      <w:color w:val="auto"/>
                      <w:sz w:val="21"/>
                      <w:szCs w:val="21"/>
                      <w:highlight w:val="none"/>
                      <w:vertAlign w:val="superscript"/>
                    </w:rPr>
                    <w:t>3</w:t>
                  </w:r>
                  <w:r>
                    <w:rPr>
                      <w:rFonts w:hint="default" w:ascii="Times New Roman" w:hAnsi="Times New Roman" w:eastAsia="宋体" w:cs="Times New Roman"/>
                      <w:b/>
                      <w:bCs/>
                      <w:color w:val="auto"/>
                      <w:sz w:val="21"/>
                      <w:szCs w:val="21"/>
                      <w:highlight w:val="none"/>
                    </w:rPr>
                    <w:t>/h</w:t>
                  </w:r>
                </w:p>
              </w:tc>
              <w:tc>
                <w:tcPr>
                  <w:tcW w:w="1854" w:type="dxa"/>
                  <w:noWrap w:val="0"/>
                  <w:vAlign w:val="center"/>
                </w:tcPr>
                <w:p w14:paraId="3DCCCF8B">
                  <w:pPr>
                    <w:keepNext w:val="0"/>
                    <w:keepLines w:val="0"/>
                    <w:pageBreakBefore w:val="0"/>
                    <w:widowControl/>
                    <w:suppressLineNumbers w:val="0"/>
                    <w:shd w:val="clear"/>
                    <w:kinsoku/>
                    <w:wordWrap/>
                    <w:overflowPunct/>
                    <w:topLinePunct w:val="0"/>
                    <w:autoSpaceDE/>
                    <w:autoSpaceDN/>
                    <w:bidi w:val="0"/>
                    <w:adjustRightInd/>
                    <w:snapToGrid/>
                    <w:spacing w:line="240" w:lineRule="auto"/>
                    <w:jc w:val="center"/>
                    <w:textAlignment w:val="center"/>
                    <w:rPr>
                      <w:rFonts w:hint="default"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13000</w:t>
                  </w:r>
                </w:p>
              </w:tc>
            </w:tr>
            <w:tr w14:paraId="2FFB67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3378" w:type="dxa"/>
                  <w:noWrap w:val="0"/>
                  <w:vAlign w:val="center"/>
                </w:tcPr>
                <w:p w14:paraId="77C0B6B5">
                  <w:pPr>
                    <w:keepNext w:val="0"/>
                    <w:keepLines w:val="0"/>
                    <w:pageBreakBefore w:val="0"/>
                    <w:widowControl/>
                    <w:numPr>
                      <w:ilvl w:val="0"/>
                      <w:numId w:val="0"/>
                    </w:numPr>
                    <w:shd w:val="clear"/>
                    <w:kinsoku/>
                    <w:wordWrap/>
                    <w:overflowPunct/>
                    <w:topLinePunct w:val="0"/>
                    <w:autoSpaceDE/>
                    <w:autoSpaceDN/>
                    <w:bidi w:val="0"/>
                    <w:adjustRightInd/>
                    <w:snapToGrid/>
                    <w:spacing w:line="240" w:lineRule="auto"/>
                    <w:contextualSpacing/>
                    <w:jc w:val="center"/>
                    <w:rPr>
                      <w:rFonts w:hint="default" w:ascii="Times New Roman" w:hAnsi="Times New Roman" w:eastAsia="宋体" w:cs="Times New Roman"/>
                      <w:b/>
                      <w:bCs/>
                      <w:color w:val="auto"/>
                      <w:highlight w:val="none"/>
                      <w:vertAlign w:val="baseline"/>
                      <w:lang w:val="en-US" w:eastAsia="zh-CN"/>
                    </w:rPr>
                  </w:pPr>
                  <w:r>
                    <w:rPr>
                      <w:rFonts w:hint="default" w:ascii="Times New Roman" w:hAnsi="Times New Roman" w:eastAsia="宋体" w:cs="Times New Roman"/>
                      <w:b/>
                      <w:bCs/>
                      <w:color w:val="auto"/>
                      <w:highlight w:val="none"/>
                      <w:vertAlign w:val="baseline"/>
                      <w:lang w:val="en-US" w:eastAsia="zh-CN"/>
                    </w:rPr>
                    <w:t>活性炭种类</w:t>
                  </w:r>
                </w:p>
              </w:tc>
              <w:tc>
                <w:tcPr>
                  <w:tcW w:w="1854" w:type="dxa"/>
                  <w:noWrap w:val="0"/>
                  <w:vAlign w:val="center"/>
                </w:tcPr>
                <w:p w14:paraId="4E433591">
                  <w:pPr>
                    <w:keepNext w:val="0"/>
                    <w:keepLines w:val="0"/>
                    <w:pageBreakBefore w:val="0"/>
                    <w:widowControl/>
                    <w:suppressLineNumbers w:val="0"/>
                    <w:shd w:val="clear"/>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颗粒</w:t>
                  </w:r>
                  <w:r>
                    <w:rPr>
                      <w:rFonts w:hint="default" w:ascii="Times New Roman" w:hAnsi="Times New Roman" w:eastAsia="宋体" w:cs="Times New Roman"/>
                      <w:i w:val="0"/>
                      <w:iCs w:val="0"/>
                      <w:color w:val="auto"/>
                      <w:kern w:val="0"/>
                      <w:sz w:val="21"/>
                      <w:szCs w:val="21"/>
                      <w:highlight w:val="none"/>
                      <w:u w:val="none"/>
                      <w:lang w:val="en-US" w:eastAsia="zh-CN" w:bidi="ar"/>
                    </w:rPr>
                    <w:t>炭</w:t>
                  </w:r>
                </w:p>
              </w:tc>
            </w:tr>
            <w:tr w14:paraId="1AB10C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3378" w:type="dxa"/>
                  <w:noWrap w:val="0"/>
                  <w:vAlign w:val="center"/>
                </w:tcPr>
                <w:p w14:paraId="1769E4FC">
                  <w:pPr>
                    <w:keepNext w:val="0"/>
                    <w:keepLines w:val="0"/>
                    <w:pageBreakBefore w:val="0"/>
                    <w:widowControl/>
                    <w:numPr>
                      <w:ilvl w:val="0"/>
                      <w:numId w:val="0"/>
                    </w:numPr>
                    <w:shd w:val="clear"/>
                    <w:kinsoku/>
                    <w:wordWrap/>
                    <w:overflowPunct/>
                    <w:topLinePunct w:val="0"/>
                    <w:autoSpaceDE/>
                    <w:autoSpaceDN/>
                    <w:bidi w:val="0"/>
                    <w:adjustRightInd/>
                    <w:snapToGrid/>
                    <w:spacing w:line="240" w:lineRule="auto"/>
                    <w:contextualSpacing/>
                    <w:jc w:val="center"/>
                    <w:rPr>
                      <w:rFonts w:hint="default" w:ascii="Times New Roman" w:hAnsi="Times New Roman" w:eastAsia="宋体" w:cs="Times New Roman"/>
                      <w:b/>
                      <w:bCs/>
                      <w:color w:val="auto"/>
                      <w:highlight w:val="none"/>
                      <w:vertAlign w:val="baseline"/>
                      <w:lang w:val="en-US" w:eastAsia="zh-CN"/>
                    </w:rPr>
                  </w:pPr>
                  <w:r>
                    <w:rPr>
                      <w:rFonts w:hint="eastAsia" w:cs="Times New Roman"/>
                      <w:b/>
                      <w:bCs/>
                      <w:color w:val="auto"/>
                      <w:highlight w:val="none"/>
                      <w:vertAlign w:val="baseline"/>
                      <w:lang w:val="en-US" w:eastAsia="zh-CN"/>
                    </w:rPr>
                    <w:t>活性炭碘值</w:t>
                  </w:r>
                </w:p>
              </w:tc>
              <w:tc>
                <w:tcPr>
                  <w:tcW w:w="1854" w:type="dxa"/>
                  <w:noWrap w:val="0"/>
                  <w:vAlign w:val="center"/>
                </w:tcPr>
                <w:p w14:paraId="17298451">
                  <w:pPr>
                    <w:keepNext w:val="0"/>
                    <w:keepLines w:val="0"/>
                    <w:pageBreakBefore w:val="0"/>
                    <w:widowControl/>
                    <w:suppressLineNumbers w:val="0"/>
                    <w:shd w:val="clear"/>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800</w:t>
                  </w:r>
                </w:p>
              </w:tc>
            </w:tr>
            <w:tr w14:paraId="06DF69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3378" w:type="dxa"/>
                  <w:noWrap w:val="0"/>
                  <w:vAlign w:val="center"/>
                </w:tcPr>
                <w:p w14:paraId="21FDD060">
                  <w:pPr>
                    <w:keepNext w:val="0"/>
                    <w:keepLines w:val="0"/>
                    <w:pageBreakBefore w:val="0"/>
                    <w:widowControl/>
                    <w:numPr>
                      <w:ilvl w:val="0"/>
                      <w:numId w:val="0"/>
                    </w:numPr>
                    <w:shd w:val="clear"/>
                    <w:kinsoku/>
                    <w:wordWrap/>
                    <w:overflowPunct/>
                    <w:topLinePunct w:val="0"/>
                    <w:autoSpaceDE/>
                    <w:autoSpaceDN/>
                    <w:bidi w:val="0"/>
                    <w:adjustRightInd/>
                    <w:snapToGrid/>
                    <w:spacing w:line="240" w:lineRule="auto"/>
                    <w:contextualSpacing/>
                    <w:jc w:val="center"/>
                    <w:rPr>
                      <w:rFonts w:hint="default" w:ascii="Times New Roman" w:hAnsi="Times New Roman" w:eastAsia="宋体" w:cs="Times New Roman"/>
                      <w:b/>
                      <w:bCs/>
                      <w:color w:val="auto"/>
                      <w:highlight w:val="none"/>
                      <w:vertAlign w:val="baseline"/>
                      <w:lang w:val="en-US" w:eastAsia="zh-CN"/>
                    </w:rPr>
                  </w:pPr>
                  <w:r>
                    <w:rPr>
                      <w:rFonts w:hint="default" w:ascii="Times New Roman" w:hAnsi="Times New Roman" w:eastAsia="宋体" w:cs="Times New Roman"/>
                      <w:b/>
                      <w:bCs/>
                      <w:color w:val="auto"/>
                      <w:highlight w:val="none"/>
                      <w:vertAlign w:val="baseline"/>
                      <w:lang w:val="en-US" w:eastAsia="zh-CN"/>
                    </w:rPr>
                    <w:t>单层活性炭</w:t>
                  </w:r>
                  <w:r>
                    <w:rPr>
                      <w:rFonts w:hint="eastAsia" w:cs="Times New Roman"/>
                      <w:b/>
                      <w:bCs/>
                      <w:color w:val="auto"/>
                      <w:highlight w:val="none"/>
                      <w:vertAlign w:val="baseline"/>
                      <w:lang w:val="en-US" w:eastAsia="zh-CN"/>
                    </w:rPr>
                    <w:t>装填尺寸</w:t>
                  </w:r>
                  <w:r>
                    <w:rPr>
                      <w:rFonts w:hint="default" w:ascii="Times New Roman" w:hAnsi="Times New Roman" w:eastAsia="宋体" w:cs="Times New Roman"/>
                      <w:b/>
                      <w:bCs/>
                      <w:color w:val="auto"/>
                      <w:highlight w:val="none"/>
                      <w:vertAlign w:val="baseline"/>
                      <w:lang w:val="en-US" w:eastAsia="zh-CN"/>
                    </w:rPr>
                    <w:t>/m</w:t>
                  </w:r>
                </w:p>
              </w:tc>
              <w:tc>
                <w:tcPr>
                  <w:tcW w:w="1854" w:type="dxa"/>
                  <w:noWrap w:val="0"/>
                  <w:vAlign w:val="center"/>
                </w:tcPr>
                <w:p w14:paraId="61354A5D">
                  <w:pPr>
                    <w:keepNext w:val="0"/>
                    <w:keepLines w:val="0"/>
                    <w:pageBreakBefore w:val="0"/>
                    <w:widowControl/>
                    <w:suppressLineNumbers w:val="0"/>
                    <w:shd w:val="clear"/>
                    <w:kinsoku/>
                    <w:wordWrap/>
                    <w:overflowPunct/>
                    <w:topLinePunct w:val="0"/>
                    <w:autoSpaceDE/>
                    <w:autoSpaceDN/>
                    <w:bidi w:val="0"/>
                    <w:adjustRightInd/>
                    <w:snapToGrid/>
                    <w:spacing w:line="240" w:lineRule="auto"/>
                    <w:jc w:val="center"/>
                    <w:textAlignment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2.2×1.64×0.3</w:t>
                  </w:r>
                </w:p>
              </w:tc>
            </w:tr>
            <w:tr w14:paraId="7D8955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3378" w:type="dxa"/>
                  <w:noWrap w:val="0"/>
                  <w:vAlign w:val="center"/>
                </w:tcPr>
                <w:p w14:paraId="75CAE049">
                  <w:pPr>
                    <w:keepNext w:val="0"/>
                    <w:keepLines w:val="0"/>
                    <w:pageBreakBefore w:val="0"/>
                    <w:widowControl/>
                    <w:numPr>
                      <w:ilvl w:val="0"/>
                      <w:numId w:val="0"/>
                    </w:numPr>
                    <w:shd w:val="clear"/>
                    <w:kinsoku/>
                    <w:wordWrap/>
                    <w:overflowPunct/>
                    <w:topLinePunct w:val="0"/>
                    <w:autoSpaceDE/>
                    <w:autoSpaceDN/>
                    <w:bidi w:val="0"/>
                    <w:adjustRightInd/>
                    <w:snapToGrid/>
                    <w:spacing w:line="240" w:lineRule="auto"/>
                    <w:contextualSpacing/>
                    <w:jc w:val="center"/>
                    <w:rPr>
                      <w:rFonts w:hint="default" w:ascii="Times New Roman" w:hAnsi="Times New Roman" w:eastAsia="宋体" w:cs="Times New Roman"/>
                      <w:b/>
                      <w:bCs/>
                      <w:color w:val="auto"/>
                      <w:highlight w:val="none"/>
                      <w:vertAlign w:val="baseline"/>
                    </w:rPr>
                  </w:pPr>
                  <w:r>
                    <w:rPr>
                      <w:rFonts w:hint="default" w:ascii="Times New Roman" w:hAnsi="Times New Roman" w:eastAsia="宋体" w:cs="Times New Roman"/>
                      <w:b/>
                      <w:bCs/>
                      <w:color w:val="auto"/>
                      <w:highlight w:val="none"/>
                      <w:vertAlign w:val="baseline"/>
                    </w:rPr>
                    <w:t>单级活性炭层数/层</w:t>
                  </w:r>
                </w:p>
              </w:tc>
              <w:tc>
                <w:tcPr>
                  <w:tcW w:w="1854" w:type="dxa"/>
                  <w:noWrap w:val="0"/>
                  <w:vAlign w:val="center"/>
                </w:tcPr>
                <w:p w14:paraId="2EFC65A0">
                  <w:pPr>
                    <w:keepNext w:val="0"/>
                    <w:keepLines w:val="0"/>
                    <w:pageBreakBefore w:val="0"/>
                    <w:widowControl/>
                    <w:suppressLineNumbers w:val="0"/>
                    <w:shd w:val="clear"/>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2</w:t>
                  </w:r>
                </w:p>
              </w:tc>
            </w:tr>
            <w:tr w14:paraId="18F2F3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3378" w:type="dxa"/>
                  <w:noWrap w:val="0"/>
                  <w:vAlign w:val="center"/>
                </w:tcPr>
                <w:p w14:paraId="5BA5FB21">
                  <w:pPr>
                    <w:keepNext w:val="0"/>
                    <w:keepLines w:val="0"/>
                    <w:pageBreakBefore w:val="0"/>
                    <w:widowControl/>
                    <w:numPr>
                      <w:ilvl w:val="0"/>
                      <w:numId w:val="0"/>
                    </w:numPr>
                    <w:shd w:val="clear"/>
                    <w:kinsoku/>
                    <w:wordWrap/>
                    <w:overflowPunct/>
                    <w:topLinePunct w:val="0"/>
                    <w:autoSpaceDE/>
                    <w:autoSpaceDN/>
                    <w:bidi w:val="0"/>
                    <w:adjustRightInd/>
                    <w:snapToGrid/>
                    <w:spacing w:line="240" w:lineRule="auto"/>
                    <w:contextualSpacing/>
                    <w:jc w:val="center"/>
                    <w:rPr>
                      <w:rFonts w:hint="default" w:ascii="Times New Roman" w:hAnsi="Times New Roman" w:eastAsia="宋体" w:cs="Times New Roman"/>
                      <w:b/>
                      <w:bCs/>
                      <w:color w:val="auto"/>
                      <w:highlight w:val="none"/>
                      <w:vertAlign w:val="baseline"/>
                      <w:lang w:val="en-US" w:eastAsia="zh-CN"/>
                    </w:rPr>
                  </w:pPr>
                  <w:r>
                    <w:rPr>
                      <w:rFonts w:hint="default" w:ascii="Times New Roman" w:hAnsi="Times New Roman" w:eastAsia="宋体" w:cs="Times New Roman"/>
                      <w:b/>
                      <w:bCs/>
                      <w:color w:val="auto"/>
                      <w:highlight w:val="none"/>
                      <w:vertAlign w:val="baseline"/>
                    </w:rPr>
                    <w:t>单级装置单层活性炭厚度</w:t>
                  </w:r>
                  <w:r>
                    <w:rPr>
                      <w:rFonts w:hint="default" w:ascii="Times New Roman" w:hAnsi="Times New Roman" w:eastAsia="宋体" w:cs="Times New Roman"/>
                      <w:b/>
                      <w:bCs/>
                      <w:color w:val="auto"/>
                      <w:highlight w:val="none"/>
                      <w:vertAlign w:val="baseline"/>
                      <w:lang w:val="en-US" w:eastAsia="zh-CN"/>
                    </w:rPr>
                    <w:t>/m</w:t>
                  </w:r>
                </w:p>
              </w:tc>
              <w:tc>
                <w:tcPr>
                  <w:tcW w:w="1854" w:type="dxa"/>
                  <w:noWrap w:val="0"/>
                  <w:vAlign w:val="center"/>
                </w:tcPr>
                <w:p w14:paraId="1AAF0A6B">
                  <w:pPr>
                    <w:keepNext w:val="0"/>
                    <w:keepLines w:val="0"/>
                    <w:pageBreakBefore w:val="0"/>
                    <w:widowControl/>
                    <w:suppressLineNumbers w:val="0"/>
                    <w:shd w:val="clear"/>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0.15</w:t>
                  </w:r>
                </w:p>
              </w:tc>
            </w:tr>
            <w:tr w14:paraId="659ABD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3378" w:type="dxa"/>
                  <w:noWrap w:val="0"/>
                  <w:vAlign w:val="center"/>
                </w:tcPr>
                <w:p w14:paraId="6FAB8306">
                  <w:pPr>
                    <w:keepNext w:val="0"/>
                    <w:keepLines w:val="0"/>
                    <w:pageBreakBefore w:val="0"/>
                    <w:widowControl/>
                    <w:numPr>
                      <w:ilvl w:val="0"/>
                      <w:numId w:val="0"/>
                    </w:numPr>
                    <w:shd w:val="clear"/>
                    <w:kinsoku/>
                    <w:wordWrap/>
                    <w:overflowPunct/>
                    <w:topLinePunct w:val="0"/>
                    <w:autoSpaceDE/>
                    <w:autoSpaceDN/>
                    <w:bidi w:val="0"/>
                    <w:adjustRightInd/>
                    <w:snapToGrid/>
                    <w:spacing w:line="240" w:lineRule="auto"/>
                    <w:contextualSpacing/>
                    <w:jc w:val="center"/>
                    <w:rPr>
                      <w:rFonts w:hint="eastAsia" w:ascii="Times New Roman" w:hAnsi="Times New Roman" w:eastAsia="宋体" w:cs="Times New Roman"/>
                      <w:b/>
                      <w:bCs/>
                      <w:color w:val="auto"/>
                      <w:highlight w:val="none"/>
                      <w:vertAlign w:val="baseline"/>
                      <w:lang w:val="en-US" w:eastAsia="zh-CN"/>
                    </w:rPr>
                  </w:pPr>
                  <w:r>
                    <w:rPr>
                      <w:rFonts w:hint="default" w:ascii="Times New Roman" w:hAnsi="Times New Roman" w:eastAsia="宋体" w:cs="Times New Roman"/>
                      <w:b/>
                      <w:bCs/>
                      <w:color w:val="auto"/>
                      <w:highlight w:val="none"/>
                      <w:vertAlign w:val="baseline"/>
                    </w:rPr>
                    <w:t>单级活性炭装置总过滤面积</w:t>
                  </w:r>
                  <w:r>
                    <w:rPr>
                      <w:rFonts w:hint="eastAsia" w:cs="Times New Roman"/>
                      <w:b/>
                      <w:bCs/>
                      <w:color w:val="auto"/>
                      <w:highlight w:val="none"/>
                      <w:vertAlign w:val="baseline"/>
                      <w:lang w:val="en-US" w:eastAsia="zh-CN"/>
                    </w:rPr>
                    <w:t>/</w:t>
                  </w:r>
                  <w:r>
                    <w:rPr>
                      <w:rFonts w:hint="eastAsia" w:ascii="Times New Roman" w:hAnsi="Times New Roman" w:eastAsia="宋体" w:cs="Times New Roman"/>
                      <w:b/>
                      <w:bCs/>
                      <w:color w:val="auto"/>
                      <w:highlight w:val="none"/>
                      <w:vertAlign w:val="baseline"/>
                      <w:lang w:eastAsia="zh-CN"/>
                    </w:rPr>
                    <w:t>㎡</w:t>
                  </w:r>
                </w:p>
              </w:tc>
              <w:tc>
                <w:tcPr>
                  <w:tcW w:w="1854" w:type="dxa"/>
                  <w:noWrap w:val="0"/>
                  <w:vAlign w:val="center"/>
                </w:tcPr>
                <w:p w14:paraId="6A9E8801">
                  <w:pPr>
                    <w:keepNext w:val="0"/>
                    <w:keepLines w:val="0"/>
                    <w:pageBreakBefore w:val="0"/>
                    <w:widowControl/>
                    <w:suppressLineNumbers w:val="0"/>
                    <w:shd w:val="clear"/>
                    <w:kinsoku/>
                    <w:wordWrap/>
                    <w:overflowPunct/>
                    <w:topLinePunct w:val="0"/>
                    <w:autoSpaceDE/>
                    <w:autoSpaceDN/>
                    <w:bidi w:val="0"/>
                    <w:adjustRightInd/>
                    <w:snapToGrid/>
                    <w:spacing w:line="240" w:lineRule="auto"/>
                    <w:jc w:val="center"/>
                    <w:textAlignment w:val="center"/>
                    <w:rPr>
                      <w:rFonts w:hint="default"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7.216</w:t>
                  </w:r>
                </w:p>
              </w:tc>
            </w:tr>
            <w:tr w14:paraId="13B5FE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3378" w:type="dxa"/>
                  <w:noWrap w:val="0"/>
                  <w:vAlign w:val="center"/>
                </w:tcPr>
                <w:p w14:paraId="4993C3A3">
                  <w:pPr>
                    <w:keepNext w:val="0"/>
                    <w:keepLines w:val="0"/>
                    <w:pageBreakBefore w:val="0"/>
                    <w:widowControl/>
                    <w:numPr>
                      <w:ilvl w:val="0"/>
                      <w:numId w:val="0"/>
                    </w:numPr>
                    <w:shd w:val="clear"/>
                    <w:kinsoku/>
                    <w:wordWrap/>
                    <w:overflowPunct/>
                    <w:topLinePunct w:val="0"/>
                    <w:autoSpaceDE/>
                    <w:autoSpaceDN/>
                    <w:bidi w:val="0"/>
                    <w:adjustRightInd/>
                    <w:snapToGrid/>
                    <w:spacing w:line="240" w:lineRule="auto"/>
                    <w:contextualSpacing/>
                    <w:jc w:val="center"/>
                    <w:rPr>
                      <w:rFonts w:hint="default" w:ascii="Times New Roman" w:hAnsi="Times New Roman" w:eastAsia="宋体" w:cs="Times New Roman"/>
                      <w:b/>
                      <w:bCs/>
                      <w:color w:val="auto"/>
                      <w:highlight w:val="none"/>
                      <w:vertAlign w:val="baseline"/>
                      <w:lang w:val="en-US" w:eastAsia="zh-CN"/>
                    </w:rPr>
                  </w:pPr>
                  <w:r>
                    <w:rPr>
                      <w:rFonts w:hint="default" w:ascii="Times New Roman" w:hAnsi="Times New Roman" w:eastAsia="宋体" w:cs="Times New Roman"/>
                      <w:b/>
                      <w:bCs/>
                      <w:color w:val="auto"/>
                      <w:highlight w:val="none"/>
                      <w:vertAlign w:val="baseline"/>
                      <w:lang w:val="en-US" w:eastAsia="zh-CN"/>
                    </w:rPr>
                    <w:t>过滤风速（m/s）</w:t>
                  </w:r>
                </w:p>
              </w:tc>
              <w:tc>
                <w:tcPr>
                  <w:tcW w:w="1854" w:type="dxa"/>
                  <w:noWrap w:val="0"/>
                  <w:vAlign w:val="center"/>
                </w:tcPr>
                <w:p w14:paraId="5ED1EDFE">
                  <w:pPr>
                    <w:keepNext w:val="0"/>
                    <w:keepLines w:val="0"/>
                    <w:pageBreakBefore w:val="0"/>
                    <w:widowControl/>
                    <w:suppressLineNumbers w:val="0"/>
                    <w:shd w:val="clear"/>
                    <w:kinsoku/>
                    <w:wordWrap/>
                    <w:overflowPunct/>
                    <w:topLinePunct w:val="0"/>
                    <w:autoSpaceDE/>
                    <w:autoSpaceDN/>
                    <w:bidi w:val="0"/>
                    <w:adjustRightInd/>
                    <w:snapToGrid/>
                    <w:spacing w:line="240" w:lineRule="auto"/>
                    <w:jc w:val="center"/>
                    <w:textAlignment w:val="center"/>
                    <w:rPr>
                      <w:rFonts w:hint="default" w:eastAsia="宋体" w:cs="Times New Roman"/>
                      <w:b w:val="0"/>
                      <w:bCs w:val="0"/>
                      <w:color w:val="auto"/>
                      <w:highlight w:val="none"/>
                      <w:vertAlign w:val="baseline"/>
                      <w:lang w:val="en-US" w:eastAsia="zh-CN"/>
                    </w:rPr>
                  </w:pPr>
                  <w:r>
                    <w:rPr>
                      <w:rFonts w:hint="eastAsia" w:cs="Times New Roman"/>
                      <w:b w:val="0"/>
                      <w:bCs w:val="0"/>
                      <w:color w:val="auto"/>
                      <w:highlight w:val="none"/>
                      <w:vertAlign w:val="baseline"/>
                      <w:lang w:val="en-US" w:eastAsia="zh-CN"/>
                    </w:rPr>
                    <w:t>0.5</w:t>
                  </w:r>
                </w:p>
              </w:tc>
            </w:tr>
            <w:tr w14:paraId="2BCBF7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3378" w:type="dxa"/>
                  <w:noWrap w:val="0"/>
                  <w:vAlign w:val="center"/>
                </w:tcPr>
                <w:p w14:paraId="6E0D3005">
                  <w:pPr>
                    <w:keepNext w:val="0"/>
                    <w:keepLines w:val="0"/>
                    <w:pageBreakBefore w:val="0"/>
                    <w:widowControl/>
                    <w:numPr>
                      <w:ilvl w:val="0"/>
                      <w:numId w:val="0"/>
                    </w:numPr>
                    <w:shd w:val="clear"/>
                    <w:kinsoku/>
                    <w:wordWrap/>
                    <w:overflowPunct/>
                    <w:topLinePunct w:val="0"/>
                    <w:autoSpaceDE/>
                    <w:autoSpaceDN/>
                    <w:bidi w:val="0"/>
                    <w:adjustRightInd/>
                    <w:snapToGrid/>
                    <w:spacing w:line="240" w:lineRule="auto"/>
                    <w:contextualSpacing/>
                    <w:jc w:val="center"/>
                    <w:rPr>
                      <w:rFonts w:hint="default" w:ascii="Times New Roman" w:hAnsi="Times New Roman" w:eastAsia="宋体" w:cs="Times New Roman"/>
                      <w:b/>
                      <w:bCs/>
                      <w:color w:val="auto"/>
                      <w:highlight w:val="none"/>
                      <w:vertAlign w:val="baseline"/>
                    </w:rPr>
                  </w:pPr>
                  <w:r>
                    <w:rPr>
                      <w:rFonts w:hint="default" w:ascii="Times New Roman" w:hAnsi="Times New Roman" w:eastAsia="宋体" w:cs="Times New Roman"/>
                      <w:b/>
                      <w:bCs/>
                      <w:color w:val="auto"/>
                      <w:highlight w:val="none"/>
                      <w:vertAlign w:val="baseline"/>
                    </w:rPr>
                    <w:t>停留时间(s)</w:t>
                  </w:r>
                </w:p>
              </w:tc>
              <w:tc>
                <w:tcPr>
                  <w:tcW w:w="1854" w:type="dxa"/>
                  <w:noWrap w:val="0"/>
                  <w:vAlign w:val="center"/>
                </w:tcPr>
                <w:p w14:paraId="2D157D10">
                  <w:pPr>
                    <w:keepNext w:val="0"/>
                    <w:keepLines w:val="0"/>
                    <w:pageBreakBefore w:val="0"/>
                    <w:widowControl/>
                    <w:suppressLineNumbers w:val="0"/>
                    <w:shd w:val="clear"/>
                    <w:kinsoku/>
                    <w:wordWrap/>
                    <w:overflowPunct/>
                    <w:topLinePunct w:val="0"/>
                    <w:autoSpaceDE/>
                    <w:autoSpaceDN/>
                    <w:bidi w:val="0"/>
                    <w:adjustRightInd/>
                    <w:snapToGrid/>
                    <w:spacing w:line="240" w:lineRule="auto"/>
                    <w:jc w:val="center"/>
                    <w:textAlignment w:val="center"/>
                    <w:rPr>
                      <w:rFonts w:hint="default" w:eastAsia="宋体" w:cs="Times New Roman"/>
                      <w:b w:val="0"/>
                      <w:bCs w:val="0"/>
                      <w:color w:val="auto"/>
                      <w:highlight w:val="none"/>
                      <w:vertAlign w:val="baseline"/>
                      <w:lang w:val="en-US" w:eastAsia="zh-CN"/>
                    </w:rPr>
                  </w:pPr>
                  <w:r>
                    <w:rPr>
                      <w:rFonts w:hint="eastAsia" w:cs="Times New Roman"/>
                      <w:b w:val="0"/>
                      <w:bCs w:val="0"/>
                      <w:color w:val="auto"/>
                      <w:highlight w:val="none"/>
                      <w:vertAlign w:val="baseline"/>
                      <w:lang w:val="en-US" w:eastAsia="zh-CN"/>
                    </w:rPr>
                    <w:t>0.6</w:t>
                  </w:r>
                </w:p>
              </w:tc>
            </w:tr>
            <w:tr w14:paraId="474EB1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3378" w:type="dxa"/>
                  <w:noWrap w:val="0"/>
                  <w:vAlign w:val="center"/>
                </w:tcPr>
                <w:p w14:paraId="23250F47">
                  <w:pPr>
                    <w:keepNext w:val="0"/>
                    <w:keepLines w:val="0"/>
                    <w:pageBreakBefore w:val="0"/>
                    <w:widowControl/>
                    <w:numPr>
                      <w:ilvl w:val="0"/>
                      <w:numId w:val="0"/>
                    </w:numPr>
                    <w:shd w:val="clear"/>
                    <w:kinsoku/>
                    <w:wordWrap/>
                    <w:overflowPunct/>
                    <w:topLinePunct w:val="0"/>
                    <w:autoSpaceDE/>
                    <w:autoSpaceDN/>
                    <w:bidi w:val="0"/>
                    <w:adjustRightInd/>
                    <w:snapToGrid/>
                    <w:spacing w:line="240" w:lineRule="auto"/>
                    <w:contextualSpacing/>
                    <w:jc w:val="center"/>
                    <w:rPr>
                      <w:rFonts w:hint="default" w:ascii="Times New Roman" w:hAnsi="Times New Roman" w:eastAsia="宋体" w:cs="Times New Roman"/>
                      <w:b/>
                      <w:bCs/>
                      <w:color w:val="auto"/>
                      <w:highlight w:val="none"/>
                      <w:vertAlign w:val="baseline"/>
                    </w:rPr>
                  </w:pPr>
                  <w:r>
                    <w:rPr>
                      <w:rFonts w:hint="default" w:ascii="Times New Roman" w:hAnsi="Times New Roman" w:eastAsia="宋体" w:cs="Times New Roman"/>
                      <w:b/>
                      <w:bCs/>
                      <w:color w:val="auto"/>
                      <w:highlight w:val="none"/>
                      <w:vertAlign w:val="baseline"/>
                    </w:rPr>
                    <w:t>活性炭密度g/cm</w:t>
                  </w:r>
                  <w:r>
                    <w:rPr>
                      <w:rFonts w:hint="default" w:ascii="Times New Roman" w:hAnsi="Times New Roman" w:eastAsia="宋体" w:cs="Times New Roman"/>
                      <w:b/>
                      <w:bCs/>
                      <w:color w:val="auto"/>
                      <w:highlight w:val="none"/>
                      <w:vertAlign w:val="superscript"/>
                    </w:rPr>
                    <w:t>3</w:t>
                  </w:r>
                </w:p>
              </w:tc>
              <w:tc>
                <w:tcPr>
                  <w:tcW w:w="1854" w:type="dxa"/>
                  <w:noWrap w:val="0"/>
                  <w:vAlign w:val="center"/>
                </w:tcPr>
                <w:p w14:paraId="4312CF3A">
                  <w:pPr>
                    <w:keepNext w:val="0"/>
                    <w:keepLines w:val="0"/>
                    <w:pageBreakBefore w:val="0"/>
                    <w:widowControl/>
                    <w:suppressLineNumbers w:val="0"/>
                    <w:shd w:val="clear"/>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0.45</w:t>
                  </w:r>
                </w:p>
              </w:tc>
            </w:tr>
            <w:tr w14:paraId="249969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3378" w:type="dxa"/>
                  <w:noWrap w:val="0"/>
                  <w:vAlign w:val="center"/>
                </w:tcPr>
                <w:p w14:paraId="544B63B2">
                  <w:pPr>
                    <w:keepNext w:val="0"/>
                    <w:keepLines w:val="0"/>
                    <w:pageBreakBefore w:val="0"/>
                    <w:widowControl/>
                    <w:numPr>
                      <w:ilvl w:val="0"/>
                      <w:numId w:val="0"/>
                    </w:numPr>
                    <w:shd w:val="clear"/>
                    <w:kinsoku/>
                    <w:wordWrap/>
                    <w:overflowPunct/>
                    <w:topLinePunct w:val="0"/>
                    <w:autoSpaceDE/>
                    <w:autoSpaceDN/>
                    <w:bidi w:val="0"/>
                    <w:adjustRightInd/>
                    <w:snapToGrid/>
                    <w:spacing w:line="240" w:lineRule="auto"/>
                    <w:contextualSpacing/>
                    <w:jc w:val="center"/>
                    <w:rPr>
                      <w:rFonts w:hint="default" w:ascii="Times New Roman" w:hAnsi="Times New Roman" w:eastAsia="宋体" w:cs="Times New Roman"/>
                      <w:b/>
                      <w:bCs/>
                      <w:color w:val="auto"/>
                      <w:highlight w:val="none"/>
                      <w:vertAlign w:val="baseline"/>
                    </w:rPr>
                  </w:pPr>
                  <w:r>
                    <w:rPr>
                      <w:rFonts w:hint="default" w:ascii="Times New Roman" w:hAnsi="Times New Roman" w:eastAsia="宋体" w:cs="Times New Roman"/>
                      <w:b/>
                      <w:bCs/>
                      <w:color w:val="auto"/>
                      <w:highlight w:val="none"/>
                      <w:vertAlign w:val="baseline"/>
                    </w:rPr>
                    <w:t>单次单级活性炭填充量/t</w:t>
                  </w:r>
                </w:p>
              </w:tc>
              <w:tc>
                <w:tcPr>
                  <w:tcW w:w="1854" w:type="dxa"/>
                  <w:noWrap w:val="0"/>
                  <w:vAlign w:val="center"/>
                </w:tcPr>
                <w:p w14:paraId="0FB3447A">
                  <w:pPr>
                    <w:keepNext w:val="0"/>
                    <w:keepLines w:val="0"/>
                    <w:pageBreakBefore w:val="0"/>
                    <w:widowControl/>
                    <w:suppressLineNumbers w:val="0"/>
                    <w:shd w:val="clear"/>
                    <w:kinsoku/>
                    <w:wordWrap/>
                    <w:overflowPunct/>
                    <w:topLinePunct w:val="0"/>
                    <w:autoSpaceDE/>
                    <w:autoSpaceDN/>
                    <w:bidi w:val="0"/>
                    <w:adjustRightInd/>
                    <w:snapToGrid/>
                    <w:spacing w:line="240" w:lineRule="auto"/>
                    <w:jc w:val="center"/>
                    <w:textAlignment w:val="center"/>
                    <w:rPr>
                      <w:rFonts w:hint="default"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0.974</w:t>
                  </w:r>
                </w:p>
              </w:tc>
            </w:tr>
            <w:tr w14:paraId="48655D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3378" w:type="dxa"/>
                  <w:noWrap w:val="0"/>
                  <w:vAlign w:val="center"/>
                </w:tcPr>
                <w:p w14:paraId="24FBF650">
                  <w:pPr>
                    <w:keepNext w:val="0"/>
                    <w:keepLines w:val="0"/>
                    <w:pageBreakBefore w:val="0"/>
                    <w:widowControl/>
                    <w:numPr>
                      <w:ilvl w:val="0"/>
                      <w:numId w:val="0"/>
                    </w:numPr>
                    <w:shd w:val="clear"/>
                    <w:kinsoku/>
                    <w:wordWrap/>
                    <w:overflowPunct/>
                    <w:topLinePunct w:val="0"/>
                    <w:autoSpaceDE/>
                    <w:autoSpaceDN/>
                    <w:bidi w:val="0"/>
                    <w:adjustRightInd/>
                    <w:snapToGrid/>
                    <w:spacing w:line="240" w:lineRule="auto"/>
                    <w:contextualSpacing/>
                    <w:jc w:val="center"/>
                    <w:rPr>
                      <w:rFonts w:hint="default" w:ascii="Times New Roman" w:hAnsi="Times New Roman" w:eastAsia="宋体" w:cs="Times New Roman"/>
                      <w:b/>
                      <w:bCs/>
                      <w:color w:val="auto"/>
                      <w:highlight w:val="none"/>
                      <w:vertAlign w:val="baseline"/>
                    </w:rPr>
                  </w:pPr>
                  <w:r>
                    <w:rPr>
                      <w:rFonts w:hint="default" w:ascii="Times New Roman" w:hAnsi="Times New Roman" w:eastAsia="宋体" w:cs="Times New Roman"/>
                      <w:b/>
                      <w:bCs/>
                      <w:color w:val="auto"/>
                      <w:highlight w:val="none"/>
                      <w:vertAlign w:val="baseline"/>
                    </w:rPr>
                    <w:t>更换频次(次/年)</w:t>
                  </w:r>
                </w:p>
              </w:tc>
              <w:tc>
                <w:tcPr>
                  <w:tcW w:w="1854" w:type="dxa"/>
                  <w:noWrap w:val="0"/>
                  <w:vAlign w:val="center"/>
                </w:tcPr>
                <w:p w14:paraId="14BE4E76">
                  <w:pPr>
                    <w:keepNext w:val="0"/>
                    <w:keepLines w:val="0"/>
                    <w:pageBreakBefore w:val="0"/>
                    <w:widowControl/>
                    <w:numPr>
                      <w:ilvl w:val="0"/>
                      <w:numId w:val="0"/>
                    </w:numPr>
                    <w:shd w:val="clear"/>
                    <w:kinsoku/>
                    <w:wordWrap/>
                    <w:overflowPunct/>
                    <w:topLinePunct w:val="0"/>
                    <w:autoSpaceDE/>
                    <w:autoSpaceDN/>
                    <w:bidi w:val="0"/>
                    <w:adjustRightInd/>
                    <w:snapToGrid/>
                    <w:spacing w:line="240" w:lineRule="auto"/>
                    <w:contextualSpacing/>
                    <w:jc w:val="center"/>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4</w:t>
                  </w:r>
                </w:p>
              </w:tc>
            </w:tr>
            <w:tr w14:paraId="350B1D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3378" w:type="dxa"/>
                  <w:noWrap w:val="0"/>
                  <w:vAlign w:val="center"/>
                </w:tcPr>
                <w:p w14:paraId="11FF4F8C">
                  <w:pPr>
                    <w:keepNext w:val="0"/>
                    <w:keepLines w:val="0"/>
                    <w:pageBreakBefore w:val="0"/>
                    <w:widowControl/>
                    <w:numPr>
                      <w:ilvl w:val="0"/>
                      <w:numId w:val="0"/>
                    </w:numPr>
                    <w:shd w:val="clear"/>
                    <w:kinsoku/>
                    <w:wordWrap/>
                    <w:overflowPunct/>
                    <w:topLinePunct w:val="0"/>
                    <w:autoSpaceDE/>
                    <w:autoSpaceDN/>
                    <w:bidi w:val="0"/>
                    <w:adjustRightInd/>
                    <w:snapToGrid/>
                    <w:spacing w:line="240" w:lineRule="auto"/>
                    <w:contextualSpacing/>
                    <w:jc w:val="center"/>
                    <w:rPr>
                      <w:rFonts w:hint="default" w:ascii="Times New Roman" w:hAnsi="Times New Roman" w:eastAsia="宋体" w:cs="Times New Roman"/>
                      <w:b/>
                      <w:bCs/>
                      <w:color w:val="auto"/>
                      <w:highlight w:val="none"/>
                      <w:vertAlign w:val="baseline"/>
                      <w:lang w:val="en-US" w:eastAsia="zh-CN"/>
                    </w:rPr>
                  </w:pPr>
                  <w:r>
                    <w:rPr>
                      <w:rFonts w:hint="eastAsia" w:cs="Times New Roman"/>
                      <w:b/>
                      <w:bCs/>
                      <w:color w:val="auto"/>
                      <w:highlight w:val="none"/>
                      <w:vertAlign w:val="baseline"/>
                      <w:lang w:val="en-US" w:eastAsia="zh-CN"/>
                    </w:rPr>
                    <w:t>单</w:t>
                  </w:r>
                  <w:r>
                    <w:rPr>
                      <w:rFonts w:hint="default" w:ascii="Times New Roman" w:hAnsi="Times New Roman" w:eastAsia="宋体" w:cs="Times New Roman"/>
                      <w:b/>
                      <w:bCs/>
                      <w:color w:val="auto"/>
                      <w:highlight w:val="none"/>
                      <w:vertAlign w:val="baseline"/>
                      <w:lang w:val="en-US" w:eastAsia="zh-CN"/>
                    </w:rPr>
                    <w:t>级</w:t>
                  </w:r>
                  <w:r>
                    <w:rPr>
                      <w:rFonts w:hint="default" w:ascii="Times New Roman" w:hAnsi="Times New Roman" w:eastAsia="宋体" w:cs="Times New Roman"/>
                      <w:b/>
                      <w:bCs/>
                      <w:color w:val="auto"/>
                      <w:highlight w:val="none"/>
                      <w:vertAlign w:val="baseline"/>
                    </w:rPr>
                    <w:t>活性炭</w:t>
                  </w:r>
                  <w:r>
                    <w:rPr>
                      <w:rFonts w:hint="default" w:ascii="Times New Roman" w:hAnsi="Times New Roman" w:eastAsia="宋体" w:cs="Times New Roman"/>
                      <w:b/>
                      <w:bCs/>
                      <w:color w:val="auto"/>
                      <w:highlight w:val="none"/>
                      <w:vertAlign w:val="baseline"/>
                      <w:lang w:val="en-US" w:eastAsia="zh-CN"/>
                    </w:rPr>
                    <w:t>装置总</w:t>
                  </w:r>
                  <w:r>
                    <w:rPr>
                      <w:rFonts w:hint="default" w:ascii="Times New Roman" w:hAnsi="Times New Roman" w:eastAsia="宋体" w:cs="Times New Roman"/>
                      <w:b/>
                      <w:bCs/>
                      <w:color w:val="auto"/>
                      <w:highlight w:val="none"/>
                      <w:vertAlign w:val="baseline"/>
                    </w:rPr>
                    <w:t>填充量/t</w:t>
                  </w:r>
                </w:p>
              </w:tc>
              <w:tc>
                <w:tcPr>
                  <w:tcW w:w="1854" w:type="dxa"/>
                  <w:noWrap w:val="0"/>
                  <w:vAlign w:val="center"/>
                </w:tcPr>
                <w:p w14:paraId="241E61D5">
                  <w:pPr>
                    <w:keepNext w:val="0"/>
                    <w:keepLines w:val="0"/>
                    <w:pageBreakBefore w:val="0"/>
                    <w:widowControl/>
                    <w:numPr>
                      <w:ilvl w:val="0"/>
                      <w:numId w:val="0"/>
                    </w:numPr>
                    <w:shd w:val="clear"/>
                    <w:kinsoku/>
                    <w:wordWrap/>
                    <w:overflowPunct/>
                    <w:topLinePunct w:val="0"/>
                    <w:autoSpaceDE/>
                    <w:autoSpaceDN/>
                    <w:bidi w:val="0"/>
                    <w:adjustRightInd/>
                    <w:snapToGrid/>
                    <w:spacing w:line="240" w:lineRule="auto"/>
                    <w:contextualSpacing/>
                    <w:jc w:val="center"/>
                    <w:rPr>
                      <w:rFonts w:hint="default"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3.896</w:t>
                  </w:r>
                </w:p>
              </w:tc>
            </w:tr>
          </w:tbl>
          <w:p w14:paraId="11565B03">
            <w:pPr>
              <w:keepNext w:val="0"/>
              <w:keepLines w:val="0"/>
              <w:pageBreakBefore w:val="0"/>
              <w:widowControl w:val="0"/>
              <w:shd w:val="clear"/>
              <w:kinsoku/>
              <w:wordWrap w:val="0"/>
              <w:overflowPunct w:val="0"/>
              <w:topLinePunct w:val="0"/>
              <w:autoSpaceDE w:val="0"/>
              <w:autoSpaceDN w:val="0"/>
              <w:bidi w:val="0"/>
              <w:adjustRightInd/>
              <w:snapToGrid/>
              <w:spacing w:line="360" w:lineRule="auto"/>
              <w:ind w:firstLine="420" w:firstLineChars="200"/>
              <w:jc w:val="left"/>
              <w:textAlignment w:val="auto"/>
              <w:rPr>
                <w:rFonts w:hint="default" w:ascii="Times New Roman" w:hAnsi="Times New Roman" w:eastAsia="宋体" w:cs="Times New Roman"/>
                <w:b/>
                <w:bCs w:val="0"/>
                <w:color w:val="auto"/>
                <w:spacing w:val="-10"/>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注：</w:t>
            </w:r>
            <w:r>
              <w:rPr>
                <w:rFonts w:hint="eastAsia" w:cs="Times New Roman"/>
                <w:color w:val="auto"/>
                <w:sz w:val="21"/>
                <w:szCs w:val="21"/>
                <w:highlight w:val="none"/>
                <w:lang w:val="en-US" w:eastAsia="zh-CN"/>
              </w:rPr>
              <w:t>G2废气</w:t>
            </w:r>
            <w:r>
              <w:rPr>
                <w:rFonts w:hint="default" w:ascii="Times New Roman" w:hAnsi="Times New Roman" w:eastAsia="宋体" w:cs="Times New Roman"/>
                <w:color w:val="auto"/>
                <w:sz w:val="21"/>
                <w:szCs w:val="21"/>
                <w:highlight w:val="none"/>
              </w:rPr>
              <w:t>收集量为</w:t>
            </w:r>
            <w:r>
              <w:rPr>
                <w:rFonts w:hint="eastAsia" w:cs="Times New Roman"/>
                <w:color w:val="auto"/>
                <w:sz w:val="21"/>
                <w:szCs w:val="21"/>
                <w:highlight w:val="none"/>
                <w:lang w:val="en-US" w:eastAsia="zh-CN"/>
              </w:rPr>
              <w:t>6.2028kg</w:t>
            </w:r>
            <w:r>
              <w:rPr>
                <w:rFonts w:hint="default" w:ascii="Times New Roman" w:hAnsi="Times New Roman" w:eastAsia="宋体" w:cs="Times New Roman"/>
                <w:color w:val="auto"/>
                <w:sz w:val="21"/>
                <w:szCs w:val="21"/>
                <w:highlight w:val="none"/>
              </w:rPr>
              <w:t>/a</w:t>
            </w:r>
            <w:r>
              <w:rPr>
                <w:rFonts w:hint="default" w:ascii="Times New Roman" w:hAnsi="Times New Roman" w:eastAsia="宋体" w:cs="Times New Roman"/>
                <w:color w:val="auto"/>
                <w:sz w:val="21"/>
                <w:szCs w:val="21"/>
                <w:highlight w:val="none"/>
                <w:lang w:eastAsia="zh-CN"/>
              </w:rPr>
              <w:t>，</w:t>
            </w:r>
            <w:r>
              <w:rPr>
                <w:rFonts w:hint="eastAsia" w:cs="Times New Roman"/>
                <w:color w:val="auto"/>
                <w:sz w:val="21"/>
                <w:szCs w:val="21"/>
                <w:highlight w:val="none"/>
                <w:lang w:val="en-US" w:eastAsia="zh-CN"/>
              </w:rPr>
              <w:t>单级</w:t>
            </w:r>
            <w:r>
              <w:rPr>
                <w:rFonts w:hint="default" w:ascii="Times New Roman" w:hAnsi="Times New Roman" w:eastAsia="宋体" w:cs="Times New Roman"/>
                <w:color w:val="auto"/>
                <w:sz w:val="21"/>
                <w:szCs w:val="21"/>
                <w:highlight w:val="none"/>
              </w:rPr>
              <w:t>活性炭吸附处理量为</w:t>
            </w:r>
            <w:r>
              <w:rPr>
                <w:rFonts w:hint="eastAsia" w:cs="Times New Roman"/>
                <w:color w:val="auto"/>
                <w:sz w:val="21"/>
                <w:szCs w:val="21"/>
                <w:highlight w:val="none"/>
                <w:lang w:val="en-US" w:eastAsia="zh-CN"/>
              </w:rPr>
              <w:t>6.2028</w:t>
            </w:r>
            <w:r>
              <w:rPr>
                <w:rFonts w:hint="default" w:ascii="Times New Roman" w:hAnsi="Times New Roman" w:eastAsia="宋体" w:cs="Times New Roman"/>
                <w:color w:val="auto"/>
                <w:sz w:val="21"/>
                <w:szCs w:val="21"/>
                <w:highlight w:val="none"/>
              </w:rPr>
              <w:t>t/a×</w:t>
            </w:r>
            <w:r>
              <w:rPr>
                <w:rFonts w:hint="eastAsia" w:cs="Times New Roman"/>
                <w:color w:val="auto"/>
                <w:sz w:val="21"/>
                <w:szCs w:val="21"/>
                <w:highlight w:val="none"/>
                <w:lang w:val="en-US" w:eastAsia="zh-CN"/>
              </w:rPr>
              <w:t>6</w:t>
            </w:r>
            <w:r>
              <w:rPr>
                <w:rFonts w:hint="default" w:ascii="Times New Roman" w:hAnsi="Times New Roman" w:cs="Times New Roman"/>
                <w:color w:val="auto"/>
                <w:sz w:val="21"/>
                <w:szCs w:val="21"/>
                <w:highlight w:val="none"/>
                <w:lang w:val="en-US" w:eastAsia="zh-CN"/>
              </w:rPr>
              <w:t>0</w:t>
            </w:r>
            <w:r>
              <w:rPr>
                <w:rFonts w:hint="default" w:ascii="Times New Roman" w:hAnsi="Times New Roman" w:eastAsia="宋体" w:cs="Times New Roman"/>
                <w:color w:val="auto"/>
                <w:sz w:val="21"/>
                <w:szCs w:val="21"/>
                <w:highlight w:val="none"/>
              </w:rPr>
              <w:t>%</w:t>
            </w:r>
            <w:r>
              <w:rPr>
                <w:rFonts w:hint="eastAsia" w:cs="Times New Roman"/>
                <w:color w:val="auto"/>
                <w:sz w:val="21"/>
                <w:szCs w:val="21"/>
                <w:highlight w:val="none"/>
                <w:lang w:val="en-US" w:eastAsia="zh-CN"/>
              </w:rPr>
              <w:t>＝3.722kg</w:t>
            </w:r>
            <w:r>
              <w:rPr>
                <w:rFonts w:hint="default" w:ascii="Times New Roman" w:hAnsi="Times New Roman" w:eastAsia="宋体" w:cs="Times New Roman"/>
                <w:color w:val="auto"/>
                <w:sz w:val="21"/>
                <w:szCs w:val="21"/>
                <w:highlight w:val="none"/>
              </w:rPr>
              <w:t>/a</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即</w:t>
            </w:r>
            <w:r>
              <w:rPr>
                <w:rFonts w:hint="default" w:ascii="Times New Roman" w:hAnsi="Times New Roman" w:eastAsia="宋体" w:cs="Times New Roman"/>
                <w:color w:val="auto"/>
                <w:sz w:val="21"/>
                <w:szCs w:val="21"/>
                <w:highlight w:val="none"/>
                <w:lang w:val="en-US" w:eastAsia="zh-CN"/>
              </w:rPr>
              <w:t>需要</w:t>
            </w:r>
            <w:r>
              <w:rPr>
                <w:rFonts w:hint="default" w:ascii="Times New Roman" w:hAnsi="Times New Roman" w:eastAsia="宋体" w:cs="Times New Roman"/>
                <w:color w:val="auto"/>
                <w:sz w:val="21"/>
                <w:szCs w:val="21"/>
                <w:highlight w:val="none"/>
              </w:rPr>
              <w:t>活性炭量</w:t>
            </w:r>
            <w:r>
              <w:rPr>
                <w:rFonts w:hint="default" w:ascii="Times New Roman" w:hAnsi="Times New Roman" w:eastAsia="宋体" w:cs="Times New Roman"/>
                <w:color w:val="auto"/>
                <w:sz w:val="21"/>
                <w:szCs w:val="21"/>
                <w:highlight w:val="none"/>
                <w:lang w:val="en-US" w:eastAsia="zh-CN"/>
              </w:rPr>
              <w:t>约</w:t>
            </w:r>
            <w:r>
              <w:rPr>
                <w:rFonts w:hint="eastAsia" w:cs="Times New Roman"/>
                <w:color w:val="auto"/>
                <w:sz w:val="21"/>
                <w:szCs w:val="21"/>
                <w:highlight w:val="none"/>
                <w:lang w:val="en-US" w:eastAsia="zh-CN"/>
              </w:rPr>
              <w:t>24.813kg</w:t>
            </w:r>
            <w:r>
              <w:rPr>
                <w:rFonts w:hint="default" w:ascii="Times New Roman" w:hAnsi="Times New Roman" w:eastAsia="宋体" w:cs="Times New Roman"/>
                <w:color w:val="auto"/>
                <w:sz w:val="21"/>
                <w:szCs w:val="21"/>
                <w:highlight w:val="none"/>
              </w:rPr>
              <w:t>/a，</w:t>
            </w:r>
            <w:r>
              <w:rPr>
                <w:rFonts w:hint="eastAsia" w:cs="Times New Roman"/>
                <w:color w:val="auto"/>
                <w:sz w:val="21"/>
                <w:szCs w:val="21"/>
                <w:highlight w:val="none"/>
                <w:lang w:val="en-US" w:eastAsia="zh-CN"/>
              </w:rPr>
              <w:t>单</w:t>
            </w:r>
            <w:r>
              <w:rPr>
                <w:rFonts w:hint="default" w:ascii="Times New Roman" w:hAnsi="Times New Roman" w:eastAsia="宋体" w:cs="Times New Roman"/>
                <w:color w:val="auto"/>
                <w:sz w:val="21"/>
                <w:szCs w:val="21"/>
                <w:highlight w:val="none"/>
                <w:lang w:val="en-US" w:eastAsia="zh-CN"/>
              </w:rPr>
              <w:t>级活性炭填充量为</w:t>
            </w:r>
            <w:r>
              <w:rPr>
                <w:rFonts w:hint="eastAsia" w:cs="Times New Roman"/>
                <w:color w:val="auto"/>
                <w:sz w:val="21"/>
                <w:szCs w:val="21"/>
                <w:highlight w:val="none"/>
                <w:lang w:val="en-US" w:eastAsia="zh-CN"/>
              </w:rPr>
              <w:t>0.974t/a，</w:t>
            </w:r>
            <w:r>
              <w:rPr>
                <w:rFonts w:hint="default" w:ascii="Times New Roman" w:hAnsi="Times New Roman" w:eastAsia="宋体" w:cs="Times New Roman"/>
                <w:color w:val="auto"/>
                <w:sz w:val="21"/>
                <w:szCs w:val="21"/>
                <w:highlight w:val="none"/>
              </w:rPr>
              <w:t>更换频次约为</w:t>
            </w:r>
            <w:r>
              <w:rPr>
                <w:rFonts w:hint="default" w:ascii="Times New Roman" w:hAnsi="Times New Roman" w:eastAsia="宋体" w:cs="Times New Roman"/>
                <w:color w:val="auto"/>
                <w:sz w:val="21"/>
                <w:szCs w:val="21"/>
                <w:highlight w:val="none"/>
                <w:lang w:val="en-US" w:eastAsia="zh-CN"/>
              </w:rPr>
              <w:t>4</w:t>
            </w:r>
            <w:r>
              <w:rPr>
                <w:rFonts w:hint="default" w:ascii="Times New Roman" w:hAnsi="Times New Roman" w:eastAsia="宋体" w:cs="Times New Roman"/>
                <w:color w:val="auto"/>
                <w:sz w:val="21"/>
                <w:szCs w:val="21"/>
                <w:highlight w:val="none"/>
              </w:rPr>
              <w:t>次/</w:t>
            </w:r>
            <w:r>
              <w:rPr>
                <w:rFonts w:hint="default" w:ascii="Times New Roman" w:hAnsi="Times New Roman" w:eastAsia="宋体" w:cs="Times New Roman"/>
                <w:color w:val="auto"/>
                <w:sz w:val="21"/>
                <w:szCs w:val="21"/>
                <w:highlight w:val="none"/>
                <w:lang w:val="en-US" w:eastAsia="zh-CN"/>
              </w:rPr>
              <w:t>年，</w:t>
            </w:r>
            <w:r>
              <w:rPr>
                <w:rFonts w:hint="eastAsia" w:cs="Times New Roman"/>
                <w:color w:val="auto"/>
                <w:sz w:val="21"/>
                <w:szCs w:val="21"/>
                <w:highlight w:val="none"/>
                <w:lang w:val="en-US" w:eastAsia="zh-CN"/>
              </w:rPr>
              <w:t>单</w:t>
            </w:r>
            <w:r>
              <w:rPr>
                <w:rFonts w:hint="default" w:ascii="Times New Roman" w:hAnsi="Times New Roman" w:eastAsia="宋体" w:cs="Times New Roman"/>
                <w:color w:val="auto"/>
                <w:sz w:val="21"/>
                <w:szCs w:val="21"/>
                <w:highlight w:val="none"/>
                <w:lang w:val="en-US" w:eastAsia="zh-CN"/>
              </w:rPr>
              <w:t>级活性炭总填充量约为</w:t>
            </w:r>
            <w:r>
              <w:rPr>
                <w:rFonts w:hint="eastAsia" w:cs="Times New Roman"/>
                <w:color w:val="auto"/>
                <w:sz w:val="21"/>
                <w:szCs w:val="21"/>
                <w:highlight w:val="none"/>
                <w:lang w:val="en-US" w:eastAsia="zh-CN"/>
              </w:rPr>
              <w:t>3.896t/a</w:t>
            </w:r>
            <w:r>
              <w:rPr>
                <w:rFonts w:hint="default" w:ascii="Times New Roman" w:hAnsi="Times New Roman" w:eastAsia="宋体" w:cs="Times New Roman"/>
                <w:color w:val="auto"/>
                <w:sz w:val="21"/>
                <w:szCs w:val="21"/>
                <w:highlight w:val="none"/>
                <w:lang w:eastAsia="zh-CN"/>
              </w:rPr>
              <w:t>。</w:t>
            </w:r>
          </w:p>
          <w:p w14:paraId="0FCBAD26">
            <w:pPr>
              <w:pStyle w:val="24"/>
              <w:keepNext w:val="0"/>
              <w:keepLines w:val="0"/>
              <w:pageBreakBefore w:val="0"/>
              <w:widowControl w:val="0"/>
              <w:numPr>
                <w:ilvl w:val="0"/>
                <w:numId w:val="0"/>
              </w:numPr>
              <w:shd w:val="clear"/>
              <w:kinsoku/>
              <w:wordWrap/>
              <w:overflowPunct/>
              <w:topLinePunct w:val="0"/>
              <w:autoSpaceDE/>
              <w:autoSpaceDN/>
              <w:bidi w:val="0"/>
              <w:adjustRightInd/>
              <w:snapToGrid w:val="0"/>
              <w:spacing w:after="0" w:line="360" w:lineRule="auto"/>
              <w:ind w:firstLine="442" w:firstLineChars="200"/>
              <w:jc w:val="both"/>
              <w:textAlignment w:val="auto"/>
              <w:rPr>
                <w:rFonts w:hint="default" w:ascii="Times New Roman" w:hAnsi="Times New Roman" w:eastAsia="宋体" w:cs="Times New Roman"/>
                <w:b/>
                <w:bCs w:val="0"/>
                <w:color w:val="auto"/>
                <w:spacing w:val="-10"/>
                <w:sz w:val="24"/>
                <w:szCs w:val="24"/>
                <w:highlight w:val="none"/>
                <w:lang w:val="en-US" w:eastAsia="zh-CN"/>
              </w:rPr>
            </w:pPr>
            <w:r>
              <w:rPr>
                <w:rFonts w:hint="default" w:ascii="Times New Roman" w:hAnsi="Times New Roman" w:eastAsia="宋体" w:cs="Times New Roman"/>
                <w:b/>
                <w:bCs w:val="0"/>
                <w:color w:val="auto"/>
                <w:spacing w:val="-10"/>
                <w:kern w:val="2"/>
                <w:sz w:val="24"/>
                <w:szCs w:val="24"/>
                <w:highlight w:val="none"/>
                <w:lang w:val="en-US" w:eastAsia="zh-CN" w:bidi="ar-SA"/>
              </w:rPr>
              <w:t>（3）</w:t>
            </w:r>
            <w:r>
              <w:rPr>
                <w:rFonts w:hint="default" w:ascii="Times New Roman" w:hAnsi="Times New Roman" w:eastAsia="宋体" w:cs="Times New Roman"/>
                <w:b/>
                <w:bCs w:val="0"/>
                <w:color w:val="auto"/>
                <w:spacing w:val="-10"/>
                <w:sz w:val="24"/>
                <w:szCs w:val="24"/>
                <w:highlight w:val="none"/>
                <w:lang w:val="en-US" w:eastAsia="zh-CN"/>
              </w:rPr>
              <w:t>大气监测计划</w:t>
            </w:r>
          </w:p>
          <w:p w14:paraId="64D51A91">
            <w:pPr>
              <w:keepNext w:val="0"/>
              <w:keepLines w:val="0"/>
              <w:pageBreakBefore w:val="0"/>
              <w:widowControl w:val="0"/>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根据《排污单位自行监测技术指南总则》（HJ819-2017）、《排污许可证申请与核发技术规范总则》</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项目污染源监测计划见下表。</w:t>
            </w:r>
          </w:p>
          <w:p w14:paraId="6F5D8D97">
            <w:pPr>
              <w:pStyle w:val="24"/>
              <w:keepNext w:val="0"/>
              <w:keepLines w:val="0"/>
              <w:pageBreakBefore w:val="0"/>
              <w:widowControl w:val="0"/>
              <w:numPr>
                <w:ilvl w:val="0"/>
                <w:numId w:val="0"/>
              </w:numPr>
              <w:shd w:val="clear"/>
              <w:kinsoku/>
              <w:wordWrap/>
              <w:overflowPunct/>
              <w:topLinePunct w:val="0"/>
              <w:autoSpaceDE/>
              <w:autoSpaceDN/>
              <w:bidi w:val="0"/>
              <w:adjustRightInd/>
              <w:snapToGrid w:val="0"/>
              <w:spacing w:after="0" w:line="360" w:lineRule="auto"/>
              <w:ind w:leftChars="0"/>
              <w:jc w:val="center"/>
              <w:textAlignment w:val="auto"/>
              <w:rPr>
                <w:rFonts w:hint="default" w:ascii="Times New Roman" w:hAnsi="Times New Roman" w:eastAsia="宋体" w:cs="Times New Roman"/>
                <w:b/>
                <w:bCs w:val="0"/>
                <w:color w:val="auto"/>
                <w:spacing w:val="-10"/>
                <w:sz w:val="24"/>
                <w:szCs w:val="24"/>
                <w:highlight w:val="none"/>
                <w:lang w:val="en-US" w:eastAsia="zh-CN"/>
              </w:rPr>
            </w:pPr>
            <w:r>
              <w:rPr>
                <w:rFonts w:hint="default" w:ascii="Times New Roman" w:hAnsi="Times New Roman" w:eastAsia="宋体" w:cs="Times New Roman"/>
                <w:b/>
                <w:bCs w:val="0"/>
                <w:color w:val="auto"/>
                <w:spacing w:val="-10"/>
                <w:sz w:val="24"/>
                <w:szCs w:val="24"/>
                <w:highlight w:val="none"/>
                <w:lang w:val="en-US" w:eastAsia="zh-CN"/>
              </w:rPr>
              <w:t>表</w:t>
            </w:r>
            <w:r>
              <w:rPr>
                <w:rFonts w:hint="eastAsia" w:cs="Times New Roman"/>
                <w:b/>
                <w:bCs w:val="0"/>
                <w:color w:val="auto"/>
                <w:spacing w:val="-10"/>
                <w:sz w:val="24"/>
                <w:szCs w:val="24"/>
                <w:highlight w:val="none"/>
                <w:lang w:val="en-US" w:eastAsia="zh-CN"/>
              </w:rPr>
              <w:t>32</w:t>
            </w:r>
            <w:r>
              <w:rPr>
                <w:rFonts w:hint="default" w:ascii="Times New Roman" w:hAnsi="Times New Roman" w:eastAsia="宋体" w:cs="Times New Roman"/>
                <w:b/>
                <w:bCs w:val="0"/>
                <w:color w:val="auto"/>
                <w:spacing w:val="-10"/>
                <w:sz w:val="24"/>
                <w:szCs w:val="24"/>
                <w:highlight w:val="none"/>
                <w:lang w:val="en-US" w:eastAsia="zh-CN"/>
              </w:rPr>
              <w:t>有组织废气监测方案</w:t>
            </w:r>
          </w:p>
          <w:tbl>
            <w:tblPr>
              <w:tblStyle w:val="3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09"/>
              <w:gridCol w:w="1700"/>
              <w:gridCol w:w="1252"/>
              <w:gridCol w:w="3124"/>
            </w:tblGrid>
            <w:tr w14:paraId="46641B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09" w:type="dxa"/>
                  <w:noWrap w:val="0"/>
                  <w:vAlign w:val="center"/>
                </w:tcPr>
                <w:p w14:paraId="4EF92655">
                  <w:pPr>
                    <w:shd w:val="clear"/>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b/>
                      <w:color w:val="auto"/>
                      <w:sz w:val="21"/>
                      <w:szCs w:val="21"/>
                      <w:highlight w:val="none"/>
                      <w:lang w:bidi="ar"/>
                    </w:rPr>
                    <w:t>监测点位</w:t>
                  </w:r>
                </w:p>
              </w:tc>
              <w:tc>
                <w:tcPr>
                  <w:tcW w:w="1700" w:type="dxa"/>
                  <w:noWrap w:val="0"/>
                  <w:vAlign w:val="center"/>
                </w:tcPr>
                <w:p w14:paraId="1DE234C6">
                  <w:pPr>
                    <w:shd w:val="clear"/>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b/>
                      <w:color w:val="auto"/>
                      <w:sz w:val="21"/>
                      <w:szCs w:val="21"/>
                      <w:highlight w:val="none"/>
                      <w:lang w:bidi="ar"/>
                    </w:rPr>
                    <w:t>监测指标</w:t>
                  </w:r>
                </w:p>
              </w:tc>
              <w:tc>
                <w:tcPr>
                  <w:tcW w:w="1252" w:type="dxa"/>
                  <w:noWrap w:val="0"/>
                  <w:vAlign w:val="center"/>
                </w:tcPr>
                <w:p w14:paraId="791E8DED">
                  <w:pPr>
                    <w:shd w:val="clear"/>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b/>
                      <w:color w:val="auto"/>
                      <w:sz w:val="21"/>
                      <w:szCs w:val="21"/>
                      <w:highlight w:val="none"/>
                      <w:lang w:bidi="ar"/>
                    </w:rPr>
                    <w:t>监测频次</w:t>
                  </w:r>
                </w:p>
              </w:tc>
              <w:tc>
                <w:tcPr>
                  <w:tcW w:w="3124" w:type="dxa"/>
                  <w:noWrap w:val="0"/>
                  <w:vAlign w:val="center"/>
                </w:tcPr>
                <w:p w14:paraId="725334CF">
                  <w:pPr>
                    <w:shd w:val="clear"/>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b/>
                      <w:color w:val="auto"/>
                      <w:sz w:val="21"/>
                      <w:szCs w:val="21"/>
                      <w:highlight w:val="none"/>
                      <w:lang w:bidi="ar"/>
                    </w:rPr>
                    <w:t>执行排放标准</w:t>
                  </w:r>
                </w:p>
              </w:tc>
            </w:tr>
            <w:tr w14:paraId="387D8B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09" w:type="dxa"/>
                  <w:vMerge w:val="restart"/>
                  <w:noWrap w:val="0"/>
                  <w:vAlign w:val="center"/>
                </w:tcPr>
                <w:p w14:paraId="051C41D4">
                  <w:pPr>
                    <w:pStyle w:val="24"/>
                    <w:keepNext w:val="0"/>
                    <w:keepLines w:val="0"/>
                    <w:pageBreakBefore w:val="0"/>
                    <w:widowControl w:val="0"/>
                    <w:numPr>
                      <w:ilvl w:val="0"/>
                      <w:numId w:val="0"/>
                    </w:numPr>
                    <w:shd w:val="clear"/>
                    <w:kinsoku/>
                    <w:wordWrap/>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b w:val="0"/>
                      <w:bCs/>
                      <w:color w:val="auto"/>
                      <w:spacing w:val="-10"/>
                      <w:sz w:val="21"/>
                      <w:szCs w:val="21"/>
                      <w:highlight w:val="none"/>
                      <w:vertAlign w:val="baseline"/>
                      <w:lang w:val="en-US" w:eastAsia="zh-CN"/>
                    </w:rPr>
                    <w:t>G1</w:t>
                  </w:r>
                </w:p>
              </w:tc>
              <w:tc>
                <w:tcPr>
                  <w:tcW w:w="1700" w:type="dxa"/>
                  <w:noWrap w:val="0"/>
                  <w:vAlign w:val="center"/>
                </w:tcPr>
                <w:p w14:paraId="1B83BA47">
                  <w:pPr>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lang w:val="en-US" w:eastAsia="zh-CN" w:bidi="ar-SA"/>
                    </w:rPr>
                    <w:t>硫酸雾</w:t>
                  </w:r>
                </w:p>
              </w:tc>
              <w:tc>
                <w:tcPr>
                  <w:tcW w:w="1252" w:type="dxa"/>
                  <w:noWrap w:val="0"/>
                  <w:vAlign w:val="center"/>
                </w:tcPr>
                <w:p w14:paraId="2A8A5E88">
                  <w:pPr>
                    <w:shd w:val="clear"/>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bCs/>
                      <w:color w:val="auto"/>
                      <w:szCs w:val="21"/>
                      <w:highlight w:val="none"/>
                    </w:rPr>
                    <w:t>1次/</w:t>
                  </w:r>
                  <w:r>
                    <w:rPr>
                      <w:rFonts w:hint="eastAsia"/>
                      <w:bCs/>
                      <w:color w:val="auto"/>
                      <w:szCs w:val="21"/>
                      <w:highlight w:val="none"/>
                    </w:rPr>
                    <w:t>年</w:t>
                  </w:r>
                </w:p>
              </w:tc>
              <w:tc>
                <w:tcPr>
                  <w:tcW w:w="3124" w:type="dxa"/>
                  <w:vMerge w:val="restart"/>
                  <w:noWrap w:val="0"/>
                  <w:vAlign w:val="center"/>
                </w:tcPr>
                <w:p w14:paraId="11FC906E">
                  <w:pPr>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cs="Times New Roman"/>
                      <w:bCs/>
                      <w:color w:val="auto"/>
                      <w:szCs w:val="21"/>
                      <w:highlight w:val="none"/>
                    </w:rPr>
                    <w:t>广东省地方标准《大气污染物排放限值》（DB44/27-2001）第二时段二级标准</w:t>
                  </w:r>
                </w:p>
              </w:tc>
            </w:tr>
            <w:tr w14:paraId="32B431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09" w:type="dxa"/>
                  <w:vMerge w:val="continue"/>
                  <w:noWrap w:val="0"/>
                  <w:vAlign w:val="center"/>
                </w:tcPr>
                <w:p w14:paraId="3B492920">
                  <w:pPr>
                    <w:pStyle w:val="24"/>
                    <w:keepNext w:val="0"/>
                    <w:keepLines w:val="0"/>
                    <w:pageBreakBefore w:val="0"/>
                    <w:widowControl w:val="0"/>
                    <w:numPr>
                      <w:ilvl w:val="0"/>
                      <w:numId w:val="0"/>
                    </w:numPr>
                    <w:shd w:val="clear"/>
                    <w:kinsoku/>
                    <w:wordWrap/>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p>
              </w:tc>
              <w:tc>
                <w:tcPr>
                  <w:tcW w:w="1700" w:type="dxa"/>
                  <w:noWrap w:val="0"/>
                  <w:vAlign w:val="center"/>
                </w:tcPr>
                <w:p w14:paraId="5DD8F1FD">
                  <w:pPr>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lang w:val="en-US" w:eastAsia="zh-CN" w:bidi="ar-SA"/>
                    </w:rPr>
                    <w:t>氯化氢</w:t>
                  </w:r>
                </w:p>
              </w:tc>
              <w:tc>
                <w:tcPr>
                  <w:tcW w:w="1252" w:type="dxa"/>
                  <w:noWrap w:val="0"/>
                  <w:vAlign w:val="center"/>
                </w:tcPr>
                <w:p w14:paraId="2CEE9909">
                  <w:pPr>
                    <w:shd w:val="clear"/>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bCs/>
                      <w:color w:val="auto"/>
                      <w:szCs w:val="21"/>
                      <w:highlight w:val="none"/>
                    </w:rPr>
                    <w:t>1次/</w:t>
                  </w:r>
                  <w:r>
                    <w:rPr>
                      <w:rFonts w:hint="eastAsia"/>
                      <w:bCs/>
                      <w:color w:val="auto"/>
                      <w:szCs w:val="21"/>
                      <w:highlight w:val="none"/>
                    </w:rPr>
                    <w:t>年</w:t>
                  </w:r>
                </w:p>
              </w:tc>
              <w:tc>
                <w:tcPr>
                  <w:tcW w:w="3124" w:type="dxa"/>
                  <w:vMerge w:val="continue"/>
                  <w:noWrap w:val="0"/>
                  <w:vAlign w:val="center"/>
                </w:tcPr>
                <w:p w14:paraId="5321CAD5">
                  <w:pPr>
                    <w:shd w:val="clear"/>
                    <w:jc w:val="center"/>
                    <w:rPr>
                      <w:rFonts w:hint="default" w:ascii="Times New Roman" w:hAnsi="Times New Roman" w:eastAsia="宋体" w:cs="Times New Roman"/>
                      <w:b/>
                      <w:bCs w:val="0"/>
                      <w:color w:val="auto"/>
                      <w:spacing w:val="-10"/>
                      <w:sz w:val="21"/>
                      <w:szCs w:val="21"/>
                      <w:highlight w:val="none"/>
                      <w:vertAlign w:val="baseline"/>
                      <w:lang w:val="en-US" w:eastAsia="zh-CN"/>
                    </w:rPr>
                  </w:pPr>
                </w:p>
              </w:tc>
            </w:tr>
            <w:tr w14:paraId="70F5FA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09" w:type="dxa"/>
                  <w:vMerge w:val="continue"/>
                  <w:noWrap w:val="0"/>
                  <w:vAlign w:val="center"/>
                </w:tcPr>
                <w:p w14:paraId="1B205502">
                  <w:pPr>
                    <w:pStyle w:val="24"/>
                    <w:keepNext w:val="0"/>
                    <w:keepLines w:val="0"/>
                    <w:pageBreakBefore w:val="0"/>
                    <w:widowControl w:val="0"/>
                    <w:numPr>
                      <w:ilvl w:val="0"/>
                      <w:numId w:val="0"/>
                    </w:numPr>
                    <w:shd w:val="clear"/>
                    <w:kinsoku/>
                    <w:wordWrap/>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p>
              </w:tc>
              <w:tc>
                <w:tcPr>
                  <w:tcW w:w="1700" w:type="dxa"/>
                  <w:noWrap w:val="0"/>
                  <w:vAlign w:val="center"/>
                </w:tcPr>
                <w:p w14:paraId="00AB645E">
                  <w:pPr>
                    <w:jc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val="en-US" w:eastAsia="zh-CN" w:bidi="ar-SA"/>
                    </w:rPr>
                    <w:t>氮氧化物</w:t>
                  </w:r>
                </w:p>
              </w:tc>
              <w:tc>
                <w:tcPr>
                  <w:tcW w:w="1252" w:type="dxa"/>
                  <w:noWrap w:val="0"/>
                  <w:vAlign w:val="center"/>
                </w:tcPr>
                <w:p w14:paraId="44AA3F13">
                  <w:pPr>
                    <w:shd w:val="clear"/>
                    <w:jc w:val="center"/>
                    <w:rPr>
                      <w:rFonts w:hint="default" w:ascii="Times New Roman" w:hAnsi="Times New Roman" w:eastAsia="宋体" w:cs="Times New Roman"/>
                      <w:bCs/>
                      <w:color w:val="auto"/>
                      <w:sz w:val="21"/>
                      <w:szCs w:val="21"/>
                      <w:highlight w:val="none"/>
                      <w:lang w:bidi="ar"/>
                    </w:rPr>
                  </w:pPr>
                  <w:r>
                    <w:rPr>
                      <w:bCs/>
                      <w:color w:val="auto"/>
                      <w:szCs w:val="21"/>
                      <w:highlight w:val="none"/>
                    </w:rPr>
                    <w:t>1次/</w:t>
                  </w:r>
                  <w:r>
                    <w:rPr>
                      <w:rFonts w:hint="eastAsia"/>
                      <w:bCs/>
                      <w:color w:val="auto"/>
                      <w:szCs w:val="21"/>
                      <w:highlight w:val="none"/>
                    </w:rPr>
                    <w:t>年</w:t>
                  </w:r>
                </w:p>
              </w:tc>
              <w:tc>
                <w:tcPr>
                  <w:tcW w:w="3124" w:type="dxa"/>
                  <w:vMerge w:val="continue"/>
                  <w:noWrap w:val="0"/>
                  <w:vAlign w:val="center"/>
                </w:tcPr>
                <w:p w14:paraId="6BB3BAC2">
                  <w:pPr>
                    <w:shd w:val="clear"/>
                    <w:jc w:val="center"/>
                    <w:rPr>
                      <w:rFonts w:hint="default" w:ascii="Times New Roman" w:hAnsi="Times New Roman" w:eastAsia="宋体" w:cs="Times New Roman"/>
                      <w:color w:val="auto"/>
                      <w:sz w:val="21"/>
                      <w:szCs w:val="21"/>
                      <w:highlight w:val="none"/>
                    </w:rPr>
                  </w:pPr>
                </w:p>
              </w:tc>
            </w:tr>
            <w:tr w14:paraId="5E4F17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09" w:type="dxa"/>
                  <w:vMerge w:val="restart"/>
                  <w:noWrap w:val="0"/>
                  <w:vAlign w:val="center"/>
                </w:tcPr>
                <w:p w14:paraId="1D739282">
                  <w:pPr>
                    <w:pStyle w:val="24"/>
                    <w:keepNext w:val="0"/>
                    <w:keepLines w:val="0"/>
                    <w:pageBreakBefore w:val="0"/>
                    <w:widowControl w:val="0"/>
                    <w:numPr>
                      <w:ilvl w:val="0"/>
                      <w:numId w:val="0"/>
                    </w:numPr>
                    <w:shd w:val="clear"/>
                    <w:tabs>
                      <w:tab w:val="left" w:pos="430"/>
                    </w:tabs>
                    <w:kinsoku/>
                    <w:wordWrap/>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eastAsia" w:cs="Times New Roman"/>
                      <w:b w:val="0"/>
                      <w:bCs/>
                      <w:color w:val="auto"/>
                      <w:spacing w:val="-10"/>
                      <w:sz w:val="21"/>
                      <w:szCs w:val="21"/>
                      <w:highlight w:val="none"/>
                      <w:vertAlign w:val="baseline"/>
                      <w:lang w:val="en-US" w:eastAsia="zh-CN"/>
                    </w:rPr>
                    <w:t>G2</w:t>
                  </w:r>
                </w:p>
              </w:tc>
              <w:tc>
                <w:tcPr>
                  <w:tcW w:w="1700" w:type="dxa"/>
                  <w:noWrap w:val="0"/>
                  <w:vAlign w:val="center"/>
                </w:tcPr>
                <w:p w14:paraId="478FDC0F">
                  <w:pPr>
                    <w:jc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val="en-US" w:eastAsia="zh-CN" w:bidi="ar-SA"/>
                    </w:rPr>
                    <w:t>颗粒物</w:t>
                  </w:r>
                </w:p>
              </w:tc>
              <w:tc>
                <w:tcPr>
                  <w:tcW w:w="1252" w:type="dxa"/>
                  <w:noWrap w:val="0"/>
                  <w:vAlign w:val="center"/>
                </w:tcPr>
                <w:p w14:paraId="45609B73">
                  <w:pPr>
                    <w:shd w:val="clear"/>
                    <w:jc w:val="center"/>
                    <w:rPr>
                      <w:rFonts w:hint="default" w:ascii="Times New Roman" w:hAnsi="Times New Roman" w:eastAsia="宋体" w:cs="Times New Roman"/>
                      <w:bCs/>
                      <w:color w:val="auto"/>
                      <w:sz w:val="21"/>
                      <w:szCs w:val="21"/>
                      <w:highlight w:val="none"/>
                      <w:lang w:bidi="ar"/>
                    </w:rPr>
                  </w:pPr>
                  <w:r>
                    <w:rPr>
                      <w:bCs/>
                      <w:color w:val="auto"/>
                      <w:szCs w:val="21"/>
                      <w:highlight w:val="none"/>
                    </w:rPr>
                    <w:t>1次/</w:t>
                  </w:r>
                  <w:r>
                    <w:rPr>
                      <w:rFonts w:hint="eastAsia"/>
                      <w:bCs/>
                      <w:color w:val="auto"/>
                      <w:szCs w:val="21"/>
                      <w:highlight w:val="none"/>
                    </w:rPr>
                    <w:t>年</w:t>
                  </w:r>
                </w:p>
              </w:tc>
              <w:tc>
                <w:tcPr>
                  <w:tcW w:w="3124" w:type="dxa"/>
                  <w:vMerge w:val="restart"/>
                  <w:noWrap w:val="0"/>
                  <w:vAlign w:val="center"/>
                </w:tcPr>
                <w:p w14:paraId="596FD7DA">
                  <w:pPr>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bCs/>
                      <w:color w:val="auto"/>
                      <w:szCs w:val="21"/>
                      <w:highlight w:val="none"/>
                    </w:rPr>
                    <w:t>广东省地方标准《大气污染物排放限值》（DB44/27-2001）第二时段二级标准</w:t>
                  </w:r>
                </w:p>
              </w:tc>
            </w:tr>
            <w:tr w14:paraId="35C114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09" w:type="dxa"/>
                  <w:vMerge w:val="continue"/>
                  <w:noWrap w:val="0"/>
                  <w:vAlign w:val="center"/>
                </w:tcPr>
                <w:p w14:paraId="4DCB4162">
                  <w:pPr>
                    <w:pStyle w:val="24"/>
                    <w:keepNext w:val="0"/>
                    <w:keepLines w:val="0"/>
                    <w:pageBreakBefore w:val="0"/>
                    <w:widowControl w:val="0"/>
                    <w:numPr>
                      <w:ilvl w:val="0"/>
                      <w:numId w:val="0"/>
                    </w:numPr>
                    <w:shd w:val="clear"/>
                    <w:kinsoku/>
                    <w:wordWrap/>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p>
              </w:tc>
              <w:tc>
                <w:tcPr>
                  <w:tcW w:w="1700" w:type="dxa"/>
                  <w:noWrap w:val="0"/>
                  <w:vAlign w:val="center"/>
                </w:tcPr>
                <w:p w14:paraId="0FB51334">
                  <w:pPr>
                    <w:jc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val="en-US" w:eastAsia="zh-CN" w:bidi="ar-SA"/>
                    </w:rPr>
                    <w:t>甲醇</w:t>
                  </w:r>
                </w:p>
              </w:tc>
              <w:tc>
                <w:tcPr>
                  <w:tcW w:w="1252" w:type="dxa"/>
                  <w:noWrap w:val="0"/>
                  <w:vAlign w:val="center"/>
                </w:tcPr>
                <w:p w14:paraId="1F862E41">
                  <w:pPr>
                    <w:shd w:val="clear"/>
                    <w:jc w:val="center"/>
                    <w:rPr>
                      <w:rFonts w:hint="default" w:ascii="Times New Roman" w:hAnsi="Times New Roman" w:eastAsia="宋体" w:cs="Times New Roman"/>
                      <w:bCs/>
                      <w:color w:val="auto"/>
                      <w:sz w:val="21"/>
                      <w:szCs w:val="21"/>
                      <w:highlight w:val="none"/>
                      <w:lang w:bidi="ar"/>
                    </w:rPr>
                  </w:pPr>
                  <w:r>
                    <w:rPr>
                      <w:bCs/>
                      <w:color w:val="auto"/>
                      <w:szCs w:val="21"/>
                      <w:highlight w:val="none"/>
                    </w:rPr>
                    <w:t>1次/</w:t>
                  </w:r>
                  <w:r>
                    <w:rPr>
                      <w:rFonts w:hint="eastAsia"/>
                      <w:bCs/>
                      <w:color w:val="auto"/>
                      <w:szCs w:val="21"/>
                      <w:highlight w:val="none"/>
                    </w:rPr>
                    <w:t>年</w:t>
                  </w:r>
                </w:p>
              </w:tc>
              <w:tc>
                <w:tcPr>
                  <w:tcW w:w="3124" w:type="dxa"/>
                  <w:vMerge w:val="continue"/>
                  <w:noWrap w:val="0"/>
                  <w:vAlign w:val="center"/>
                </w:tcPr>
                <w:p w14:paraId="7F943D6C">
                  <w:pPr>
                    <w:shd w:val="clear"/>
                    <w:jc w:val="center"/>
                    <w:rPr>
                      <w:rFonts w:hint="default" w:ascii="Times New Roman" w:hAnsi="Times New Roman" w:eastAsia="宋体" w:cs="Times New Roman"/>
                      <w:color w:val="auto"/>
                      <w:sz w:val="21"/>
                      <w:szCs w:val="21"/>
                      <w:highlight w:val="none"/>
                    </w:rPr>
                  </w:pPr>
                </w:p>
              </w:tc>
            </w:tr>
            <w:tr w14:paraId="5003E6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09" w:type="dxa"/>
                  <w:vMerge w:val="continue"/>
                  <w:noWrap w:val="0"/>
                  <w:vAlign w:val="center"/>
                </w:tcPr>
                <w:p w14:paraId="7C33CDF3">
                  <w:pPr>
                    <w:pStyle w:val="24"/>
                    <w:keepNext w:val="0"/>
                    <w:keepLines w:val="0"/>
                    <w:pageBreakBefore w:val="0"/>
                    <w:widowControl w:val="0"/>
                    <w:numPr>
                      <w:ilvl w:val="0"/>
                      <w:numId w:val="0"/>
                    </w:numPr>
                    <w:shd w:val="clear"/>
                    <w:kinsoku/>
                    <w:wordWrap/>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p>
              </w:tc>
              <w:tc>
                <w:tcPr>
                  <w:tcW w:w="1700" w:type="dxa"/>
                  <w:noWrap w:val="0"/>
                  <w:vAlign w:val="center"/>
                </w:tcPr>
                <w:p w14:paraId="416277DE">
                  <w:pPr>
                    <w:jc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val="en-US" w:eastAsia="zh-CN" w:bidi="ar-SA"/>
                    </w:rPr>
                    <w:t>TVOC</w:t>
                  </w:r>
                </w:p>
              </w:tc>
              <w:tc>
                <w:tcPr>
                  <w:tcW w:w="1252" w:type="dxa"/>
                  <w:noWrap w:val="0"/>
                  <w:vAlign w:val="center"/>
                </w:tcPr>
                <w:p w14:paraId="3BDD8029">
                  <w:pPr>
                    <w:shd w:val="clear"/>
                    <w:jc w:val="center"/>
                    <w:rPr>
                      <w:rFonts w:hint="default" w:ascii="Times New Roman" w:hAnsi="Times New Roman" w:eastAsia="宋体" w:cs="Times New Roman"/>
                      <w:bCs/>
                      <w:color w:val="auto"/>
                      <w:sz w:val="21"/>
                      <w:szCs w:val="21"/>
                      <w:highlight w:val="none"/>
                      <w:lang w:bidi="ar"/>
                    </w:rPr>
                  </w:pPr>
                  <w:r>
                    <w:rPr>
                      <w:bCs/>
                      <w:color w:val="auto"/>
                      <w:szCs w:val="21"/>
                      <w:highlight w:val="none"/>
                    </w:rPr>
                    <w:t>1次/</w:t>
                  </w:r>
                  <w:r>
                    <w:rPr>
                      <w:rFonts w:hint="eastAsia"/>
                      <w:bCs/>
                      <w:color w:val="auto"/>
                      <w:szCs w:val="21"/>
                      <w:highlight w:val="none"/>
                    </w:rPr>
                    <w:t>年</w:t>
                  </w:r>
                </w:p>
              </w:tc>
              <w:tc>
                <w:tcPr>
                  <w:tcW w:w="3124" w:type="dxa"/>
                  <w:vMerge w:val="restart"/>
                  <w:noWrap w:val="0"/>
                  <w:vAlign w:val="center"/>
                </w:tcPr>
                <w:p w14:paraId="5BA185D4">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szCs w:val="21"/>
                      <w:highlight w:val="none"/>
                      <w:lang w:val="en-US" w:eastAsia="zh-CN"/>
                    </w:rPr>
                    <w:t>广东省地方标准《固定污染源挥发性有机物综合排放标准》（DB44/2367-2022）表1挥发性有机物排放限值</w:t>
                  </w:r>
                </w:p>
              </w:tc>
            </w:tr>
            <w:tr w14:paraId="7D6EE4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09" w:type="dxa"/>
                  <w:vMerge w:val="continue"/>
                  <w:noWrap w:val="0"/>
                  <w:vAlign w:val="center"/>
                </w:tcPr>
                <w:p w14:paraId="1D40A469">
                  <w:pPr>
                    <w:pStyle w:val="24"/>
                    <w:keepNext w:val="0"/>
                    <w:keepLines w:val="0"/>
                    <w:pageBreakBefore w:val="0"/>
                    <w:widowControl w:val="0"/>
                    <w:numPr>
                      <w:ilvl w:val="0"/>
                      <w:numId w:val="0"/>
                    </w:numPr>
                    <w:shd w:val="clear"/>
                    <w:kinsoku/>
                    <w:wordWrap/>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p>
              </w:tc>
              <w:tc>
                <w:tcPr>
                  <w:tcW w:w="1700" w:type="dxa"/>
                  <w:noWrap w:val="0"/>
                  <w:vAlign w:val="center"/>
                </w:tcPr>
                <w:p w14:paraId="38F2C777">
                  <w:pPr>
                    <w:jc w:val="center"/>
                    <w:rPr>
                      <w:rFonts w:hint="default" w:ascii="Times New Roman" w:hAnsi="Times New Roman" w:eastAsia="宋体" w:cs="Times New Roman"/>
                      <w:color w:val="auto"/>
                      <w:kern w:val="0"/>
                      <w:sz w:val="21"/>
                      <w:szCs w:val="21"/>
                      <w:highlight w:val="none"/>
                      <w:lang w:bidi="ar"/>
                    </w:rPr>
                  </w:pPr>
                  <w:r>
                    <w:rPr>
                      <w:rFonts w:hint="eastAsia" w:cs="Times New Roman"/>
                      <w:b w:val="0"/>
                      <w:bCs w:val="0"/>
                      <w:color w:val="auto"/>
                      <w:kern w:val="2"/>
                      <w:sz w:val="21"/>
                      <w:szCs w:val="21"/>
                      <w:highlight w:val="none"/>
                      <w:vertAlign w:val="baseline"/>
                      <w:lang w:val="en-US" w:eastAsia="zh-CN" w:bidi="ar-SA"/>
                    </w:rPr>
                    <w:t>非甲烷总烃</w:t>
                  </w:r>
                </w:p>
              </w:tc>
              <w:tc>
                <w:tcPr>
                  <w:tcW w:w="1252" w:type="dxa"/>
                  <w:noWrap w:val="0"/>
                  <w:vAlign w:val="center"/>
                </w:tcPr>
                <w:p w14:paraId="5F5BABCF">
                  <w:pPr>
                    <w:shd w:val="clear"/>
                    <w:jc w:val="center"/>
                    <w:rPr>
                      <w:rFonts w:hint="default" w:ascii="Times New Roman" w:hAnsi="Times New Roman" w:eastAsia="宋体" w:cs="Times New Roman"/>
                      <w:bCs/>
                      <w:color w:val="auto"/>
                      <w:sz w:val="21"/>
                      <w:szCs w:val="21"/>
                      <w:highlight w:val="none"/>
                      <w:lang w:bidi="ar"/>
                    </w:rPr>
                  </w:pPr>
                  <w:r>
                    <w:rPr>
                      <w:bCs/>
                      <w:color w:val="auto"/>
                      <w:szCs w:val="21"/>
                      <w:highlight w:val="none"/>
                    </w:rPr>
                    <w:t>1次/</w:t>
                  </w:r>
                  <w:r>
                    <w:rPr>
                      <w:rFonts w:hint="eastAsia"/>
                      <w:bCs/>
                      <w:color w:val="auto"/>
                      <w:szCs w:val="21"/>
                      <w:highlight w:val="none"/>
                    </w:rPr>
                    <w:t>年</w:t>
                  </w:r>
                </w:p>
              </w:tc>
              <w:tc>
                <w:tcPr>
                  <w:tcW w:w="3124" w:type="dxa"/>
                  <w:vMerge w:val="continue"/>
                  <w:noWrap w:val="0"/>
                  <w:vAlign w:val="center"/>
                </w:tcPr>
                <w:p w14:paraId="1B5CBB05">
                  <w:pPr>
                    <w:shd w:val="clear"/>
                    <w:jc w:val="center"/>
                    <w:rPr>
                      <w:rFonts w:hint="default" w:ascii="Times New Roman" w:hAnsi="Times New Roman" w:eastAsia="宋体" w:cs="Times New Roman"/>
                      <w:color w:val="auto"/>
                      <w:sz w:val="21"/>
                      <w:szCs w:val="21"/>
                      <w:highlight w:val="none"/>
                    </w:rPr>
                  </w:pPr>
                </w:p>
              </w:tc>
            </w:tr>
            <w:tr w14:paraId="25BC90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09" w:type="dxa"/>
                  <w:vMerge w:val="continue"/>
                  <w:noWrap w:val="0"/>
                  <w:vAlign w:val="center"/>
                </w:tcPr>
                <w:p w14:paraId="0165D22A">
                  <w:pPr>
                    <w:pStyle w:val="24"/>
                    <w:keepNext w:val="0"/>
                    <w:keepLines w:val="0"/>
                    <w:pageBreakBefore w:val="0"/>
                    <w:widowControl w:val="0"/>
                    <w:numPr>
                      <w:ilvl w:val="0"/>
                      <w:numId w:val="0"/>
                    </w:numPr>
                    <w:shd w:val="clear"/>
                    <w:kinsoku/>
                    <w:wordWrap/>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p>
              </w:tc>
              <w:tc>
                <w:tcPr>
                  <w:tcW w:w="1700" w:type="dxa"/>
                  <w:noWrap w:val="0"/>
                  <w:vAlign w:val="center"/>
                </w:tcPr>
                <w:p w14:paraId="345E36E2">
                  <w:pPr>
                    <w:jc w:val="center"/>
                    <w:rPr>
                      <w:rFonts w:hint="default" w:ascii="Times New Roman" w:hAnsi="Times New Roman" w:eastAsia="宋体" w:cs="Times New Roman"/>
                      <w:color w:val="auto"/>
                      <w:kern w:val="0"/>
                      <w:sz w:val="21"/>
                      <w:szCs w:val="21"/>
                      <w:highlight w:val="none"/>
                      <w:lang w:bidi="ar"/>
                    </w:rPr>
                  </w:pPr>
                  <w:r>
                    <w:rPr>
                      <w:rFonts w:hint="eastAsia" w:cs="Times New Roman"/>
                      <w:color w:val="auto"/>
                      <w:kern w:val="0"/>
                      <w:sz w:val="21"/>
                      <w:szCs w:val="21"/>
                      <w:highlight w:val="none"/>
                      <w:lang w:val="en-US" w:eastAsia="zh-CN" w:bidi="ar-SA"/>
                    </w:rPr>
                    <w:t>苯系物（甲苯）</w:t>
                  </w:r>
                </w:p>
              </w:tc>
              <w:tc>
                <w:tcPr>
                  <w:tcW w:w="1252" w:type="dxa"/>
                  <w:noWrap w:val="0"/>
                  <w:vAlign w:val="center"/>
                </w:tcPr>
                <w:p w14:paraId="2D3B71D8">
                  <w:pPr>
                    <w:shd w:val="clear"/>
                    <w:jc w:val="center"/>
                    <w:rPr>
                      <w:rFonts w:hint="default" w:ascii="Times New Roman" w:hAnsi="Times New Roman" w:eastAsia="宋体" w:cs="Times New Roman"/>
                      <w:bCs/>
                      <w:color w:val="auto"/>
                      <w:sz w:val="21"/>
                      <w:szCs w:val="21"/>
                      <w:highlight w:val="none"/>
                      <w:lang w:bidi="ar"/>
                    </w:rPr>
                  </w:pPr>
                  <w:r>
                    <w:rPr>
                      <w:bCs/>
                      <w:color w:val="auto"/>
                      <w:szCs w:val="21"/>
                      <w:highlight w:val="none"/>
                    </w:rPr>
                    <w:t>1次/</w:t>
                  </w:r>
                  <w:r>
                    <w:rPr>
                      <w:rFonts w:hint="eastAsia"/>
                      <w:bCs/>
                      <w:color w:val="auto"/>
                      <w:szCs w:val="21"/>
                      <w:highlight w:val="none"/>
                    </w:rPr>
                    <w:t>年</w:t>
                  </w:r>
                </w:p>
              </w:tc>
              <w:tc>
                <w:tcPr>
                  <w:tcW w:w="3124" w:type="dxa"/>
                  <w:vMerge w:val="continue"/>
                  <w:noWrap w:val="0"/>
                  <w:vAlign w:val="center"/>
                </w:tcPr>
                <w:p w14:paraId="3D565D5A">
                  <w:pPr>
                    <w:shd w:val="clear"/>
                    <w:jc w:val="center"/>
                    <w:rPr>
                      <w:rFonts w:hint="default" w:ascii="Times New Roman" w:hAnsi="Times New Roman" w:eastAsia="宋体" w:cs="Times New Roman"/>
                      <w:color w:val="auto"/>
                      <w:sz w:val="21"/>
                      <w:szCs w:val="21"/>
                      <w:highlight w:val="none"/>
                    </w:rPr>
                  </w:pPr>
                </w:p>
              </w:tc>
            </w:tr>
            <w:tr w14:paraId="3D18C3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09" w:type="dxa"/>
                  <w:vMerge w:val="continue"/>
                  <w:noWrap w:val="0"/>
                  <w:vAlign w:val="center"/>
                </w:tcPr>
                <w:p w14:paraId="1E570F05">
                  <w:pPr>
                    <w:pStyle w:val="24"/>
                    <w:keepNext w:val="0"/>
                    <w:keepLines w:val="0"/>
                    <w:pageBreakBefore w:val="0"/>
                    <w:widowControl w:val="0"/>
                    <w:numPr>
                      <w:ilvl w:val="0"/>
                      <w:numId w:val="0"/>
                    </w:numPr>
                    <w:shd w:val="clear"/>
                    <w:kinsoku/>
                    <w:wordWrap/>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p>
              </w:tc>
              <w:tc>
                <w:tcPr>
                  <w:tcW w:w="1700" w:type="dxa"/>
                  <w:noWrap w:val="0"/>
                  <w:vAlign w:val="center"/>
                </w:tcPr>
                <w:p w14:paraId="6BF1BEA9">
                  <w:pPr>
                    <w:jc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val="en-US" w:eastAsia="zh-CN" w:bidi="ar-SA"/>
                    </w:rPr>
                    <w:t>氨</w:t>
                  </w:r>
                </w:p>
              </w:tc>
              <w:tc>
                <w:tcPr>
                  <w:tcW w:w="1252" w:type="dxa"/>
                  <w:noWrap w:val="0"/>
                  <w:vAlign w:val="center"/>
                </w:tcPr>
                <w:p w14:paraId="03FF7041">
                  <w:pPr>
                    <w:shd w:val="clear"/>
                    <w:jc w:val="center"/>
                    <w:rPr>
                      <w:rFonts w:hint="default" w:ascii="Times New Roman" w:hAnsi="Times New Roman" w:eastAsia="宋体" w:cs="Times New Roman"/>
                      <w:bCs/>
                      <w:color w:val="auto"/>
                      <w:sz w:val="21"/>
                      <w:szCs w:val="21"/>
                      <w:highlight w:val="none"/>
                      <w:lang w:bidi="ar"/>
                    </w:rPr>
                  </w:pPr>
                  <w:r>
                    <w:rPr>
                      <w:bCs/>
                      <w:color w:val="auto"/>
                      <w:szCs w:val="21"/>
                      <w:highlight w:val="none"/>
                    </w:rPr>
                    <w:t>1次/</w:t>
                  </w:r>
                  <w:r>
                    <w:rPr>
                      <w:rFonts w:hint="eastAsia"/>
                      <w:bCs/>
                      <w:color w:val="auto"/>
                      <w:szCs w:val="21"/>
                      <w:highlight w:val="none"/>
                    </w:rPr>
                    <w:t>年</w:t>
                  </w:r>
                </w:p>
              </w:tc>
              <w:tc>
                <w:tcPr>
                  <w:tcW w:w="3124" w:type="dxa"/>
                  <w:vMerge w:val="restart"/>
                  <w:noWrap w:val="0"/>
                  <w:vAlign w:val="center"/>
                </w:tcPr>
                <w:p w14:paraId="45F13D95">
                  <w:pPr>
                    <w:shd w:val="clear"/>
                    <w:jc w:val="center"/>
                    <w:rPr>
                      <w:rFonts w:hint="default" w:ascii="Times New Roman" w:hAnsi="Times New Roman" w:eastAsia="宋体" w:cs="Times New Roman"/>
                      <w:color w:val="auto"/>
                      <w:sz w:val="21"/>
                      <w:szCs w:val="21"/>
                      <w:highlight w:val="none"/>
                    </w:rPr>
                  </w:pPr>
                  <w:r>
                    <w:rPr>
                      <w:color w:val="auto"/>
                      <w:highlight w:val="none"/>
                      <w:lang w:bidi="ar"/>
                    </w:rPr>
                    <w:t>《恶臭污染物排放标准》（GB14554-93）表</w:t>
                  </w:r>
                  <w:r>
                    <w:rPr>
                      <w:rFonts w:hint="eastAsia"/>
                      <w:color w:val="auto"/>
                      <w:highlight w:val="none"/>
                      <w:lang w:val="en-US" w:eastAsia="zh-CN" w:bidi="ar"/>
                    </w:rPr>
                    <w:t>2</w:t>
                  </w:r>
                  <w:r>
                    <w:rPr>
                      <w:color w:val="auto"/>
                      <w:highlight w:val="none"/>
                      <w:lang w:bidi="ar"/>
                    </w:rPr>
                    <w:t>恶臭污染物</w:t>
                  </w:r>
                  <w:r>
                    <w:rPr>
                      <w:rFonts w:hint="eastAsia"/>
                      <w:color w:val="auto"/>
                      <w:highlight w:val="none"/>
                      <w:lang w:val="en-US" w:eastAsia="zh-CN" w:bidi="ar"/>
                    </w:rPr>
                    <w:t>排放</w:t>
                  </w:r>
                  <w:r>
                    <w:rPr>
                      <w:color w:val="auto"/>
                      <w:highlight w:val="none"/>
                      <w:lang w:bidi="ar"/>
                    </w:rPr>
                    <w:t>标准值</w:t>
                  </w:r>
                </w:p>
              </w:tc>
            </w:tr>
            <w:tr w14:paraId="1769AE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09" w:type="dxa"/>
                  <w:vMerge w:val="continue"/>
                  <w:noWrap w:val="0"/>
                  <w:vAlign w:val="center"/>
                </w:tcPr>
                <w:p w14:paraId="5FE68230">
                  <w:pPr>
                    <w:pStyle w:val="24"/>
                    <w:keepNext w:val="0"/>
                    <w:keepLines w:val="0"/>
                    <w:pageBreakBefore w:val="0"/>
                    <w:widowControl w:val="0"/>
                    <w:numPr>
                      <w:ilvl w:val="0"/>
                      <w:numId w:val="0"/>
                    </w:numPr>
                    <w:shd w:val="clear"/>
                    <w:kinsoku/>
                    <w:wordWrap/>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p>
              </w:tc>
              <w:tc>
                <w:tcPr>
                  <w:tcW w:w="1700" w:type="dxa"/>
                  <w:noWrap w:val="0"/>
                  <w:vAlign w:val="center"/>
                </w:tcPr>
                <w:p w14:paraId="746CC851">
                  <w:pPr>
                    <w:jc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val="en-US" w:eastAsia="zh-CN" w:bidi="ar-SA"/>
                    </w:rPr>
                    <w:t>臭气浓度</w:t>
                  </w:r>
                </w:p>
              </w:tc>
              <w:tc>
                <w:tcPr>
                  <w:tcW w:w="1252" w:type="dxa"/>
                  <w:noWrap w:val="0"/>
                  <w:vAlign w:val="center"/>
                </w:tcPr>
                <w:p w14:paraId="4EC4CC62">
                  <w:pPr>
                    <w:shd w:val="clear"/>
                    <w:jc w:val="center"/>
                    <w:rPr>
                      <w:rFonts w:hint="default" w:ascii="Times New Roman" w:hAnsi="Times New Roman" w:eastAsia="宋体" w:cs="Times New Roman"/>
                      <w:bCs/>
                      <w:color w:val="auto"/>
                      <w:sz w:val="21"/>
                      <w:szCs w:val="21"/>
                      <w:highlight w:val="none"/>
                      <w:lang w:bidi="ar"/>
                    </w:rPr>
                  </w:pPr>
                  <w:r>
                    <w:rPr>
                      <w:bCs/>
                      <w:color w:val="auto"/>
                      <w:szCs w:val="21"/>
                      <w:highlight w:val="none"/>
                    </w:rPr>
                    <w:t>1次/</w:t>
                  </w:r>
                  <w:r>
                    <w:rPr>
                      <w:rFonts w:hint="eastAsia"/>
                      <w:bCs/>
                      <w:color w:val="auto"/>
                      <w:szCs w:val="21"/>
                      <w:highlight w:val="none"/>
                    </w:rPr>
                    <w:t>年</w:t>
                  </w:r>
                </w:p>
              </w:tc>
              <w:tc>
                <w:tcPr>
                  <w:tcW w:w="3124" w:type="dxa"/>
                  <w:vMerge w:val="continue"/>
                  <w:noWrap w:val="0"/>
                  <w:vAlign w:val="center"/>
                </w:tcPr>
                <w:p w14:paraId="220829C0">
                  <w:pPr>
                    <w:shd w:val="clear"/>
                    <w:jc w:val="center"/>
                    <w:rPr>
                      <w:rFonts w:hint="default" w:ascii="Times New Roman" w:hAnsi="Times New Roman" w:eastAsia="宋体" w:cs="Times New Roman"/>
                      <w:color w:val="auto"/>
                      <w:sz w:val="21"/>
                      <w:szCs w:val="21"/>
                      <w:highlight w:val="none"/>
                    </w:rPr>
                  </w:pPr>
                </w:p>
              </w:tc>
            </w:tr>
          </w:tbl>
          <w:p w14:paraId="11C24FBC">
            <w:pPr>
              <w:pStyle w:val="24"/>
              <w:keepNext w:val="0"/>
              <w:keepLines w:val="0"/>
              <w:pageBreakBefore w:val="0"/>
              <w:widowControl w:val="0"/>
              <w:numPr>
                <w:ilvl w:val="0"/>
                <w:numId w:val="0"/>
              </w:numPr>
              <w:shd w:val="clear"/>
              <w:kinsoku/>
              <w:wordWrap/>
              <w:overflowPunct/>
              <w:topLinePunct w:val="0"/>
              <w:autoSpaceDE/>
              <w:autoSpaceDN/>
              <w:bidi w:val="0"/>
              <w:adjustRightInd/>
              <w:snapToGrid w:val="0"/>
              <w:spacing w:after="0" w:line="360" w:lineRule="auto"/>
              <w:ind w:leftChars="0"/>
              <w:jc w:val="center"/>
              <w:textAlignment w:val="auto"/>
              <w:rPr>
                <w:rFonts w:hint="default" w:ascii="Times New Roman" w:hAnsi="Times New Roman" w:eastAsia="宋体" w:cs="Times New Roman"/>
                <w:b/>
                <w:bCs w:val="0"/>
                <w:color w:val="auto"/>
                <w:spacing w:val="-10"/>
                <w:sz w:val="24"/>
                <w:szCs w:val="24"/>
                <w:highlight w:val="none"/>
                <w:lang w:val="en-US" w:eastAsia="zh-CN"/>
              </w:rPr>
            </w:pPr>
            <w:r>
              <w:rPr>
                <w:rFonts w:hint="default" w:ascii="Times New Roman" w:hAnsi="Times New Roman" w:cs="Times New Roman"/>
                <w:b/>
                <w:bCs w:val="0"/>
                <w:color w:val="auto"/>
                <w:spacing w:val="-10"/>
                <w:sz w:val="24"/>
                <w:szCs w:val="24"/>
                <w:highlight w:val="none"/>
                <w:lang w:val="en-US" w:eastAsia="zh-CN"/>
              </w:rPr>
              <w:t>表</w:t>
            </w:r>
            <w:r>
              <w:rPr>
                <w:rFonts w:hint="eastAsia" w:cs="Times New Roman"/>
                <w:b/>
                <w:bCs w:val="0"/>
                <w:color w:val="auto"/>
                <w:spacing w:val="-10"/>
                <w:sz w:val="24"/>
                <w:szCs w:val="24"/>
                <w:highlight w:val="none"/>
                <w:lang w:val="en-US" w:eastAsia="zh-CN"/>
              </w:rPr>
              <w:t>33</w:t>
            </w:r>
            <w:r>
              <w:rPr>
                <w:rFonts w:hint="default" w:ascii="Times New Roman" w:hAnsi="Times New Roman" w:eastAsia="宋体" w:cs="Times New Roman"/>
                <w:b/>
                <w:bCs w:val="0"/>
                <w:color w:val="auto"/>
                <w:spacing w:val="-10"/>
                <w:sz w:val="24"/>
                <w:szCs w:val="24"/>
                <w:highlight w:val="none"/>
                <w:lang w:val="en-US" w:eastAsia="zh-CN"/>
              </w:rPr>
              <w:t>无组织废气监测计划表</w:t>
            </w:r>
          </w:p>
          <w:tbl>
            <w:tblPr>
              <w:tblStyle w:val="34"/>
              <w:tblW w:w="746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46"/>
              <w:gridCol w:w="1363"/>
              <w:gridCol w:w="1183"/>
              <w:gridCol w:w="3776"/>
            </w:tblGrid>
            <w:tr w14:paraId="7A5B82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46" w:type="dxa"/>
                  <w:noWrap w:val="0"/>
                  <w:vAlign w:val="center"/>
                </w:tcPr>
                <w:p w14:paraId="265B70B5">
                  <w:pPr>
                    <w:shd w:val="clear"/>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b/>
                      <w:color w:val="auto"/>
                      <w:sz w:val="21"/>
                      <w:szCs w:val="21"/>
                      <w:highlight w:val="none"/>
                      <w:lang w:bidi="ar"/>
                    </w:rPr>
                    <w:t>监测点位</w:t>
                  </w:r>
                </w:p>
              </w:tc>
              <w:tc>
                <w:tcPr>
                  <w:tcW w:w="1363" w:type="dxa"/>
                  <w:noWrap w:val="0"/>
                  <w:vAlign w:val="center"/>
                </w:tcPr>
                <w:p w14:paraId="636841F3">
                  <w:pPr>
                    <w:shd w:val="clear"/>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b/>
                      <w:color w:val="auto"/>
                      <w:sz w:val="21"/>
                      <w:szCs w:val="21"/>
                      <w:highlight w:val="none"/>
                      <w:lang w:bidi="ar"/>
                    </w:rPr>
                    <w:t>监测指标</w:t>
                  </w:r>
                </w:p>
              </w:tc>
              <w:tc>
                <w:tcPr>
                  <w:tcW w:w="1183" w:type="dxa"/>
                  <w:noWrap w:val="0"/>
                  <w:vAlign w:val="center"/>
                </w:tcPr>
                <w:p w14:paraId="01CE7D35">
                  <w:pPr>
                    <w:shd w:val="clear"/>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b/>
                      <w:color w:val="auto"/>
                      <w:sz w:val="21"/>
                      <w:szCs w:val="21"/>
                      <w:highlight w:val="none"/>
                      <w:lang w:bidi="ar"/>
                    </w:rPr>
                    <w:t>监测频次</w:t>
                  </w:r>
                </w:p>
              </w:tc>
              <w:tc>
                <w:tcPr>
                  <w:tcW w:w="3776" w:type="dxa"/>
                  <w:noWrap w:val="0"/>
                  <w:vAlign w:val="center"/>
                </w:tcPr>
                <w:p w14:paraId="79F1E934">
                  <w:pPr>
                    <w:shd w:val="clear"/>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b/>
                      <w:color w:val="auto"/>
                      <w:sz w:val="21"/>
                      <w:szCs w:val="21"/>
                      <w:highlight w:val="none"/>
                      <w:lang w:bidi="ar"/>
                    </w:rPr>
                    <w:t>执行排放标准</w:t>
                  </w:r>
                </w:p>
              </w:tc>
            </w:tr>
            <w:tr w14:paraId="751615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2" w:hRule="atLeast"/>
                <w:jc w:val="center"/>
              </w:trPr>
              <w:tc>
                <w:tcPr>
                  <w:tcW w:w="1146" w:type="dxa"/>
                  <w:vMerge w:val="restart"/>
                  <w:noWrap w:val="0"/>
                  <w:vAlign w:val="center"/>
                </w:tcPr>
                <w:p w14:paraId="199F0363">
                  <w:pPr>
                    <w:shd w:val="clear"/>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bidi="ar"/>
                    </w:rPr>
                    <w:t>厂界</w:t>
                  </w:r>
                </w:p>
              </w:tc>
              <w:tc>
                <w:tcPr>
                  <w:tcW w:w="1363" w:type="dxa"/>
                  <w:noWrap w:val="0"/>
                  <w:vAlign w:val="center"/>
                </w:tcPr>
                <w:p w14:paraId="2A8B01B7">
                  <w:pPr>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lang w:val="en-US" w:eastAsia="zh-CN" w:bidi="ar-SA"/>
                    </w:rPr>
                    <w:t>非甲烷总烃</w:t>
                  </w:r>
                </w:p>
              </w:tc>
              <w:tc>
                <w:tcPr>
                  <w:tcW w:w="1183" w:type="dxa"/>
                  <w:noWrap w:val="0"/>
                  <w:vAlign w:val="center"/>
                </w:tcPr>
                <w:p w14:paraId="4824DEE6">
                  <w:pPr>
                    <w:shd w:val="clear"/>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bCs/>
                      <w:color w:val="auto"/>
                      <w:sz w:val="21"/>
                      <w:szCs w:val="21"/>
                      <w:highlight w:val="none"/>
                    </w:rPr>
                    <w:t>1次/年</w:t>
                  </w:r>
                </w:p>
              </w:tc>
              <w:tc>
                <w:tcPr>
                  <w:tcW w:w="3776" w:type="dxa"/>
                  <w:vMerge w:val="restart"/>
                  <w:noWrap w:val="0"/>
                  <w:vAlign w:val="center"/>
                </w:tcPr>
                <w:p w14:paraId="5F45F0B2">
                  <w:pPr>
                    <w:pStyle w:val="62"/>
                    <w:rPr>
                      <w:rFonts w:hint="default" w:ascii="Times New Roman" w:hAnsi="Times New Roman" w:eastAsia="宋体" w:cs="Times New Roman"/>
                      <w:color w:val="auto"/>
                      <w:sz w:val="21"/>
                      <w:szCs w:val="21"/>
                      <w:highlight w:val="none"/>
                      <w:lang w:bidi="ar"/>
                    </w:rPr>
                  </w:pPr>
                  <w:r>
                    <w:rPr>
                      <w:rFonts w:hint="default" w:ascii="Times New Roman" w:hAnsi="Times New Roman" w:eastAsia="宋体" w:cs="Times New Roman"/>
                      <w:color w:val="auto"/>
                      <w:sz w:val="21"/>
                      <w:szCs w:val="21"/>
                      <w:highlight w:val="none"/>
                    </w:rPr>
                    <w:t>广东省地方标准《大气污染物排放限值》（DB44/27-2001）</w:t>
                  </w:r>
                  <w:r>
                    <w:rPr>
                      <w:rFonts w:hint="default" w:ascii="Times New Roman" w:hAnsi="Times New Roman" w:eastAsia="宋体" w:cs="Times New Roman"/>
                      <w:color w:val="auto"/>
                      <w:sz w:val="21"/>
                      <w:szCs w:val="21"/>
                      <w:highlight w:val="none"/>
                      <w:lang w:eastAsia="zh-CN"/>
                    </w:rPr>
                    <w:t>第二时段无组织排放监控浓度限值</w:t>
                  </w:r>
                </w:p>
              </w:tc>
            </w:tr>
            <w:tr w14:paraId="359506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4" w:hRule="atLeast"/>
                <w:jc w:val="center"/>
              </w:trPr>
              <w:tc>
                <w:tcPr>
                  <w:tcW w:w="1146" w:type="dxa"/>
                  <w:vMerge w:val="continue"/>
                  <w:noWrap w:val="0"/>
                  <w:vAlign w:val="center"/>
                </w:tcPr>
                <w:p w14:paraId="2EB92768">
                  <w:pPr>
                    <w:shd w:val="clear"/>
                    <w:spacing w:line="240" w:lineRule="auto"/>
                    <w:jc w:val="center"/>
                    <w:rPr>
                      <w:rFonts w:hint="default" w:ascii="Times New Roman" w:hAnsi="Times New Roman" w:eastAsia="宋体" w:cs="Times New Roman"/>
                      <w:color w:val="auto"/>
                      <w:sz w:val="21"/>
                      <w:szCs w:val="21"/>
                      <w:highlight w:val="none"/>
                      <w:lang w:bidi="ar"/>
                    </w:rPr>
                  </w:pPr>
                </w:p>
              </w:tc>
              <w:tc>
                <w:tcPr>
                  <w:tcW w:w="1363" w:type="dxa"/>
                  <w:noWrap w:val="0"/>
                  <w:vAlign w:val="center"/>
                </w:tcPr>
                <w:p w14:paraId="3FBCB6E6">
                  <w:pPr>
                    <w:jc w:val="center"/>
                    <w:rPr>
                      <w:rFonts w:hint="default" w:ascii="Times New Roman" w:hAnsi="Times New Roman" w:eastAsia="宋体" w:cs="Times New Roman"/>
                      <w:color w:val="auto"/>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SA"/>
                    </w:rPr>
                    <w:t>其中：甲醇</w:t>
                  </w:r>
                </w:p>
              </w:tc>
              <w:tc>
                <w:tcPr>
                  <w:tcW w:w="1183" w:type="dxa"/>
                  <w:noWrap w:val="0"/>
                  <w:vAlign w:val="center"/>
                </w:tcPr>
                <w:p w14:paraId="3ABCF71B">
                  <w:pPr>
                    <w:shd w:val="clear"/>
                    <w:jc w:val="center"/>
                    <w:rPr>
                      <w:rFonts w:hint="default" w:ascii="Times New Roman" w:hAnsi="Times New Roman" w:eastAsia="宋体" w:cs="Times New Roman"/>
                      <w:bCs/>
                      <w:color w:val="auto"/>
                      <w:sz w:val="21"/>
                      <w:szCs w:val="21"/>
                      <w:highlight w:val="none"/>
                      <w:lang w:bidi="ar"/>
                    </w:rPr>
                  </w:pPr>
                  <w:r>
                    <w:rPr>
                      <w:rFonts w:hint="default" w:ascii="Times New Roman" w:hAnsi="Times New Roman" w:eastAsia="宋体" w:cs="Times New Roman"/>
                      <w:bCs/>
                      <w:color w:val="auto"/>
                      <w:sz w:val="21"/>
                      <w:szCs w:val="21"/>
                      <w:highlight w:val="none"/>
                    </w:rPr>
                    <w:t>1次/年</w:t>
                  </w:r>
                </w:p>
              </w:tc>
              <w:tc>
                <w:tcPr>
                  <w:tcW w:w="3776" w:type="dxa"/>
                  <w:vMerge w:val="continue"/>
                  <w:noWrap w:val="0"/>
                  <w:vAlign w:val="center"/>
                </w:tcPr>
                <w:p w14:paraId="5C62ED3D">
                  <w:pPr>
                    <w:shd w:val="clear"/>
                    <w:jc w:val="center"/>
                    <w:rPr>
                      <w:rFonts w:hint="default" w:ascii="Times New Roman" w:hAnsi="Times New Roman" w:eastAsia="宋体" w:cs="Times New Roman"/>
                      <w:color w:val="auto"/>
                      <w:sz w:val="21"/>
                      <w:szCs w:val="21"/>
                      <w:highlight w:val="none"/>
                      <w:lang w:bidi="ar"/>
                    </w:rPr>
                  </w:pPr>
                </w:p>
              </w:tc>
            </w:tr>
            <w:tr w14:paraId="5CE679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46" w:type="dxa"/>
                  <w:vMerge w:val="continue"/>
                  <w:noWrap w:val="0"/>
                  <w:vAlign w:val="top"/>
                </w:tcPr>
                <w:p w14:paraId="42A17C54">
                  <w:pPr>
                    <w:pStyle w:val="24"/>
                    <w:keepNext w:val="0"/>
                    <w:keepLines w:val="0"/>
                    <w:pageBreakBefore w:val="0"/>
                    <w:widowControl w:val="0"/>
                    <w:numPr>
                      <w:ilvl w:val="0"/>
                      <w:numId w:val="0"/>
                    </w:numPr>
                    <w:shd w:val="clear"/>
                    <w:kinsoku/>
                    <w:wordWrap/>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p>
              </w:tc>
              <w:tc>
                <w:tcPr>
                  <w:tcW w:w="1363" w:type="dxa"/>
                  <w:noWrap w:val="0"/>
                  <w:vAlign w:val="center"/>
                </w:tcPr>
                <w:p w14:paraId="40275293">
                  <w:pPr>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lang w:val="en-US" w:eastAsia="zh-CN" w:bidi="ar-SA"/>
                    </w:rPr>
                    <w:t>其中：甲苯</w:t>
                  </w:r>
                </w:p>
              </w:tc>
              <w:tc>
                <w:tcPr>
                  <w:tcW w:w="1183" w:type="dxa"/>
                  <w:noWrap w:val="0"/>
                  <w:vAlign w:val="center"/>
                </w:tcPr>
                <w:p w14:paraId="39FC0689">
                  <w:pPr>
                    <w:shd w:val="clear"/>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bCs/>
                      <w:color w:val="auto"/>
                      <w:sz w:val="21"/>
                      <w:szCs w:val="21"/>
                      <w:highlight w:val="none"/>
                    </w:rPr>
                    <w:t>1次/年</w:t>
                  </w:r>
                </w:p>
              </w:tc>
              <w:tc>
                <w:tcPr>
                  <w:tcW w:w="3776" w:type="dxa"/>
                  <w:vMerge w:val="continue"/>
                  <w:noWrap w:val="0"/>
                  <w:vAlign w:val="top"/>
                </w:tcPr>
                <w:p w14:paraId="6160F03E">
                  <w:pPr>
                    <w:pStyle w:val="24"/>
                    <w:keepNext w:val="0"/>
                    <w:keepLines w:val="0"/>
                    <w:pageBreakBefore w:val="0"/>
                    <w:widowControl w:val="0"/>
                    <w:numPr>
                      <w:ilvl w:val="0"/>
                      <w:numId w:val="0"/>
                    </w:numPr>
                    <w:shd w:val="clear"/>
                    <w:kinsoku/>
                    <w:wordWrap/>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p>
              </w:tc>
            </w:tr>
            <w:tr w14:paraId="5678D7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46" w:type="dxa"/>
                  <w:vMerge w:val="continue"/>
                  <w:noWrap w:val="0"/>
                  <w:vAlign w:val="top"/>
                </w:tcPr>
                <w:p w14:paraId="784DB43A">
                  <w:pPr>
                    <w:pStyle w:val="24"/>
                    <w:keepNext w:val="0"/>
                    <w:keepLines w:val="0"/>
                    <w:pageBreakBefore w:val="0"/>
                    <w:widowControl w:val="0"/>
                    <w:numPr>
                      <w:ilvl w:val="0"/>
                      <w:numId w:val="0"/>
                    </w:numPr>
                    <w:shd w:val="clear"/>
                    <w:kinsoku/>
                    <w:wordWrap/>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p>
              </w:tc>
              <w:tc>
                <w:tcPr>
                  <w:tcW w:w="1363" w:type="dxa"/>
                  <w:noWrap w:val="0"/>
                  <w:vAlign w:val="center"/>
                </w:tcPr>
                <w:p w14:paraId="1420AE50">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bidi="ar-SA"/>
                    </w:rPr>
                    <w:t>硫酸雾</w:t>
                  </w:r>
                </w:p>
              </w:tc>
              <w:tc>
                <w:tcPr>
                  <w:tcW w:w="1183" w:type="dxa"/>
                  <w:noWrap w:val="0"/>
                  <w:vAlign w:val="center"/>
                </w:tcPr>
                <w:p w14:paraId="10C7317C">
                  <w:pPr>
                    <w:shd w:val="clear"/>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lang w:bidi="ar"/>
                    </w:rPr>
                    <w:t>1次/年</w:t>
                  </w:r>
                </w:p>
              </w:tc>
              <w:tc>
                <w:tcPr>
                  <w:tcW w:w="3776" w:type="dxa"/>
                  <w:vMerge w:val="continue"/>
                  <w:noWrap w:val="0"/>
                  <w:vAlign w:val="center"/>
                </w:tcPr>
                <w:p w14:paraId="2E610A19">
                  <w:pPr>
                    <w:pStyle w:val="62"/>
                    <w:shd w:val="clear"/>
                    <w:rPr>
                      <w:rFonts w:hint="default" w:ascii="Times New Roman" w:hAnsi="Times New Roman" w:eastAsia="宋体" w:cs="Times New Roman"/>
                      <w:i w:val="0"/>
                      <w:iCs w:val="0"/>
                      <w:color w:val="auto"/>
                      <w:kern w:val="0"/>
                      <w:sz w:val="21"/>
                      <w:szCs w:val="21"/>
                      <w:highlight w:val="none"/>
                      <w:u w:val="none"/>
                      <w:lang w:val="en-US" w:eastAsia="zh-CN" w:bidi="ar"/>
                    </w:rPr>
                  </w:pPr>
                </w:p>
              </w:tc>
            </w:tr>
            <w:tr w14:paraId="260A58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46" w:type="dxa"/>
                  <w:vMerge w:val="continue"/>
                  <w:noWrap w:val="0"/>
                  <w:vAlign w:val="top"/>
                </w:tcPr>
                <w:p w14:paraId="10ABE47A">
                  <w:pPr>
                    <w:pStyle w:val="24"/>
                    <w:keepNext w:val="0"/>
                    <w:keepLines w:val="0"/>
                    <w:pageBreakBefore w:val="0"/>
                    <w:widowControl w:val="0"/>
                    <w:numPr>
                      <w:ilvl w:val="0"/>
                      <w:numId w:val="0"/>
                    </w:numPr>
                    <w:shd w:val="clear"/>
                    <w:kinsoku/>
                    <w:wordWrap/>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p>
              </w:tc>
              <w:tc>
                <w:tcPr>
                  <w:tcW w:w="1363" w:type="dxa"/>
                  <w:noWrap w:val="0"/>
                  <w:vAlign w:val="center"/>
                </w:tcPr>
                <w:p w14:paraId="07362528">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SA"/>
                    </w:rPr>
                    <w:t>氯化氢</w:t>
                  </w:r>
                </w:p>
              </w:tc>
              <w:tc>
                <w:tcPr>
                  <w:tcW w:w="1183" w:type="dxa"/>
                  <w:noWrap w:val="0"/>
                  <w:vAlign w:val="center"/>
                </w:tcPr>
                <w:p w14:paraId="3019019F">
                  <w:pPr>
                    <w:shd w:val="clear"/>
                    <w:jc w:val="center"/>
                    <w:rPr>
                      <w:rFonts w:hint="default" w:ascii="Times New Roman" w:hAnsi="Times New Roman" w:eastAsia="宋体" w:cs="Times New Roman"/>
                      <w:bCs/>
                      <w:color w:val="auto"/>
                      <w:sz w:val="21"/>
                      <w:szCs w:val="21"/>
                      <w:highlight w:val="none"/>
                      <w:lang w:bidi="ar"/>
                    </w:rPr>
                  </w:pPr>
                  <w:r>
                    <w:rPr>
                      <w:rFonts w:hint="default" w:ascii="Times New Roman" w:hAnsi="Times New Roman" w:eastAsia="宋体" w:cs="Times New Roman"/>
                      <w:bCs/>
                      <w:color w:val="auto"/>
                      <w:sz w:val="21"/>
                      <w:szCs w:val="21"/>
                      <w:highlight w:val="none"/>
                    </w:rPr>
                    <w:t>1次/年</w:t>
                  </w:r>
                </w:p>
              </w:tc>
              <w:tc>
                <w:tcPr>
                  <w:tcW w:w="3776" w:type="dxa"/>
                  <w:vMerge w:val="continue"/>
                  <w:noWrap w:val="0"/>
                  <w:vAlign w:val="center"/>
                </w:tcPr>
                <w:p w14:paraId="4C000794">
                  <w:pPr>
                    <w:pStyle w:val="24"/>
                    <w:keepNext w:val="0"/>
                    <w:keepLines w:val="0"/>
                    <w:pageBreakBefore w:val="0"/>
                    <w:widowControl w:val="0"/>
                    <w:numPr>
                      <w:ilvl w:val="0"/>
                      <w:numId w:val="0"/>
                    </w:numPr>
                    <w:shd w:val="clear"/>
                    <w:kinsoku/>
                    <w:wordWrap/>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i w:val="0"/>
                      <w:iCs w:val="0"/>
                      <w:color w:val="auto"/>
                      <w:kern w:val="0"/>
                      <w:sz w:val="21"/>
                      <w:szCs w:val="21"/>
                      <w:highlight w:val="none"/>
                      <w:u w:val="none"/>
                      <w:lang w:val="en-US" w:eastAsia="zh-CN" w:bidi="ar"/>
                    </w:rPr>
                  </w:pPr>
                </w:p>
              </w:tc>
            </w:tr>
            <w:tr w14:paraId="068212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46" w:type="dxa"/>
                  <w:vMerge w:val="continue"/>
                  <w:noWrap w:val="0"/>
                  <w:vAlign w:val="top"/>
                </w:tcPr>
                <w:p w14:paraId="1C603D10">
                  <w:pPr>
                    <w:pStyle w:val="24"/>
                    <w:keepNext w:val="0"/>
                    <w:keepLines w:val="0"/>
                    <w:pageBreakBefore w:val="0"/>
                    <w:widowControl w:val="0"/>
                    <w:numPr>
                      <w:ilvl w:val="0"/>
                      <w:numId w:val="0"/>
                    </w:numPr>
                    <w:shd w:val="clear"/>
                    <w:kinsoku/>
                    <w:wordWrap/>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p>
              </w:tc>
              <w:tc>
                <w:tcPr>
                  <w:tcW w:w="1363" w:type="dxa"/>
                  <w:noWrap w:val="0"/>
                  <w:vAlign w:val="center"/>
                </w:tcPr>
                <w:p w14:paraId="7E0F74E5">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SA"/>
                    </w:rPr>
                    <w:t>颗粒物</w:t>
                  </w:r>
                </w:p>
              </w:tc>
              <w:tc>
                <w:tcPr>
                  <w:tcW w:w="1183" w:type="dxa"/>
                  <w:noWrap w:val="0"/>
                  <w:vAlign w:val="center"/>
                </w:tcPr>
                <w:p w14:paraId="39B63E43">
                  <w:pPr>
                    <w:shd w:val="clear"/>
                    <w:jc w:val="center"/>
                    <w:rPr>
                      <w:rFonts w:hint="default" w:ascii="Times New Roman" w:hAnsi="Times New Roman" w:eastAsia="宋体" w:cs="Times New Roman"/>
                      <w:bCs/>
                      <w:color w:val="auto"/>
                      <w:sz w:val="21"/>
                      <w:szCs w:val="21"/>
                      <w:highlight w:val="none"/>
                      <w:lang w:bidi="ar"/>
                    </w:rPr>
                  </w:pPr>
                  <w:r>
                    <w:rPr>
                      <w:rFonts w:hint="default" w:ascii="Times New Roman" w:hAnsi="Times New Roman" w:eastAsia="宋体" w:cs="Times New Roman"/>
                      <w:bCs/>
                      <w:color w:val="auto"/>
                      <w:sz w:val="21"/>
                      <w:szCs w:val="21"/>
                      <w:highlight w:val="none"/>
                    </w:rPr>
                    <w:t>1次/年</w:t>
                  </w:r>
                </w:p>
              </w:tc>
              <w:tc>
                <w:tcPr>
                  <w:tcW w:w="3776" w:type="dxa"/>
                  <w:vMerge w:val="continue"/>
                  <w:noWrap w:val="0"/>
                  <w:vAlign w:val="top"/>
                </w:tcPr>
                <w:p w14:paraId="74C5BB1D">
                  <w:pPr>
                    <w:pStyle w:val="24"/>
                    <w:keepNext w:val="0"/>
                    <w:keepLines w:val="0"/>
                    <w:pageBreakBefore w:val="0"/>
                    <w:widowControl w:val="0"/>
                    <w:numPr>
                      <w:ilvl w:val="0"/>
                      <w:numId w:val="0"/>
                    </w:numPr>
                    <w:shd w:val="clear"/>
                    <w:kinsoku/>
                    <w:wordWrap/>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i w:val="0"/>
                      <w:iCs w:val="0"/>
                      <w:color w:val="auto"/>
                      <w:kern w:val="0"/>
                      <w:sz w:val="21"/>
                      <w:szCs w:val="21"/>
                      <w:highlight w:val="none"/>
                      <w:u w:val="none"/>
                      <w:lang w:val="en-US" w:eastAsia="zh-CN" w:bidi="ar"/>
                    </w:rPr>
                  </w:pPr>
                </w:p>
              </w:tc>
            </w:tr>
            <w:tr w14:paraId="0B4C12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46" w:type="dxa"/>
                  <w:vMerge w:val="continue"/>
                  <w:noWrap w:val="0"/>
                  <w:vAlign w:val="top"/>
                </w:tcPr>
                <w:p w14:paraId="6ABF8D77">
                  <w:pPr>
                    <w:pStyle w:val="24"/>
                    <w:keepNext w:val="0"/>
                    <w:keepLines w:val="0"/>
                    <w:pageBreakBefore w:val="0"/>
                    <w:widowControl w:val="0"/>
                    <w:numPr>
                      <w:ilvl w:val="0"/>
                      <w:numId w:val="0"/>
                    </w:numPr>
                    <w:shd w:val="clear"/>
                    <w:kinsoku/>
                    <w:wordWrap/>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p>
              </w:tc>
              <w:tc>
                <w:tcPr>
                  <w:tcW w:w="1363" w:type="dxa"/>
                  <w:noWrap w:val="0"/>
                  <w:vAlign w:val="center"/>
                </w:tcPr>
                <w:p w14:paraId="51601EF3">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SA"/>
                    </w:rPr>
                    <w:t>氮氧化物</w:t>
                  </w:r>
                </w:p>
              </w:tc>
              <w:tc>
                <w:tcPr>
                  <w:tcW w:w="1183" w:type="dxa"/>
                  <w:noWrap w:val="0"/>
                  <w:vAlign w:val="center"/>
                </w:tcPr>
                <w:p w14:paraId="542A05D4">
                  <w:pPr>
                    <w:shd w:val="clear"/>
                    <w:jc w:val="center"/>
                    <w:rPr>
                      <w:rFonts w:hint="default" w:ascii="Times New Roman" w:hAnsi="Times New Roman" w:eastAsia="宋体" w:cs="Times New Roman"/>
                      <w:bCs/>
                      <w:color w:val="auto"/>
                      <w:sz w:val="21"/>
                      <w:szCs w:val="21"/>
                      <w:highlight w:val="none"/>
                      <w:lang w:bidi="ar"/>
                    </w:rPr>
                  </w:pPr>
                  <w:r>
                    <w:rPr>
                      <w:rFonts w:hint="default" w:ascii="Times New Roman" w:hAnsi="Times New Roman" w:eastAsia="宋体" w:cs="Times New Roman"/>
                      <w:bCs/>
                      <w:color w:val="auto"/>
                      <w:sz w:val="21"/>
                      <w:szCs w:val="21"/>
                      <w:highlight w:val="none"/>
                    </w:rPr>
                    <w:t>1次/年</w:t>
                  </w:r>
                </w:p>
              </w:tc>
              <w:tc>
                <w:tcPr>
                  <w:tcW w:w="3776" w:type="dxa"/>
                  <w:vMerge w:val="continue"/>
                  <w:noWrap w:val="0"/>
                  <w:vAlign w:val="top"/>
                </w:tcPr>
                <w:p w14:paraId="678F823E">
                  <w:pPr>
                    <w:pStyle w:val="24"/>
                    <w:keepNext w:val="0"/>
                    <w:keepLines w:val="0"/>
                    <w:pageBreakBefore w:val="0"/>
                    <w:widowControl w:val="0"/>
                    <w:numPr>
                      <w:ilvl w:val="0"/>
                      <w:numId w:val="0"/>
                    </w:numPr>
                    <w:shd w:val="clear"/>
                    <w:kinsoku/>
                    <w:wordWrap/>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i w:val="0"/>
                      <w:iCs w:val="0"/>
                      <w:color w:val="auto"/>
                      <w:kern w:val="0"/>
                      <w:sz w:val="21"/>
                      <w:szCs w:val="21"/>
                      <w:highlight w:val="none"/>
                      <w:u w:val="none"/>
                      <w:lang w:val="en-US" w:eastAsia="zh-CN" w:bidi="ar"/>
                    </w:rPr>
                  </w:pPr>
                </w:p>
              </w:tc>
            </w:tr>
            <w:tr w14:paraId="49D70F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46" w:type="dxa"/>
                  <w:vMerge w:val="continue"/>
                  <w:noWrap w:val="0"/>
                  <w:vAlign w:val="top"/>
                </w:tcPr>
                <w:p w14:paraId="52F1080C">
                  <w:pPr>
                    <w:pStyle w:val="24"/>
                    <w:keepNext w:val="0"/>
                    <w:keepLines w:val="0"/>
                    <w:pageBreakBefore w:val="0"/>
                    <w:widowControl w:val="0"/>
                    <w:numPr>
                      <w:ilvl w:val="0"/>
                      <w:numId w:val="0"/>
                    </w:numPr>
                    <w:shd w:val="clear"/>
                    <w:kinsoku/>
                    <w:wordWrap/>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p>
              </w:tc>
              <w:tc>
                <w:tcPr>
                  <w:tcW w:w="1363" w:type="dxa"/>
                  <w:noWrap w:val="0"/>
                  <w:vAlign w:val="center"/>
                </w:tcPr>
                <w:p w14:paraId="43FFEF7C">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SA"/>
                    </w:rPr>
                    <w:t>氨</w:t>
                  </w:r>
                </w:p>
              </w:tc>
              <w:tc>
                <w:tcPr>
                  <w:tcW w:w="1183" w:type="dxa"/>
                  <w:noWrap w:val="0"/>
                  <w:vAlign w:val="center"/>
                </w:tcPr>
                <w:p w14:paraId="0BB074DC">
                  <w:pPr>
                    <w:shd w:val="clear"/>
                    <w:jc w:val="center"/>
                    <w:rPr>
                      <w:rFonts w:hint="default" w:ascii="Times New Roman" w:hAnsi="Times New Roman" w:eastAsia="宋体" w:cs="Times New Roman"/>
                      <w:bCs/>
                      <w:color w:val="auto"/>
                      <w:sz w:val="21"/>
                      <w:szCs w:val="21"/>
                      <w:highlight w:val="none"/>
                      <w:lang w:bidi="ar"/>
                    </w:rPr>
                  </w:pPr>
                  <w:r>
                    <w:rPr>
                      <w:rFonts w:hint="default" w:ascii="Times New Roman" w:hAnsi="Times New Roman" w:eastAsia="宋体" w:cs="Times New Roman"/>
                      <w:bCs/>
                      <w:color w:val="auto"/>
                      <w:sz w:val="21"/>
                      <w:szCs w:val="21"/>
                      <w:highlight w:val="none"/>
                    </w:rPr>
                    <w:t>1次/年</w:t>
                  </w:r>
                </w:p>
              </w:tc>
              <w:tc>
                <w:tcPr>
                  <w:tcW w:w="3776" w:type="dxa"/>
                  <w:vMerge w:val="restart"/>
                  <w:noWrap w:val="0"/>
                  <w:vAlign w:val="center"/>
                </w:tcPr>
                <w:p w14:paraId="7E89BAE3">
                  <w:pPr>
                    <w:pStyle w:val="62"/>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color w:val="auto"/>
                      <w:sz w:val="21"/>
                      <w:szCs w:val="21"/>
                      <w:highlight w:val="none"/>
                      <w:lang w:bidi="ar"/>
                    </w:rPr>
                    <w:t>《恶臭污染物排放标准》（GB14554-93）中表1恶臭污染物厂界标准值</w:t>
                  </w:r>
                </w:p>
              </w:tc>
            </w:tr>
            <w:tr w14:paraId="5C3C29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46" w:type="dxa"/>
                  <w:vMerge w:val="continue"/>
                  <w:noWrap w:val="0"/>
                  <w:vAlign w:val="top"/>
                </w:tcPr>
                <w:p w14:paraId="34047DC1">
                  <w:pPr>
                    <w:pStyle w:val="24"/>
                    <w:keepNext w:val="0"/>
                    <w:keepLines w:val="0"/>
                    <w:pageBreakBefore w:val="0"/>
                    <w:widowControl w:val="0"/>
                    <w:numPr>
                      <w:ilvl w:val="0"/>
                      <w:numId w:val="0"/>
                    </w:numPr>
                    <w:shd w:val="clear"/>
                    <w:kinsoku/>
                    <w:wordWrap/>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p>
              </w:tc>
              <w:tc>
                <w:tcPr>
                  <w:tcW w:w="1363" w:type="dxa"/>
                  <w:noWrap w:val="0"/>
                  <w:vAlign w:val="center"/>
                </w:tcPr>
                <w:p w14:paraId="785C48FD">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SA"/>
                    </w:rPr>
                    <w:t>臭气浓度</w:t>
                  </w:r>
                </w:p>
              </w:tc>
              <w:tc>
                <w:tcPr>
                  <w:tcW w:w="1183" w:type="dxa"/>
                  <w:noWrap w:val="0"/>
                  <w:vAlign w:val="center"/>
                </w:tcPr>
                <w:p w14:paraId="098EC616">
                  <w:pPr>
                    <w:shd w:val="clear"/>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1次/年</w:t>
                  </w:r>
                </w:p>
              </w:tc>
              <w:tc>
                <w:tcPr>
                  <w:tcW w:w="3776" w:type="dxa"/>
                  <w:vMerge w:val="continue"/>
                  <w:noWrap w:val="0"/>
                  <w:vAlign w:val="top"/>
                </w:tcPr>
                <w:p w14:paraId="7198678B">
                  <w:pPr>
                    <w:pStyle w:val="24"/>
                    <w:keepNext w:val="0"/>
                    <w:keepLines w:val="0"/>
                    <w:pageBreakBefore w:val="0"/>
                    <w:widowControl w:val="0"/>
                    <w:numPr>
                      <w:ilvl w:val="0"/>
                      <w:numId w:val="0"/>
                    </w:numPr>
                    <w:shd w:val="clear"/>
                    <w:kinsoku/>
                    <w:wordWrap/>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i w:val="0"/>
                      <w:iCs w:val="0"/>
                      <w:color w:val="auto"/>
                      <w:kern w:val="0"/>
                      <w:sz w:val="21"/>
                      <w:szCs w:val="21"/>
                      <w:highlight w:val="none"/>
                      <w:u w:val="none"/>
                      <w:lang w:val="en-US" w:eastAsia="zh-CN" w:bidi="ar"/>
                    </w:rPr>
                  </w:pPr>
                </w:p>
              </w:tc>
            </w:tr>
            <w:tr w14:paraId="0A589C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46" w:type="dxa"/>
                  <w:noWrap w:val="0"/>
                  <w:vAlign w:val="center"/>
                </w:tcPr>
                <w:p w14:paraId="0A696E40">
                  <w:pPr>
                    <w:shd w:val="clear"/>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bidi="ar"/>
                    </w:rPr>
                    <w:t>厂区内</w:t>
                  </w:r>
                </w:p>
              </w:tc>
              <w:tc>
                <w:tcPr>
                  <w:tcW w:w="1363" w:type="dxa"/>
                  <w:noWrap w:val="0"/>
                  <w:vAlign w:val="center"/>
                </w:tcPr>
                <w:p w14:paraId="750201B2">
                  <w:pPr>
                    <w:widowControl/>
                    <w:shd w:val="clear"/>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bidi="ar"/>
                    </w:rPr>
                    <w:t>非甲烷总烃</w:t>
                  </w:r>
                </w:p>
              </w:tc>
              <w:tc>
                <w:tcPr>
                  <w:tcW w:w="1183" w:type="dxa"/>
                  <w:noWrap w:val="0"/>
                  <w:vAlign w:val="center"/>
                </w:tcPr>
                <w:p w14:paraId="5A2B39F0">
                  <w:pPr>
                    <w:shd w:val="clear"/>
                    <w:spacing w:line="240" w:lineRule="auto"/>
                    <w:jc w:val="center"/>
                    <w:rPr>
                      <w:rFonts w:hint="default" w:ascii="Times New Roman" w:hAnsi="Times New Roman" w:eastAsia="宋体" w:cs="Times New Roman"/>
                      <w:b/>
                      <w:bCs w:val="0"/>
                      <w:color w:val="auto"/>
                      <w:spacing w:val="-10"/>
                      <w:kern w:val="2"/>
                      <w:sz w:val="21"/>
                      <w:szCs w:val="21"/>
                      <w:highlight w:val="none"/>
                      <w:vertAlign w:val="baseline"/>
                      <w:lang w:val="en-US" w:eastAsia="zh-CN" w:bidi="ar-SA"/>
                    </w:rPr>
                  </w:pPr>
                  <w:r>
                    <w:rPr>
                      <w:rFonts w:hint="default" w:ascii="Times New Roman" w:hAnsi="Times New Roman" w:eastAsia="宋体" w:cs="Times New Roman"/>
                      <w:bCs/>
                      <w:color w:val="auto"/>
                      <w:sz w:val="21"/>
                      <w:szCs w:val="21"/>
                      <w:highlight w:val="none"/>
                      <w:lang w:bidi="ar"/>
                    </w:rPr>
                    <w:t>1次/年</w:t>
                  </w:r>
                </w:p>
              </w:tc>
              <w:tc>
                <w:tcPr>
                  <w:tcW w:w="3776" w:type="dxa"/>
                  <w:noWrap w:val="0"/>
                  <w:vAlign w:val="center"/>
                </w:tcPr>
                <w:p w14:paraId="229FA57A">
                  <w:pPr>
                    <w:shd w:val="clear"/>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广东省地方标准《固定污染源挥发性有机物综合排放标准》（DB44/2367-2022）表3</w:t>
                  </w:r>
                  <w:r>
                    <w:rPr>
                      <w:rFonts w:hint="default" w:ascii="Times New Roman" w:hAnsi="Times New Roman" w:eastAsia="宋体" w:cs="Times New Roman"/>
                      <w:color w:val="auto"/>
                      <w:sz w:val="21"/>
                      <w:szCs w:val="21"/>
                      <w:highlight w:val="none"/>
                      <w:lang w:eastAsia="zh-CN"/>
                    </w:rPr>
                    <w:t>厂区内VOCs无组织排放限值</w:t>
                  </w:r>
                </w:p>
              </w:tc>
            </w:tr>
          </w:tbl>
          <w:p w14:paraId="1EDEB56C">
            <w:pPr>
              <w:pStyle w:val="24"/>
              <w:keepNext w:val="0"/>
              <w:keepLines w:val="0"/>
              <w:pageBreakBefore w:val="0"/>
              <w:widowControl w:val="0"/>
              <w:numPr>
                <w:ilvl w:val="0"/>
                <w:numId w:val="0"/>
              </w:numPr>
              <w:shd w:val="clear"/>
              <w:kinsoku/>
              <w:wordWrap/>
              <w:overflowPunct/>
              <w:topLinePunct w:val="0"/>
              <w:autoSpaceDE/>
              <w:autoSpaceDN/>
              <w:bidi w:val="0"/>
              <w:adjustRightInd/>
              <w:snapToGrid w:val="0"/>
              <w:spacing w:after="0" w:line="360" w:lineRule="auto"/>
              <w:ind w:firstLine="442" w:firstLineChars="200"/>
              <w:jc w:val="both"/>
              <w:textAlignment w:val="auto"/>
              <w:rPr>
                <w:rFonts w:hint="default" w:ascii="Times New Roman" w:hAnsi="Times New Roman" w:eastAsia="宋体" w:cs="Times New Roman"/>
                <w:b/>
                <w:bCs w:val="0"/>
                <w:color w:val="auto"/>
                <w:spacing w:val="-10"/>
                <w:kern w:val="2"/>
                <w:sz w:val="24"/>
                <w:szCs w:val="24"/>
                <w:highlight w:val="none"/>
                <w:lang w:val="en-US" w:eastAsia="zh-CN" w:bidi="ar-SA"/>
              </w:rPr>
            </w:pPr>
            <w:r>
              <w:rPr>
                <w:rFonts w:hint="default" w:ascii="Times New Roman" w:hAnsi="Times New Roman" w:eastAsia="宋体" w:cs="Times New Roman"/>
                <w:b/>
                <w:bCs w:val="0"/>
                <w:color w:val="auto"/>
                <w:spacing w:val="-10"/>
                <w:kern w:val="2"/>
                <w:sz w:val="24"/>
                <w:szCs w:val="24"/>
                <w:highlight w:val="none"/>
                <w:lang w:val="en-US" w:eastAsia="zh-CN" w:bidi="ar-SA"/>
              </w:rPr>
              <w:t>大气环境影响分析：</w:t>
            </w:r>
          </w:p>
          <w:p w14:paraId="324395F0">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360" w:lineRule="auto"/>
              <w:ind w:right="0" w:firstLine="420" w:firstLineChars="20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 w:val="0"/>
                <w:bCs w:val="0"/>
                <w:color w:val="auto"/>
                <w:kern w:val="2"/>
                <w:sz w:val="21"/>
                <w:szCs w:val="21"/>
                <w:highlight w:val="none"/>
                <w:lang w:val="en-US" w:eastAsia="zh-CN" w:bidi="ar-SA"/>
              </w:rPr>
              <w:t>本项目位于环境空气二类功能区，O</w:t>
            </w:r>
            <w:r>
              <w:rPr>
                <w:rFonts w:hint="default" w:ascii="Times New Roman" w:hAnsi="Times New Roman" w:eastAsia="宋体" w:cs="Times New Roman"/>
                <w:b w:val="0"/>
                <w:bCs w:val="0"/>
                <w:color w:val="auto"/>
                <w:kern w:val="2"/>
                <w:sz w:val="21"/>
                <w:szCs w:val="21"/>
                <w:highlight w:val="none"/>
                <w:vertAlign w:val="subscript"/>
                <w:lang w:val="en-US" w:eastAsia="zh-CN" w:bidi="ar-SA"/>
              </w:rPr>
              <w:t>3</w:t>
            </w:r>
            <w:r>
              <w:rPr>
                <w:rFonts w:hint="default" w:ascii="Times New Roman" w:hAnsi="Times New Roman" w:eastAsia="宋体" w:cs="Times New Roman"/>
                <w:b w:val="0"/>
                <w:bCs w:val="0"/>
                <w:color w:val="auto"/>
                <w:kern w:val="2"/>
                <w:sz w:val="21"/>
                <w:szCs w:val="21"/>
                <w:highlight w:val="none"/>
                <w:lang w:val="en-US" w:eastAsia="zh-CN" w:bidi="ar-SA"/>
              </w:rPr>
              <w:t>，SO</w:t>
            </w:r>
            <w:r>
              <w:rPr>
                <w:rFonts w:hint="default" w:ascii="Times New Roman" w:hAnsi="Times New Roman" w:eastAsia="宋体" w:cs="Times New Roman"/>
                <w:b w:val="0"/>
                <w:bCs w:val="0"/>
                <w:color w:val="auto"/>
                <w:kern w:val="2"/>
                <w:sz w:val="21"/>
                <w:szCs w:val="21"/>
                <w:highlight w:val="none"/>
                <w:vertAlign w:val="subscript"/>
                <w:lang w:val="en-US" w:eastAsia="zh-CN" w:bidi="ar-SA"/>
              </w:rPr>
              <w:t>2</w:t>
            </w:r>
            <w:r>
              <w:rPr>
                <w:rFonts w:hint="default" w:ascii="Times New Roman" w:hAnsi="Times New Roman" w:eastAsia="宋体" w:cs="Times New Roman"/>
                <w:b w:val="0"/>
                <w:bCs w:val="0"/>
                <w:color w:val="auto"/>
                <w:kern w:val="2"/>
                <w:sz w:val="21"/>
                <w:szCs w:val="21"/>
                <w:highlight w:val="none"/>
                <w:lang w:val="en-US" w:eastAsia="zh-CN" w:bidi="ar-SA"/>
              </w:rPr>
              <w:t>、NO</w:t>
            </w:r>
            <w:r>
              <w:rPr>
                <w:rFonts w:hint="default" w:ascii="Times New Roman" w:hAnsi="Times New Roman" w:eastAsia="宋体" w:cs="Times New Roman"/>
                <w:b w:val="0"/>
                <w:bCs w:val="0"/>
                <w:color w:val="auto"/>
                <w:kern w:val="2"/>
                <w:sz w:val="21"/>
                <w:szCs w:val="21"/>
                <w:highlight w:val="none"/>
                <w:vertAlign w:val="subscript"/>
                <w:lang w:val="en-US" w:eastAsia="zh-CN" w:bidi="ar-SA"/>
              </w:rPr>
              <w:t>2</w:t>
            </w:r>
            <w:r>
              <w:rPr>
                <w:rFonts w:hint="default" w:ascii="Times New Roman" w:hAnsi="Times New Roman" w:eastAsia="宋体" w:cs="Times New Roman"/>
                <w:b w:val="0"/>
                <w:bCs w:val="0"/>
                <w:color w:val="auto"/>
                <w:kern w:val="2"/>
                <w:sz w:val="21"/>
                <w:szCs w:val="21"/>
                <w:highlight w:val="none"/>
                <w:lang w:val="en-US" w:eastAsia="zh-CN" w:bidi="ar-SA"/>
              </w:rPr>
              <w:t>、PM</w:t>
            </w:r>
            <w:r>
              <w:rPr>
                <w:rFonts w:hint="default" w:ascii="Times New Roman" w:hAnsi="Times New Roman" w:eastAsia="宋体" w:cs="Times New Roman"/>
                <w:b w:val="0"/>
                <w:bCs w:val="0"/>
                <w:color w:val="auto"/>
                <w:kern w:val="2"/>
                <w:sz w:val="21"/>
                <w:szCs w:val="21"/>
                <w:highlight w:val="none"/>
                <w:vertAlign w:val="subscript"/>
                <w:lang w:val="en-US" w:eastAsia="zh-CN" w:bidi="ar-SA"/>
              </w:rPr>
              <w:t>10</w:t>
            </w:r>
            <w:r>
              <w:rPr>
                <w:rFonts w:hint="default" w:ascii="Times New Roman" w:hAnsi="Times New Roman" w:eastAsia="宋体" w:cs="Times New Roman"/>
                <w:b w:val="0"/>
                <w:bCs w:val="0"/>
                <w:color w:val="auto"/>
                <w:kern w:val="2"/>
                <w:sz w:val="21"/>
                <w:szCs w:val="21"/>
                <w:highlight w:val="none"/>
                <w:lang w:val="en-US" w:eastAsia="zh-CN" w:bidi="ar-SA"/>
              </w:rPr>
              <w:t>、PM</w:t>
            </w:r>
            <w:r>
              <w:rPr>
                <w:rFonts w:hint="default" w:ascii="Times New Roman" w:hAnsi="Times New Roman" w:eastAsia="宋体" w:cs="Times New Roman"/>
                <w:b w:val="0"/>
                <w:bCs w:val="0"/>
                <w:color w:val="auto"/>
                <w:kern w:val="2"/>
                <w:sz w:val="21"/>
                <w:szCs w:val="21"/>
                <w:highlight w:val="none"/>
                <w:vertAlign w:val="subscript"/>
                <w:lang w:val="en-US" w:eastAsia="zh-CN" w:bidi="ar-SA"/>
              </w:rPr>
              <w:t>2.5</w:t>
            </w:r>
            <w:r>
              <w:rPr>
                <w:rFonts w:hint="default" w:ascii="Times New Roman" w:hAnsi="Times New Roman" w:eastAsia="宋体" w:cs="Times New Roman"/>
                <w:b w:val="0"/>
                <w:bCs w:val="0"/>
                <w:color w:val="auto"/>
                <w:kern w:val="2"/>
                <w:sz w:val="21"/>
                <w:szCs w:val="21"/>
                <w:highlight w:val="none"/>
                <w:lang w:val="en-US" w:eastAsia="zh-CN" w:bidi="ar-SA"/>
              </w:rPr>
              <w:t>、CO均达到《环境空气质量标准》（GB3095--2026）过渡阶段浓度限值中的二级标准，项目所在区域为环境空气质量达标区</w:t>
            </w:r>
            <w:r>
              <w:rPr>
                <w:rFonts w:hint="eastAsia" w:cs="Times New Roman"/>
                <w:b w:val="0"/>
                <w:bCs w:val="0"/>
                <w:color w:val="auto"/>
                <w:kern w:val="2"/>
                <w:sz w:val="21"/>
                <w:szCs w:val="21"/>
                <w:highlight w:val="none"/>
                <w:lang w:val="en-US" w:eastAsia="zh-CN" w:bidi="ar-SA"/>
              </w:rPr>
              <w:t>。</w:t>
            </w:r>
            <w:r>
              <w:rPr>
                <w:rFonts w:hint="default" w:ascii="Times New Roman" w:hAnsi="Times New Roman" w:eastAsia="宋体" w:cs="Times New Roman"/>
                <w:color w:val="auto"/>
                <w:sz w:val="21"/>
                <w:szCs w:val="21"/>
                <w:highlight w:val="none"/>
                <w:lang w:val="en-US" w:eastAsia="zh-CN"/>
              </w:rPr>
              <w:t>项目烟囱设置在厂区</w:t>
            </w:r>
            <w:r>
              <w:rPr>
                <w:rFonts w:hint="eastAsia" w:cs="Times New Roman"/>
                <w:color w:val="auto"/>
                <w:sz w:val="21"/>
                <w:szCs w:val="21"/>
                <w:highlight w:val="none"/>
                <w:lang w:val="en-US" w:eastAsia="zh-CN"/>
              </w:rPr>
              <w:t>北</w:t>
            </w:r>
            <w:r>
              <w:rPr>
                <w:rFonts w:hint="default" w:ascii="Times New Roman" w:hAnsi="Times New Roman" w:eastAsia="宋体" w:cs="Times New Roman"/>
                <w:color w:val="auto"/>
                <w:sz w:val="21"/>
                <w:szCs w:val="21"/>
                <w:highlight w:val="none"/>
                <w:lang w:val="en-US" w:eastAsia="zh-CN"/>
              </w:rPr>
              <w:t>部位置</w:t>
            </w:r>
            <w:r>
              <w:rPr>
                <w:rFonts w:hint="eastAsia"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G1排放口距离项目最近敏感点（</w:t>
            </w:r>
            <w:r>
              <w:rPr>
                <w:rFonts w:hint="default" w:ascii="Times New Roman" w:hAnsi="Times New Roman" w:eastAsia="宋体" w:cs="Times New Roman"/>
                <w:color w:val="auto"/>
                <w:spacing w:val="7"/>
                <w:sz w:val="21"/>
                <w:szCs w:val="21"/>
                <w:highlight w:val="none"/>
                <w:lang w:val="en-US" w:eastAsia="zh-CN"/>
              </w:rPr>
              <w:t>西城派出所沙边驻警站</w:t>
            </w:r>
            <w:r>
              <w:rPr>
                <w:rFonts w:hint="default" w:ascii="Times New Roman" w:hAnsi="Times New Roman" w:cs="Times New Roman"/>
                <w:color w:val="auto"/>
                <w:sz w:val="21"/>
                <w:szCs w:val="21"/>
                <w:highlight w:val="none"/>
                <w:lang w:val="en-US" w:eastAsia="zh-CN"/>
              </w:rPr>
              <w:t>）为</w:t>
            </w:r>
            <w:r>
              <w:rPr>
                <w:rFonts w:hint="eastAsia" w:cs="Times New Roman"/>
                <w:color w:val="auto"/>
                <w:sz w:val="21"/>
                <w:szCs w:val="21"/>
                <w:highlight w:val="none"/>
                <w:lang w:val="en-US" w:eastAsia="zh-CN"/>
              </w:rPr>
              <w:t>146</w:t>
            </w:r>
            <w:r>
              <w:rPr>
                <w:rFonts w:hint="default" w:ascii="Times New Roman" w:hAnsi="Times New Roman" w:cs="Times New Roman"/>
                <w:color w:val="auto"/>
                <w:sz w:val="21"/>
                <w:szCs w:val="21"/>
                <w:highlight w:val="none"/>
                <w:lang w:val="en-US" w:eastAsia="zh-CN"/>
              </w:rPr>
              <w:t>m</w:t>
            </w:r>
            <w:r>
              <w:rPr>
                <w:rFonts w:hint="default" w:ascii="Times New Roman" w:hAnsi="Times New Roman" w:cs="Times New Roman"/>
                <w:color w:val="auto"/>
                <w:sz w:val="21"/>
                <w:szCs w:val="21"/>
                <w:highlight w:val="none"/>
                <w:lang w:val="en-US" w:eastAsia="zh-CN"/>
              </w:rPr>
              <w:t>，G2排放口距离项目最近敏感点</w:t>
            </w:r>
            <w:r>
              <w:rPr>
                <w:rFonts w:hint="default"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spacing w:val="7"/>
                <w:sz w:val="21"/>
                <w:szCs w:val="21"/>
                <w:highlight w:val="none"/>
                <w:lang w:val="en-US" w:eastAsia="zh-CN"/>
              </w:rPr>
              <w:t>西城派出所沙边驻警站</w:t>
            </w:r>
            <w:r>
              <w:rPr>
                <w:rFonts w:hint="default" w:ascii="Times New Roman" w:hAnsi="Times New Roman" w:cs="Times New Roman"/>
                <w:color w:val="auto"/>
                <w:sz w:val="21"/>
                <w:szCs w:val="21"/>
                <w:highlight w:val="none"/>
                <w:lang w:val="en-US" w:eastAsia="zh-CN"/>
              </w:rPr>
              <w:t>）为</w:t>
            </w:r>
            <w:r>
              <w:rPr>
                <w:rFonts w:hint="eastAsia" w:cs="Times New Roman"/>
                <w:color w:val="auto"/>
                <w:sz w:val="21"/>
                <w:szCs w:val="21"/>
                <w:highlight w:val="none"/>
                <w:lang w:val="en-US" w:eastAsia="zh-CN"/>
              </w:rPr>
              <w:t>144</w:t>
            </w:r>
            <w:r>
              <w:rPr>
                <w:rFonts w:hint="default" w:ascii="Times New Roman" w:hAnsi="Times New Roman" w:cs="Times New Roman"/>
                <w:color w:val="auto"/>
                <w:sz w:val="21"/>
                <w:szCs w:val="21"/>
                <w:highlight w:val="none"/>
                <w:lang w:val="en-US" w:eastAsia="zh-CN"/>
              </w:rPr>
              <w:t>m</w:t>
            </w:r>
            <w:r>
              <w:rPr>
                <w:rFonts w:hint="default" w:ascii="Times New Roman" w:hAnsi="Times New Roman" w:eastAsia="宋体" w:cs="Times New Roman"/>
                <w:color w:val="auto"/>
                <w:sz w:val="21"/>
                <w:szCs w:val="21"/>
                <w:highlight w:val="none"/>
                <w:lang w:val="en-US" w:eastAsia="zh-CN"/>
              </w:rPr>
              <w:t>，项目500米范围内大气环境敏感点为</w:t>
            </w:r>
            <w:r>
              <w:rPr>
                <w:rFonts w:hint="eastAsia" w:cs="Times New Roman"/>
                <w:color w:val="auto"/>
                <w:sz w:val="21"/>
                <w:szCs w:val="21"/>
                <w:highlight w:val="none"/>
                <w:lang w:val="en-US" w:eastAsia="zh-CN"/>
              </w:rPr>
              <w:t>融创东城首府、</w:t>
            </w:r>
            <w:r>
              <w:rPr>
                <w:rFonts w:hint="eastAsia" w:cs="Times New Roman"/>
                <w:color w:val="auto"/>
                <w:sz w:val="21"/>
                <w:szCs w:val="21"/>
                <w:highlight w:val="none"/>
                <w:lang w:val="en-US" w:eastAsia="zh-CN"/>
              </w:rPr>
              <w:t>西城派出所沙边驻警站、</w:t>
            </w:r>
            <w:r>
              <w:rPr>
                <w:rFonts w:hint="eastAsia"/>
                <w:b w:val="0"/>
                <w:bCs w:val="0"/>
                <w:color w:val="auto"/>
                <w:sz w:val="21"/>
                <w:szCs w:val="21"/>
                <w:highlight w:val="none"/>
              </w:rPr>
              <w:t>新帮珺悦花园</w:t>
            </w:r>
            <w:r>
              <w:rPr>
                <w:rFonts w:hint="eastAsia"/>
                <w:b w:val="0"/>
                <w:bCs w:val="0"/>
                <w:color w:val="auto"/>
                <w:sz w:val="21"/>
                <w:szCs w:val="21"/>
                <w:highlight w:val="none"/>
                <w:lang w:eastAsia="zh-CN"/>
              </w:rPr>
              <w:t>（</w:t>
            </w:r>
            <w:r>
              <w:rPr>
                <w:rFonts w:hint="eastAsia"/>
                <w:b w:val="0"/>
                <w:bCs w:val="0"/>
                <w:color w:val="auto"/>
                <w:sz w:val="21"/>
                <w:szCs w:val="21"/>
                <w:highlight w:val="none"/>
                <w:lang w:val="en-US" w:eastAsia="zh-CN"/>
              </w:rPr>
              <w:t>在建</w:t>
            </w:r>
            <w:r>
              <w:rPr>
                <w:rFonts w:hint="eastAsia"/>
                <w:b w:val="0"/>
                <w:bCs w:val="0"/>
                <w:color w:val="auto"/>
                <w:sz w:val="21"/>
                <w:szCs w:val="21"/>
                <w:highlight w:val="none"/>
                <w:lang w:eastAsia="zh-CN"/>
              </w:rPr>
              <w:t>）</w:t>
            </w:r>
            <w:r>
              <w:rPr>
                <w:rFonts w:hint="eastAsia" w:cs="Times New Roman"/>
                <w:color w:val="auto"/>
                <w:sz w:val="21"/>
                <w:szCs w:val="21"/>
                <w:highlight w:val="none"/>
                <w:lang w:val="en-US" w:eastAsia="zh-CN"/>
              </w:rPr>
              <w:t>和中港花园</w:t>
            </w:r>
            <w:r>
              <w:rPr>
                <w:rFonts w:hint="default" w:ascii="Times New Roman" w:hAnsi="Times New Roman" w:eastAsia="宋体" w:cs="Times New Roman"/>
                <w:color w:val="auto"/>
                <w:sz w:val="21"/>
                <w:szCs w:val="21"/>
                <w:highlight w:val="none"/>
                <w:lang w:val="en-US" w:eastAsia="zh-CN"/>
              </w:rPr>
              <w:t>。项目酸雾废气经通风柜收集后，经碱液喷淋塔处理后通过G1排气筒排放；项目有机废气、粉尘废气一起经密闭车间+通风柜收集后汇入到1套</w:t>
            </w:r>
            <w:r>
              <w:rPr>
                <w:rFonts w:hint="eastAsia" w:cs="Times New Roman"/>
                <w:color w:val="auto"/>
                <w:sz w:val="21"/>
                <w:szCs w:val="21"/>
                <w:highlight w:val="none"/>
                <w:lang w:val="en-US" w:eastAsia="zh-CN"/>
              </w:rPr>
              <w:t>单</w:t>
            </w:r>
            <w:r>
              <w:rPr>
                <w:rFonts w:hint="default" w:ascii="Times New Roman" w:hAnsi="Times New Roman" w:eastAsia="宋体" w:cs="Times New Roman"/>
                <w:color w:val="auto"/>
                <w:sz w:val="21"/>
                <w:szCs w:val="21"/>
                <w:highlight w:val="none"/>
                <w:lang w:val="en-US" w:eastAsia="zh-CN"/>
              </w:rPr>
              <w:t>级活性炭吸附装置进行处理后经G2排气筒排放。</w:t>
            </w:r>
          </w:p>
          <w:p w14:paraId="5E8CC4C2">
            <w:pPr>
              <w:pStyle w:val="19"/>
              <w:keepNext w:val="0"/>
              <w:keepLines w:val="0"/>
              <w:pageBreakBefore w:val="0"/>
              <w:widowControl w:val="0"/>
              <w:shd w:val="clear"/>
              <w:kinsoku/>
              <w:wordWrap/>
              <w:overflowPunct/>
              <w:topLinePunct w:val="0"/>
              <w:autoSpaceDE/>
              <w:autoSpaceDN/>
              <w:bidi w:val="0"/>
              <w:adjustRightInd/>
              <w:snapToGrid w:val="0"/>
              <w:spacing w:before="0" w:line="360" w:lineRule="auto"/>
              <w:ind w:left="0" w:right="0" w:firstLine="420" w:firstLineChars="200"/>
              <w:jc w:val="both"/>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酸雾</w:t>
            </w:r>
            <w:r>
              <w:rPr>
                <w:rFonts w:hint="default" w:ascii="Times New Roman" w:hAnsi="Times New Roman" w:eastAsia="宋体" w:cs="Times New Roman"/>
                <w:color w:val="auto"/>
                <w:sz w:val="21"/>
                <w:szCs w:val="21"/>
                <w:highlight w:val="none"/>
                <w:lang w:val="en-US" w:eastAsia="zh-CN"/>
              </w:rPr>
              <w:t>废气</w:t>
            </w:r>
            <w:r>
              <w:rPr>
                <w:rFonts w:hint="eastAsia" w:cs="Times New Roman"/>
                <w:color w:val="auto"/>
                <w:sz w:val="21"/>
                <w:szCs w:val="21"/>
                <w:highlight w:val="none"/>
                <w:lang w:val="en-US" w:eastAsia="zh-CN"/>
              </w:rPr>
              <w:t>硫酸雾、氯化氢、氮氧化物</w:t>
            </w:r>
            <w:r>
              <w:rPr>
                <w:rFonts w:hint="default" w:ascii="Times New Roman" w:hAnsi="Times New Roman" w:eastAsia="宋体" w:cs="Times New Roman"/>
                <w:color w:val="auto"/>
                <w:sz w:val="21"/>
                <w:szCs w:val="21"/>
                <w:highlight w:val="none"/>
                <w:lang w:val="en-US" w:eastAsia="zh-CN"/>
              </w:rPr>
              <w:t>达到广东省地方标准《大气污染物排放限值》（DB44/27-2001）第二时段二级标准；</w:t>
            </w:r>
            <w:r>
              <w:rPr>
                <w:rFonts w:hint="default" w:ascii="Times New Roman" w:hAnsi="Times New Roman" w:cs="Times New Roman"/>
                <w:color w:val="auto"/>
                <w:sz w:val="21"/>
                <w:szCs w:val="21"/>
                <w:highlight w:val="none"/>
              </w:rPr>
              <w:t>有机废气</w:t>
            </w:r>
            <w:r>
              <w:rPr>
                <w:rFonts w:hint="eastAsia" w:ascii="Times New Roman" w:hAnsi="Times New Roman" w:cs="Times New Roman"/>
                <w:color w:val="auto"/>
                <w:sz w:val="21"/>
                <w:szCs w:val="21"/>
                <w:highlight w:val="none"/>
                <w:lang w:val="en-US" w:eastAsia="zh-CN"/>
              </w:rPr>
              <w:t>TVOC、非甲烷总烃和苯系物（甲苯）</w:t>
            </w:r>
            <w:r>
              <w:rPr>
                <w:rFonts w:hint="default" w:ascii="Times New Roman" w:hAnsi="Times New Roman" w:eastAsia="宋体" w:cs="Times New Roman"/>
                <w:color w:val="auto"/>
                <w:sz w:val="21"/>
                <w:szCs w:val="21"/>
                <w:highlight w:val="none"/>
                <w:lang w:val="en-US" w:eastAsia="zh-CN"/>
              </w:rPr>
              <w:t>达到广东省地方标准《固定污染源挥发性有机物综合排放标准》（DB44/2367-2022）表1挥发性有机物排放限值</w:t>
            </w:r>
            <w:r>
              <w:rPr>
                <w:rFonts w:hint="eastAsia" w:ascii="Times New Roman" w:hAnsi="Times New Roman" w:eastAsia="宋体" w:cs="Times New Roman"/>
                <w:color w:val="auto"/>
                <w:sz w:val="21"/>
                <w:szCs w:val="21"/>
                <w:highlight w:val="none"/>
                <w:lang w:val="en-US" w:eastAsia="zh-CN"/>
              </w:rPr>
              <w:t>、甲醇达到</w:t>
            </w:r>
            <w:r>
              <w:rPr>
                <w:rFonts w:hint="default" w:ascii="Times New Roman" w:hAnsi="Times New Roman" w:cs="Times New Roman"/>
                <w:bCs/>
                <w:color w:val="auto"/>
                <w:sz w:val="21"/>
                <w:szCs w:val="21"/>
                <w:highlight w:val="none"/>
              </w:rPr>
              <w:t>广东省地方标准《大气污染物排放限值》（DB44/27-2001）第二时段二级标准</w:t>
            </w:r>
            <w:r>
              <w:rPr>
                <w:rFonts w:hint="eastAsia" w:ascii="Times New Roman" w:hAnsi="Times New Roman" w:cs="Times New Roman"/>
                <w:bCs/>
                <w:color w:val="auto"/>
                <w:sz w:val="21"/>
                <w:szCs w:val="21"/>
                <w:highlight w:val="none"/>
                <w:lang w:eastAsia="zh-CN"/>
              </w:rPr>
              <w:t>、</w:t>
            </w:r>
            <w:r>
              <w:rPr>
                <w:rFonts w:hint="eastAsia" w:ascii="Times New Roman" w:hAnsi="Times New Roman" w:cs="Times New Roman"/>
                <w:bCs/>
                <w:color w:val="auto"/>
                <w:sz w:val="21"/>
                <w:szCs w:val="21"/>
                <w:highlight w:val="none"/>
                <w:lang w:val="en-US" w:eastAsia="zh-CN"/>
              </w:rPr>
              <w:t>氨和臭气浓度达到</w:t>
            </w:r>
            <w:r>
              <w:rPr>
                <w:rFonts w:hint="default" w:ascii="Times New Roman" w:hAnsi="Times New Roman" w:cs="Times New Roman"/>
                <w:color w:val="auto"/>
                <w:kern w:val="0"/>
                <w:sz w:val="21"/>
                <w:szCs w:val="21"/>
                <w:highlight w:val="none"/>
                <w:lang w:bidi="ar"/>
              </w:rPr>
              <w:t>《恶臭污染物排放标准》（GB14554-93）中表2恶臭污染物排放标准值</w:t>
            </w:r>
            <w:r>
              <w:rPr>
                <w:rFonts w:hint="eastAsia" w:ascii="Times New Roman" w:hAnsi="Times New Roman" w:cs="Times New Roman"/>
                <w:color w:val="auto"/>
                <w:kern w:val="0"/>
                <w:sz w:val="21"/>
                <w:szCs w:val="21"/>
                <w:highlight w:val="none"/>
                <w:lang w:eastAsia="zh-CN" w:bidi="ar"/>
              </w:rPr>
              <w:t>；</w:t>
            </w:r>
            <w:r>
              <w:rPr>
                <w:rFonts w:hint="eastAsia" w:ascii="Times New Roman" w:hAnsi="Times New Roman" w:cs="Times New Roman"/>
                <w:color w:val="auto"/>
                <w:kern w:val="0"/>
                <w:sz w:val="21"/>
                <w:szCs w:val="21"/>
                <w:highlight w:val="none"/>
                <w:lang w:val="en-US" w:eastAsia="zh-CN" w:bidi="ar"/>
              </w:rPr>
              <w:t>粉尘废气颗粒物达到广东省地方标准《大气污染物排放限值》（DB44/27-2001）第二时段二级标准。</w:t>
            </w:r>
          </w:p>
          <w:p w14:paraId="5C8EB71D">
            <w:pPr>
              <w:keepNext w:val="0"/>
              <w:keepLines w:val="0"/>
              <w:pageBreakBefore w:val="0"/>
              <w:widowControl w:val="0"/>
              <w:shd w:val="clear"/>
              <w:kinsoku/>
              <w:wordWrap/>
              <w:overflowPunct/>
              <w:topLinePunct w:val="0"/>
              <w:autoSpaceDE/>
              <w:autoSpaceDN/>
              <w:bidi w:val="0"/>
              <w:adjustRightInd/>
              <w:snapToGrid/>
              <w:spacing w:line="360" w:lineRule="auto"/>
              <w:ind w:firstLine="420" w:firstLineChars="200"/>
              <w:jc w:val="lef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无组织废气中，非甲烷总烃</w:t>
            </w:r>
            <w:r>
              <w:rPr>
                <w:rFonts w:hint="eastAsia" w:cs="Times New Roman"/>
                <w:color w:val="auto"/>
                <w:sz w:val="21"/>
                <w:szCs w:val="21"/>
                <w:highlight w:val="none"/>
                <w:lang w:val="en-US" w:eastAsia="zh-CN"/>
              </w:rPr>
              <w:t>、甲醇、甲苯、硫酸雾、氯化氢、颗粒物、氮氧化物</w:t>
            </w:r>
            <w:r>
              <w:rPr>
                <w:rFonts w:hint="default" w:ascii="Times New Roman" w:hAnsi="Times New Roman" w:eastAsia="宋体" w:cs="Times New Roman"/>
                <w:color w:val="auto"/>
                <w:sz w:val="21"/>
                <w:szCs w:val="21"/>
                <w:highlight w:val="none"/>
                <w:lang w:val="en-US" w:eastAsia="zh-CN"/>
              </w:rPr>
              <w:t>达到广东省地方标准《大气污染物排放限值》（DB44/27-2001）第二时段无组织排放监控浓度限值；臭气浓度</w:t>
            </w:r>
            <w:r>
              <w:rPr>
                <w:rFonts w:hint="eastAsia" w:cs="Times New Roman"/>
                <w:color w:val="auto"/>
                <w:sz w:val="21"/>
                <w:szCs w:val="21"/>
                <w:highlight w:val="none"/>
                <w:lang w:val="en-US" w:eastAsia="zh-CN"/>
              </w:rPr>
              <w:t>、氨</w:t>
            </w:r>
            <w:r>
              <w:rPr>
                <w:rFonts w:hint="default" w:ascii="Times New Roman" w:hAnsi="Times New Roman" w:eastAsia="宋体" w:cs="Times New Roman"/>
                <w:color w:val="auto"/>
                <w:sz w:val="21"/>
                <w:szCs w:val="21"/>
                <w:highlight w:val="none"/>
                <w:lang w:val="en-US" w:eastAsia="zh-CN"/>
              </w:rPr>
              <w:t>达到《恶臭污染物排放标准》（GB14554-93）表1恶臭污染物厂界标准值</w:t>
            </w:r>
            <w:r>
              <w:rPr>
                <w:rFonts w:hint="default" w:ascii="Times New Roman" w:hAnsi="Times New Roman" w:cs="Times New Roman"/>
                <w:color w:val="auto"/>
                <w:sz w:val="21"/>
                <w:szCs w:val="21"/>
                <w:highlight w:val="none"/>
                <w:lang w:val="en-US" w:eastAsia="zh-CN"/>
              </w:rPr>
              <w:t>。</w:t>
            </w:r>
            <w:r>
              <w:rPr>
                <w:rFonts w:hint="eastAsia" w:ascii="Times New Roman" w:hAnsi="Times New Roman" w:eastAsia="宋体" w:cs="Times New Roman"/>
                <w:b w:val="0"/>
                <w:bCs/>
                <w:color w:val="auto"/>
                <w:kern w:val="0"/>
                <w:sz w:val="21"/>
                <w:szCs w:val="21"/>
                <w:highlight w:val="none"/>
                <w:lang w:val="en-US" w:eastAsia="zh-CN" w:bidi="ar-SA"/>
              </w:rPr>
              <w:t>项目厂区非甲烷总烃浓度限值执行</w:t>
            </w:r>
            <w:r>
              <w:rPr>
                <w:rFonts w:hint="default" w:ascii="Times New Roman" w:hAnsi="Times New Roman" w:eastAsia="宋体" w:cs="Times New Roman"/>
                <w:color w:val="auto"/>
                <w:highlight w:val="none"/>
                <w:lang w:val="en-US" w:eastAsia="zh-CN"/>
              </w:rPr>
              <w:t>广东省地方标准《固定污染源挥发性有机物综合排放标准》（DB44/2367-2022）表3厂区内VOCs无组织排放限值</w:t>
            </w:r>
            <w:r>
              <w:rPr>
                <w:rFonts w:hint="eastAsia" w:ascii="Times New Roman" w:hAnsi="Times New Roman" w:eastAsia="宋体" w:cs="Times New Roman"/>
                <w:color w:val="auto"/>
                <w:highlight w:val="none"/>
                <w:lang w:val="en-US" w:eastAsia="zh-CN"/>
              </w:rPr>
              <w:t>。</w:t>
            </w:r>
          </w:p>
          <w:p w14:paraId="1B5F3251">
            <w:pPr>
              <w:shd w:val="clear"/>
              <w:spacing w:line="360" w:lineRule="auto"/>
              <w:ind w:firstLine="420" w:firstLineChars="200"/>
              <w:jc w:val="both"/>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kern w:val="2"/>
                <w:sz w:val="21"/>
                <w:szCs w:val="21"/>
                <w:highlight w:val="none"/>
                <w:lang w:val="en-US" w:eastAsia="zh-CN" w:bidi="ar-SA"/>
              </w:rPr>
              <w:t>综上，项目排放废气不会对周围敏感点造成影响。</w:t>
            </w:r>
          </w:p>
          <w:p w14:paraId="2EE594BC">
            <w:pPr>
              <w:numPr>
                <w:ilvl w:val="0"/>
                <w:numId w:val="0"/>
              </w:numPr>
              <w:shd w:val="clear"/>
              <w:spacing w:line="360" w:lineRule="auto"/>
              <w:ind w:firstLine="442" w:firstLineChars="200"/>
              <w:jc w:val="both"/>
              <w:rPr>
                <w:rFonts w:hint="default" w:ascii="Times New Roman" w:hAnsi="Times New Roman" w:eastAsia="宋体" w:cs="Times New Roman"/>
                <w:b/>
                <w:bCs w:val="0"/>
                <w:color w:val="auto"/>
                <w:spacing w:val="-10"/>
                <w:sz w:val="24"/>
                <w:szCs w:val="24"/>
                <w:highlight w:val="none"/>
                <w:lang w:val="en-US" w:eastAsia="zh-CN"/>
              </w:rPr>
            </w:pPr>
            <w:r>
              <w:rPr>
                <w:rFonts w:hint="default" w:ascii="Times New Roman" w:hAnsi="Times New Roman" w:eastAsia="宋体" w:cs="Times New Roman"/>
                <w:b/>
                <w:bCs w:val="0"/>
                <w:color w:val="auto"/>
                <w:spacing w:val="-10"/>
                <w:kern w:val="2"/>
                <w:sz w:val="24"/>
                <w:szCs w:val="24"/>
                <w:highlight w:val="none"/>
                <w:lang w:val="en-US" w:eastAsia="zh-CN" w:bidi="ar-SA"/>
              </w:rPr>
              <w:t>二、</w:t>
            </w:r>
            <w:r>
              <w:rPr>
                <w:rFonts w:hint="default" w:ascii="Times New Roman" w:hAnsi="Times New Roman" w:eastAsia="宋体" w:cs="Times New Roman"/>
                <w:b/>
                <w:bCs w:val="0"/>
                <w:color w:val="auto"/>
                <w:spacing w:val="-10"/>
                <w:sz w:val="24"/>
                <w:szCs w:val="24"/>
                <w:highlight w:val="none"/>
                <w:lang w:val="en-US" w:eastAsia="zh-CN"/>
              </w:rPr>
              <w:t>水环境影响分析</w:t>
            </w:r>
          </w:p>
          <w:p w14:paraId="5BC803DB">
            <w:pPr>
              <w:keepNext w:val="0"/>
              <w:keepLines w:val="0"/>
              <w:pageBreakBefore w:val="0"/>
              <w:widowControl w:val="0"/>
              <w:shd w:val="clear"/>
              <w:kinsoku/>
              <w:wordWrap/>
              <w:overflowPunct/>
              <w:topLinePunct w:val="0"/>
              <w:autoSpaceDE/>
              <w:autoSpaceDN/>
              <w:bidi w:val="0"/>
              <w:snapToGrid/>
              <w:spacing w:line="360" w:lineRule="auto"/>
              <w:ind w:left="0" w:firstLine="482"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b/>
                <w:bCs w:val="0"/>
                <w:color w:val="auto"/>
                <w:kern w:val="2"/>
                <w:sz w:val="24"/>
                <w:szCs w:val="24"/>
                <w:highlight w:val="none"/>
                <w:lang w:val="en-US" w:eastAsia="zh-CN" w:bidi="ar-SA"/>
              </w:rPr>
              <w:t>（1）废水产排情况</w:t>
            </w:r>
          </w:p>
          <w:p w14:paraId="4AA82007">
            <w:pPr>
              <w:pStyle w:val="24"/>
              <w:keepNext w:val="0"/>
              <w:keepLines w:val="0"/>
              <w:pageBreakBefore w:val="0"/>
              <w:widowControl w:val="0"/>
              <w:numPr>
                <w:ilvl w:val="0"/>
                <w:numId w:val="0"/>
              </w:numPr>
              <w:shd w:val="clear"/>
              <w:kinsoku/>
              <w:wordWrap/>
              <w:overflowPunct/>
              <w:topLinePunct w:val="0"/>
              <w:autoSpaceDE/>
              <w:autoSpaceDN/>
              <w:bidi w:val="0"/>
              <w:adjustRightInd/>
              <w:snapToGrid w:val="0"/>
              <w:spacing w:after="0" w:line="360" w:lineRule="auto"/>
              <w:ind w:leftChars="0" w:firstLine="380" w:firstLineChars="200"/>
              <w:jc w:val="both"/>
              <w:textAlignment w:val="auto"/>
              <w:rPr>
                <w:rFonts w:hint="default" w:ascii="Times New Roman" w:hAnsi="Times New Roman" w:eastAsia="宋体" w:cs="Times New Roman"/>
                <w:b w:val="0"/>
                <w:bCs/>
                <w:color w:val="auto"/>
                <w:spacing w:val="-10"/>
                <w:sz w:val="21"/>
                <w:szCs w:val="21"/>
                <w:highlight w:val="none"/>
                <w:lang w:val="en-US" w:eastAsia="zh-CN"/>
              </w:rPr>
            </w:pPr>
            <w:r>
              <w:rPr>
                <w:rFonts w:hint="default" w:ascii="Times New Roman" w:hAnsi="Times New Roman" w:eastAsia="宋体" w:cs="Times New Roman"/>
                <w:b w:val="0"/>
                <w:bCs/>
                <w:color w:val="auto"/>
                <w:spacing w:val="-10"/>
                <w:sz w:val="21"/>
                <w:szCs w:val="21"/>
                <w:highlight w:val="none"/>
                <w:lang w:val="en-US" w:eastAsia="zh-CN"/>
              </w:rPr>
              <w:t>①生活用水：生活用水量约为</w:t>
            </w:r>
            <w:r>
              <w:rPr>
                <w:rFonts w:hint="eastAsia" w:cs="Times New Roman"/>
                <w:b w:val="0"/>
                <w:bCs/>
                <w:color w:val="auto"/>
                <w:spacing w:val="-10"/>
                <w:sz w:val="21"/>
                <w:szCs w:val="21"/>
                <w:highlight w:val="none"/>
                <w:lang w:val="en-US" w:eastAsia="zh-CN"/>
              </w:rPr>
              <w:t>100</w:t>
            </w:r>
            <w:r>
              <w:rPr>
                <w:rFonts w:hint="default" w:ascii="Times New Roman" w:hAnsi="Times New Roman" w:eastAsia="宋体" w:cs="Times New Roman"/>
                <w:b w:val="0"/>
                <w:bCs/>
                <w:color w:val="auto"/>
                <w:spacing w:val="-10"/>
                <w:sz w:val="21"/>
                <w:szCs w:val="21"/>
                <w:highlight w:val="none"/>
                <w:lang w:val="en-US" w:eastAsia="zh-CN"/>
              </w:rPr>
              <w:t>吨/年，生活污水产生率按90%计，污水排放量约为</w:t>
            </w:r>
            <w:r>
              <w:rPr>
                <w:rFonts w:hint="eastAsia" w:cs="Times New Roman"/>
                <w:b w:val="0"/>
                <w:bCs/>
                <w:color w:val="auto"/>
                <w:spacing w:val="-10"/>
                <w:sz w:val="21"/>
                <w:szCs w:val="21"/>
                <w:highlight w:val="none"/>
                <w:lang w:val="en-US" w:eastAsia="zh-CN"/>
              </w:rPr>
              <w:t>0.3</w:t>
            </w:r>
            <w:r>
              <w:rPr>
                <w:rFonts w:hint="default" w:ascii="Times New Roman" w:hAnsi="Times New Roman" w:eastAsia="宋体" w:cs="Times New Roman"/>
                <w:b w:val="0"/>
                <w:bCs/>
                <w:color w:val="auto"/>
                <w:spacing w:val="-10"/>
                <w:sz w:val="21"/>
                <w:szCs w:val="21"/>
                <w:highlight w:val="none"/>
                <w:lang w:val="en-US" w:eastAsia="zh-CN"/>
              </w:rPr>
              <w:t>吨/日（</w:t>
            </w:r>
            <w:r>
              <w:rPr>
                <w:rFonts w:hint="eastAsia" w:cs="Times New Roman"/>
                <w:b w:val="0"/>
                <w:bCs/>
                <w:color w:val="auto"/>
                <w:spacing w:val="-10"/>
                <w:sz w:val="21"/>
                <w:szCs w:val="21"/>
                <w:highlight w:val="none"/>
                <w:lang w:val="en-US" w:eastAsia="zh-CN"/>
              </w:rPr>
              <w:t>90</w:t>
            </w:r>
            <w:r>
              <w:rPr>
                <w:rFonts w:hint="default" w:ascii="Times New Roman" w:hAnsi="Times New Roman" w:eastAsia="宋体" w:cs="Times New Roman"/>
                <w:b w:val="0"/>
                <w:bCs/>
                <w:color w:val="auto"/>
                <w:spacing w:val="-10"/>
                <w:sz w:val="21"/>
                <w:szCs w:val="21"/>
                <w:highlight w:val="none"/>
                <w:lang w:val="en-US" w:eastAsia="zh-CN"/>
              </w:rPr>
              <w:t>吨/年），此类污水中的主要污染物有CODcr（产生浓度300mg/L）、BOD</w:t>
            </w:r>
            <w:r>
              <w:rPr>
                <w:rFonts w:hint="default" w:ascii="Times New Roman" w:hAnsi="Times New Roman" w:eastAsia="宋体" w:cs="Times New Roman"/>
                <w:b w:val="0"/>
                <w:bCs/>
                <w:color w:val="auto"/>
                <w:spacing w:val="-10"/>
                <w:sz w:val="21"/>
                <w:szCs w:val="21"/>
                <w:highlight w:val="none"/>
                <w:vertAlign w:val="subscript"/>
                <w:lang w:val="en-US" w:eastAsia="zh-CN"/>
              </w:rPr>
              <w:t>5</w:t>
            </w:r>
            <w:r>
              <w:rPr>
                <w:rFonts w:hint="default" w:ascii="Times New Roman" w:hAnsi="Times New Roman" w:eastAsia="宋体" w:cs="Times New Roman"/>
                <w:b w:val="0"/>
                <w:bCs/>
                <w:color w:val="auto"/>
                <w:spacing w:val="-10"/>
                <w:sz w:val="21"/>
                <w:szCs w:val="21"/>
                <w:highlight w:val="none"/>
                <w:lang w:val="en-US" w:eastAsia="zh-CN"/>
              </w:rPr>
              <w:t>（产生浓度250mg/L）、SS（产生浓度300mg/L）、NH</w:t>
            </w:r>
            <w:r>
              <w:rPr>
                <w:rFonts w:hint="default" w:ascii="Times New Roman" w:hAnsi="Times New Roman" w:eastAsia="宋体" w:cs="Times New Roman"/>
                <w:b w:val="0"/>
                <w:bCs/>
                <w:color w:val="auto"/>
                <w:spacing w:val="-10"/>
                <w:sz w:val="21"/>
                <w:szCs w:val="21"/>
                <w:highlight w:val="none"/>
                <w:vertAlign w:val="subscript"/>
                <w:lang w:val="en-US" w:eastAsia="zh-CN"/>
              </w:rPr>
              <w:t>3</w:t>
            </w:r>
            <w:r>
              <w:rPr>
                <w:rFonts w:hint="default" w:ascii="Times New Roman" w:hAnsi="Times New Roman" w:eastAsia="宋体" w:cs="Times New Roman"/>
                <w:b w:val="0"/>
                <w:bCs/>
                <w:color w:val="auto"/>
                <w:spacing w:val="-10"/>
                <w:sz w:val="21"/>
                <w:szCs w:val="21"/>
                <w:highlight w:val="none"/>
                <w:lang w:val="en-US" w:eastAsia="zh-CN"/>
              </w:rPr>
              <w:t>-N（产生浓度40mg/L）等。生活污水经三级化粪处理后，经市政管道进入</w:t>
            </w:r>
            <w:r>
              <w:rPr>
                <w:rFonts w:hint="eastAsia" w:cs="Times New Roman"/>
                <w:color w:val="auto"/>
                <w:sz w:val="21"/>
                <w:szCs w:val="21"/>
                <w:highlight w:val="none"/>
                <w:lang w:val="zh-CN" w:eastAsia="zh-CN"/>
              </w:rPr>
              <w:t>中山市珍家山污水处理有限公司</w:t>
            </w:r>
            <w:r>
              <w:rPr>
                <w:rFonts w:hint="default" w:ascii="Times New Roman" w:hAnsi="Times New Roman" w:eastAsia="宋体" w:cs="Times New Roman"/>
                <w:b w:val="0"/>
                <w:bCs/>
                <w:color w:val="auto"/>
                <w:spacing w:val="-10"/>
                <w:sz w:val="21"/>
                <w:szCs w:val="21"/>
                <w:highlight w:val="none"/>
                <w:lang w:val="en-US" w:eastAsia="zh-CN"/>
              </w:rPr>
              <w:t>处理达标后，排入</w:t>
            </w:r>
            <w:r>
              <w:rPr>
                <w:rFonts w:hint="eastAsia" w:cs="Times New Roman"/>
                <w:color w:val="auto"/>
                <w:sz w:val="21"/>
                <w:szCs w:val="21"/>
                <w:highlight w:val="none"/>
                <w:lang w:val="en-US" w:eastAsia="zh-CN"/>
              </w:rPr>
              <w:t>石岐河</w:t>
            </w:r>
            <w:r>
              <w:rPr>
                <w:rFonts w:hint="default" w:ascii="Times New Roman" w:hAnsi="Times New Roman" w:eastAsia="宋体" w:cs="Times New Roman"/>
                <w:b w:val="0"/>
                <w:bCs/>
                <w:color w:val="auto"/>
                <w:spacing w:val="-10"/>
                <w:sz w:val="21"/>
                <w:szCs w:val="21"/>
                <w:highlight w:val="none"/>
                <w:lang w:val="en-US" w:eastAsia="zh-CN"/>
              </w:rPr>
              <w:t>。</w:t>
            </w:r>
          </w:p>
          <w:p w14:paraId="050B9A81">
            <w:pPr>
              <w:pStyle w:val="40"/>
              <w:shd w:val="clear"/>
              <w:spacing w:line="360" w:lineRule="auto"/>
              <w:ind w:firstLine="380" w:firstLineChars="200"/>
              <w:jc w:val="both"/>
              <w:rPr>
                <w:rFonts w:hint="default" w:ascii="Times New Roman" w:hAnsi="Times New Roman" w:eastAsia="宋体" w:cs="Times New Roman"/>
                <w:b w:val="0"/>
                <w:bCs/>
                <w:color w:val="auto"/>
                <w:spacing w:val="-10"/>
                <w:sz w:val="21"/>
                <w:szCs w:val="21"/>
                <w:highlight w:val="none"/>
                <w:lang w:val="en-US" w:eastAsia="zh-CN"/>
              </w:rPr>
            </w:pPr>
            <w:r>
              <w:rPr>
                <w:rFonts w:hint="default" w:ascii="Times New Roman" w:hAnsi="Times New Roman" w:eastAsia="宋体" w:cs="Times New Roman"/>
                <w:b w:val="0"/>
                <w:bCs/>
                <w:color w:val="auto"/>
                <w:spacing w:val="-10"/>
                <w:sz w:val="21"/>
                <w:szCs w:val="21"/>
                <w:highlight w:val="none"/>
                <w:lang w:val="en-US" w:eastAsia="zh-CN"/>
              </w:rPr>
              <w:t>②超声波废水、手工清洗废水、水样废水及</w:t>
            </w:r>
            <w:r>
              <w:rPr>
                <w:rFonts w:hint="eastAsia" w:ascii="Times New Roman" w:cs="Times New Roman"/>
                <w:b w:val="0"/>
                <w:bCs/>
                <w:color w:val="auto"/>
                <w:spacing w:val="-10"/>
                <w:sz w:val="21"/>
                <w:szCs w:val="21"/>
                <w:highlight w:val="none"/>
                <w:lang w:val="en-US" w:eastAsia="zh-CN"/>
              </w:rPr>
              <w:t>喷淋废水</w:t>
            </w:r>
            <w:r>
              <w:rPr>
                <w:rFonts w:hint="default" w:ascii="Times New Roman" w:hAnsi="Times New Roman" w:eastAsia="宋体" w:cs="Times New Roman"/>
                <w:b w:val="0"/>
                <w:bCs/>
                <w:color w:val="auto"/>
                <w:spacing w:val="-10"/>
                <w:sz w:val="21"/>
                <w:szCs w:val="21"/>
                <w:highlight w:val="none"/>
                <w:lang w:val="en-US" w:eastAsia="zh-CN"/>
              </w:rPr>
              <w:t>：</w:t>
            </w:r>
          </w:p>
          <w:p w14:paraId="252662C3">
            <w:pPr>
              <w:pStyle w:val="40"/>
              <w:shd w:val="clear"/>
              <w:spacing w:line="360" w:lineRule="auto"/>
              <w:ind w:firstLine="380" w:firstLineChars="200"/>
              <w:jc w:val="both"/>
              <w:rPr>
                <w:rFonts w:hint="default" w:ascii="Times New Roman" w:hAnsi="Times New Roman" w:eastAsia="宋体" w:cs="Times New Roman"/>
                <w:b w:val="0"/>
                <w:bCs/>
                <w:color w:val="auto"/>
                <w:spacing w:val="-10"/>
                <w:sz w:val="21"/>
                <w:szCs w:val="21"/>
                <w:highlight w:val="none"/>
                <w:lang w:val="en-US" w:eastAsia="zh-CN"/>
              </w:rPr>
            </w:pPr>
            <w:r>
              <w:rPr>
                <w:rFonts w:hint="default" w:ascii="Times New Roman" w:hAnsi="Times New Roman" w:eastAsia="宋体" w:cs="Times New Roman"/>
                <w:b w:val="0"/>
                <w:bCs/>
                <w:color w:val="auto"/>
                <w:spacing w:val="-10"/>
                <w:sz w:val="21"/>
                <w:szCs w:val="21"/>
                <w:highlight w:val="none"/>
                <w:lang w:val="en-US" w:eastAsia="zh-CN"/>
              </w:rPr>
              <w:t>超声波废水（</w:t>
            </w:r>
            <w:r>
              <w:rPr>
                <w:rFonts w:hint="eastAsia" w:ascii="Times New Roman" w:cs="Times New Roman"/>
                <w:b w:val="0"/>
                <w:bCs/>
                <w:color w:val="auto"/>
                <w:spacing w:val="-10"/>
                <w:sz w:val="21"/>
                <w:szCs w:val="21"/>
                <w:highlight w:val="none"/>
                <w:lang w:val="en-US" w:eastAsia="zh-CN"/>
              </w:rPr>
              <w:t>3.9</w:t>
            </w:r>
            <w:r>
              <w:rPr>
                <w:rFonts w:hint="default" w:ascii="Times New Roman" w:hAnsi="Times New Roman" w:eastAsia="宋体" w:cs="Times New Roman"/>
                <w:b w:val="0"/>
                <w:bCs/>
                <w:color w:val="auto"/>
                <w:spacing w:val="-10"/>
                <w:sz w:val="21"/>
                <w:szCs w:val="21"/>
                <w:highlight w:val="none"/>
                <w:lang w:val="en-US" w:eastAsia="zh-CN"/>
              </w:rPr>
              <w:t>t/a）、手工清洗废水</w:t>
            </w:r>
            <w:r>
              <w:rPr>
                <w:rFonts w:hint="default" w:ascii="Times New Roman" w:hAnsi="Times New Roman" w:eastAsia="宋体" w:cs="Times New Roman"/>
                <w:b w:val="0"/>
                <w:bCs/>
                <w:color w:val="auto"/>
                <w:spacing w:val="-10"/>
                <w:sz w:val="21"/>
                <w:szCs w:val="21"/>
                <w:highlight w:val="none"/>
                <w:lang w:val="en-US" w:eastAsia="zh-CN"/>
              </w:rPr>
              <w:t>（</w:t>
            </w:r>
            <w:r>
              <w:rPr>
                <w:rFonts w:hint="eastAsia" w:ascii="Times New Roman" w:cs="Times New Roman"/>
                <w:b w:val="0"/>
                <w:bCs/>
                <w:color w:val="auto"/>
                <w:spacing w:val="-10"/>
                <w:sz w:val="21"/>
                <w:szCs w:val="21"/>
                <w:highlight w:val="none"/>
                <w:lang w:val="en-US" w:eastAsia="zh-CN"/>
              </w:rPr>
              <w:t>2.592</w:t>
            </w:r>
            <w:r>
              <w:rPr>
                <w:rFonts w:hint="default" w:ascii="Times New Roman" w:hAnsi="Times New Roman" w:eastAsia="宋体" w:cs="Times New Roman"/>
                <w:b w:val="0"/>
                <w:bCs/>
                <w:color w:val="auto"/>
                <w:spacing w:val="-10"/>
                <w:sz w:val="21"/>
                <w:szCs w:val="21"/>
                <w:highlight w:val="none"/>
                <w:lang w:val="en-US" w:eastAsia="zh-CN"/>
              </w:rPr>
              <w:t>t/a</w:t>
            </w:r>
            <w:r>
              <w:rPr>
                <w:rFonts w:hint="default" w:ascii="Times New Roman" w:hAnsi="Times New Roman" w:eastAsia="宋体" w:cs="Times New Roman"/>
                <w:b w:val="0"/>
                <w:bCs/>
                <w:color w:val="auto"/>
                <w:spacing w:val="-10"/>
                <w:sz w:val="21"/>
                <w:szCs w:val="21"/>
                <w:highlight w:val="none"/>
                <w:lang w:val="en-US" w:eastAsia="zh-CN"/>
              </w:rPr>
              <w:t>）、水样废水</w:t>
            </w:r>
            <w:r>
              <w:rPr>
                <w:rFonts w:hint="default" w:ascii="Times New Roman" w:hAnsi="Times New Roman" w:eastAsia="宋体" w:cs="Times New Roman"/>
                <w:b w:val="0"/>
                <w:bCs/>
                <w:color w:val="auto"/>
                <w:spacing w:val="-10"/>
                <w:sz w:val="21"/>
                <w:szCs w:val="21"/>
                <w:highlight w:val="none"/>
                <w:lang w:val="en-US" w:eastAsia="zh-CN"/>
              </w:rPr>
              <w:t>（0.</w:t>
            </w:r>
            <w:r>
              <w:rPr>
                <w:rFonts w:hint="eastAsia" w:ascii="Times New Roman" w:cs="Times New Roman"/>
                <w:b w:val="0"/>
                <w:bCs/>
                <w:color w:val="auto"/>
                <w:spacing w:val="-10"/>
                <w:sz w:val="21"/>
                <w:szCs w:val="21"/>
                <w:highlight w:val="none"/>
                <w:lang w:val="en-US" w:eastAsia="zh-CN"/>
              </w:rPr>
              <w:t>24</w:t>
            </w:r>
            <w:r>
              <w:rPr>
                <w:rFonts w:hint="default" w:ascii="Times New Roman" w:hAnsi="Times New Roman" w:eastAsia="宋体" w:cs="Times New Roman"/>
                <w:b w:val="0"/>
                <w:bCs/>
                <w:color w:val="auto"/>
                <w:spacing w:val="-10"/>
                <w:sz w:val="21"/>
                <w:szCs w:val="21"/>
                <w:highlight w:val="none"/>
                <w:lang w:val="en-US" w:eastAsia="zh-CN"/>
              </w:rPr>
              <w:t>t/a</w:t>
            </w:r>
            <w:r>
              <w:rPr>
                <w:rFonts w:hint="default" w:ascii="Times New Roman" w:hAnsi="Times New Roman" w:eastAsia="宋体" w:cs="Times New Roman"/>
                <w:b w:val="0"/>
                <w:bCs/>
                <w:color w:val="auto"/>
                <w:spacing w:val="-10"/>
                <w:sz w:val="21"/>
                <w:szCs w:val="21"/>
                <w:highlight w:val="none"/>
                <w:lang w:val="en-US" w:eastAsia="zh-CN"/>
              </w:rPr>
              <w:t>）及</w:t>
            </w:r>
            <w:r>
              <w:rPr>
                <w:rFonts w:hint="eastAsia" w:ascii="Times New Roman" w:cs="Times New Roman"/>
                <w:b w:val="0"/>
                <w:bCs/>
                <w:color w:val="auto"/>
                <w:spacing w:val="-10"/>
                <w:sz w:val="21"/>
                <w:szCs w:val="21"/>
                <w:highlight w:val="none"/>
                <w:lang w:val="en-US" w:eastAsia="zh-CN"/>
              </w:rPr>
              <w:t>喷淋废水</w:t>
            </w:r>
            <w:r>
              <w:rPr>
                <w:rFonts w:hint="default" w:ascii="Times New Roman" w:hAnsi="Times New Roman" w:eastAsia="宋体" w:cs="Times New Roman"/>
                <w:b w:val="0"/>
                <w:bCs/>
                <w:color w:val="auto"/>
                <w:spacing w:val="-10"/>
                <w:sz w:val="21"/>
                <w:szCs w:val="21"/>
                <w:highlight w:val="none"/>
                <w:lang w:val="en-US" w:eastAsia="zh-CN"/>
              </w:rPr>
              <w:t>（</w:t>
            </w:r>
            <w:r>
              <w:rPr>
                <w:rFonts w:hint="eastAsia" w:ascii="Times New Roman" w:cs="Times New Roman"/>
                <w:b w:val="0"/>
                <w:bCs/>
                <w:color w:val="auto"/>
                <w:spacing w:val="-10"/>
                <w:sz w:val="21"/>
                <w:szCs w:val="21"/>
                <w:highlight w:val="none"/>
                <w:lang w:val="en-US" w:eastAsia="zh-CN"/>
              </w:rPr>
              <w:t>9</w:t>
            </w:r>
            <w:r>
              <w:rPr>
                <w:rFonts w:hint="default" w:ascii="Times New Roman" w:hAnsi="Times New Roman" w:eastAsia="宋体" w:cs="Times New Roman"/>
                <w:b w:val="0"/>
                <w:bCs/>
                <w:color w:val="auto"/>
                <w:spacing w:val="-10"/>
                <w:sz w:val="21"/>
                <w:szCs w:val="21"/>
                <w:highlight w:val="none"/>
                <w:lang w:val="en-US" w:eastAsia="zh-CN"/>
              </w:rPr>
              <w:t>t/a），合计</w:t>
            </w:r>
            <w:r>
              <w:rPr>
                <w:rFonts w:hint="eastAsia" w:ascii="Times New Roman" w:cs="Times New Roman"/>
                <w:b w:val="0"/>
                <w:bCs/>
                <w:color w:val="auto"/>
                <w:spacing w:val="-10"/>
                <w:sz w:val="21"/>
                <w:szCs w:val="21"/>
                <w:highlight w:val="none"/>
                <w:lang w:val="en-US" w:eastAsia="zh-CN"/>
              </w:rPr>
              <w:t>15.732t</w:t>
            </w:r>
            <w:r>
              <w:rPr>
                <w:rFonts w:hint="default" w:ascii="Times New Roman" w:hAnsi="Times New Roman" w:eastAsia="宋体" w:cs="Times New Roman"/>
                <w:b w:val="0"/>
                <w:bCs/>
                <w:color w:val="auto"/>
                <w:spacing w:val="-10"/>
                <w:sz w:val="21"/>
                <w:szCs w:val="21"/>
                <w:highlight w:val="none"/>
                <w:lang w:val="en-US" w:eastAsia="zh-CN"/>
              </w:rPr>
              <w:t>/a。</w:t>
            </w:r>
          </w:p>
          <w:p w14:paraId="41468C1A">
            <w:pPr>
              <w:pStyle w:val="40"/>
              <w:shd w:val="clear"/>
              <w:spacing w:line="360" w:lineRule="auto"/>
              <w:ind w:firstLine="380" w:firstLineChars="200"/>
              <w:jc w:val="both"/>
              <w:rPr>
                <w:rFonts w:hint="default" w:ascii="Times New Roman" w:hAnsi="Times New Roman" w:eastAsia="宋体" w:cs="Times New Roman"/>
                <w:b w:val="0"/>
                <w:bCs/>
                <w:color w:val="auto"/>
                <w:spacing w:val="-10"/>
                <w:sz w:val="21"/>
                <w:szCs w:val="21"/>
                <w:highlight w:val="none"/>
                <w:lang w:val="en-US" w:eastAsia="zh-CN"/>
              </w:rPr>
            </w:pPr>
            <w:r>
              <w:rPr>
                <w:rFonts w:hint="default" w:ascii="Times New Roman" w:hAnsi="Times New Roman" w:eastAsia="宋体" w:cs="Times New Roman"/>
                <w:b w:val="0"/>
                <w:bCs/>
                <w:color w:val="auto"/>
                <w:spacing w:val="-10"/>
                <w:sz w:val="21"/>
                <w:szCs w:val="21"/>
                <w:highlight w:val="none"/>
                <w:lang w:val="en-US" w:eastAsia="zh-CN"/>
              </w:rPr>
              <w:t>本项目实验综合废水主要污染物有：CODcr、BOD</w:t>
            </w:r>
            <w:r>
              <w:rPr>
                <w:rFonts w:hint="default" w:ascii="Times New Roman" w:hAnsi="Times New Roman" w:eastAsia="宋体" w:cs="Times New Roman"/>
                <w:b w:val="0"/>
                <w:bCs/>
                <w:color w:val="auto"/>
                <w:spacing w:val="-10"/>
                <w:sz w:val="21"/>
                <w:szCs w:val="21"/>
                <w:highlight w:val="none"/>
                <w:vertAlign w:val="subscript"/>
                <w:lang w:val="en-US" w:eastAsia="zh-CN"/>
              </w:rPr>
              <w:t>5</w:t>
            </w:r>
            <w:r>
              <w:rPr>
                <w:rFonts w:hint="default" w:ascii="Times New Roman" w:hAnsi="Times New Roman" w:eastAsia="宋体" w:cs="Times New Roman"/>
                <w:b w:val="0"/>
                <w:bCs/>
                <w:color w:val="auto"/>
                <w:spacing w:val="-10"/>
                <w:sz w:val="21"/>
                <w:szCs w:val="21"/>
                <w:highlight w:val="none"/>
                <w:lang w:val="en-US" w:eastAsia="zh-CN"/>
              </w:rPr>
              <w:t>、SS、pH、氨氮</w:t>
            </w:r>
            <w:r>
              <w:rPr>
                <w:rFonts w:hint="eastAsia" w:ascii="Times New Roman" w:cs="Times New Roman"/>
                <w:b w:val="0"/>
                <w:bCs/>
                <w:color w:val="auto"/>
                <w:spacing w:val="-10"/>
                <w:sz w:val="21"/>
                <w:szCs w:val="21"/>
                <w:highlight w:val="none"/>
                <w:lang w:val="en-US" w:eastAsia="zh-CN"/>
              </w:rPr>
              <w:t>、磷酸盐、</w:t>
            </w:r>
            <w:r>
              <w:rPr>
                <w:rFonts w:hint="default" w:ascii="Times New Roman" w:hAnsi="Times New Roman" w:eastAsia="宋体" w:cs="Times New Roman"/>
                <w:b w:val="0"/>
                <w:bCs/>
                <w:color w:val="auto"/>
                <w:spacing w:val="-10"/>
                <w:sz w:val="21"/>
                <w:szCs w:val="21"/>
                <w:highlight w:val="none"/>
                <w:lang w:val="en-US" w:eastAsia="zh-CN"/>
              </w:rPr>
              <w:t>总铜。参考《污水处理厂工艺设计手册》（第二版）（化学工业出版社，2011年王社平、高俊发主编）中的常见水质分析汇总表，实验综合废水水质实例范围为：</w:t>
            </w:r>
            <w:r>
              <w:rPr>
                <w:rFonts w:hint="eastAsia" w:ascii="Times New Roman" w:cs="Times New Roman"/>
                <w:b w:val="0"/>
                <w:bCs/>
                <w:color w:val="auto"/>
                <w:spacing w:val="-10"/>
                <w:sz w:val="21"/>
                <w:szCs w:val="21"/>
                <w:highlight w:val="none"/>
                <w:lang w:val="en-US" w:eastAsia="zh-CN"/>
              </w:rPr>
              <w:t>PH值6-9、</w:t>
            </w:r>
            <w:r>
              <w:rPr>
                <w:rFonts w:hint="default" w:ascii="Times New Roman" w:hAnsi="Times New Roman" w:eastAsia="宋体" w:cs="Times New Roman"/>
                <w:b w:val="0"/>
                <w:bCs/>
                <w:color w:val="auto"/>
                <w:spacing w:val="-10"/>
                <w:sz w:val="21"/>
                <w:szCs w:val="21"/>
                <w:highlight w:val="none"/>
                <w:lang w:val="en-US" w:eastAsia="zh-CN"/>
              </w:rPr>
              <w:t>COD</w:t>
            </w:r>
            <w:r>
              <w:rPr>
                <w:rFonts w:hint="default" w:ascii="Times New Roman" w:hAnsi="Times New Roman" w:eastAsia="宋体" w:cs="Times New Roman"/>
                <w:b w:val="0"/>
                <w:bCs/>
                <w:color w:val="auto"/>
                <w:spacing w:val="-10"/>
                <w:sz w:val="21"/>
                <w:szCs w:val="21"/>
                <w:highlight w:val="none"/>
                <w:vertAlign w:val="subscript"/>
                <w:lang w:val="en-US" w:eastAsia="zh-CN"/>
              </w:rPr>
              <w:t>Cr</w:t>
            </w:r>
            <w:r>
              <w:rPr>
                <w:rFonts w:hint="default" w:ascii="Times New Roman" w:hAnsi="Times New Roman" w:eastAsia="宋体" w:cs="Times New Roman"/>
                <w:b w:val="0"/>
                <w:bCs/>
                <w:color w:val="auto"/>
                <w:spacing w:val="-10"/>
                <w:sz w:val="21"/>
                <w:szCs w:val="21"/>
                <w:highlight w:val="none"/>
                <w:lang w:val="en-US" w:eastAsia="zh-CN"/>
              </w:rPr>
              <w:t>：100~294mg/L、BOD</w:t>
            </w:r>
            <w:r>
              <w:rPr>
                <w:rFonts w:hint="default" w:ascii="Times New Roman" w:hAnsi="Times New Roman" w:eastAsia="宋体" w:cs="Times New Roman"/>
                <w:b w:val="0"/>
                <w:bCs/>
                <w:color w:val="auto"/>
                <w:spacing w:val="-10"/>
                <w:sz w:val="21"/>
                <w:szCs w:val="21"/>
                <w:highlight w:val="none"/>
                <w:vertAlign w:val="subscript"/>
                <w:lang w:val="en-US" w:eastAsia="zh-CN"/>
              </w:rPr>
              <w:t>5</w:t>
            </w:r>
            <w:r>
              <w:rPr>
                <w:rFonts w:hint="default" w:ascii="Times New Roman" w:hAnsi="Times New Roman" w:eastAsia="宋体" w:cs="Times New Roman"/>
                <w:b w:val="0"/>
                <w:bCs/>
                <w:color w:val="auto"/>
                <w:spacing w:val="-10"/>
                <w:sz w:val="21"/>
                <w:szCs w:val="21"/>
                <w:highlight w:val="none"/>
                <w:lang w:val="en-US" w:eastAsia="zh-CN"/>
              </w:rPr>
              <w:t>：33~100mg/L、SS：46~174mg/L、NH3-N：3~27mg/L。本项目实验室废水水质浓度取值</w:t>
            </w:r>
            <w:r>
              <w:rPr>
                <w:rFonts w:hint="eastAsia" w:ascii="Times New Roman" w:cs="Times New Roman"/>
                <w:b w:val="0"/>
                <w:bCs/>
                <w:color w:val="auto"/>
                <w:spacing w:val="-10"/>
                <w:sz w:val="21"/>
                <w:szCs w:val="21"/>
                <w:highlight w:val="none"/>
                <w:lang w:val="en-US" w:eastAsia="zh-CN"/>
              </w:rPr>
              <w:t>：</w:t>
            </w:r>
            <w:r>
              <w:rPr>
                <w:rFonts w:hint="default" w:ascii="Times New Roman" w:hAnsi="Times New Roman" w:eastAsia="宋体" w:cs="Times New Roman"/>
                <w:b w:val="0"/>
                <w:bCs/>
                <w:color w:val="auto"/>
                <w:spacing w:val="-10"/>
                <w:sz w:val="21"/>
                <w:szCs w:val="21"/>
                <w:highlight w:val="none"/>
                <w:lang w:val="en-US" w:eastAsia="zh-CN"/>
              </w:rPr>
              <w:t>pH值</w:t>
            </w:r>
            <w:r>
              <w:rPr>
                <w:rFonts w:hint="eastAsia" w:ascii="Times New Roman" w:cs="Times New Roman"/>
                <w:b w:val="0"/>
                <w:bCs/>
                <w:color w:val="auto"/>
                <w:spacing w:val="-10"/>
                <w:sz w:val="21"/>
                <w:szCs w:val="21"/>
                <w:highlight w:val="none"/>
                <w:lang w:val="en-US" w:eastAsia="zh-CN"/>
              </w:rPr>
              <w:t>9、</w:t>
            </w:r>
            <w:r>
              <w:rPr>
                <w:rFonts w:hint="default" w:ascii="Times New Roman" w:hAnsi="Times New Roman" w:eastAsia="宋体" w:cs="Times New Roman"/>
                <w:b w:val="0"/>
                <w:bCs/>
                <w:color w:val="auto"/>
                <w:spacing w:val="-10"/>
                <w:sz w:val="21"/>
                <w:szCs w:val="21"/>
                <w:highlight w:val="none"/>
                <w:lang w:val="en-US" w:eastAsia="zh-CN"/>
              </w:rPr>
              <w:t>COD</w:t>
            </w:r>
            <w:r>
              <w:rPr>
                <w:rFonts w:hint="default" w:ascii="Times New Roman" w:hAnsi="Times New Roman" w:eastAsia="宋体" w:cs="Times New Roman"/>
                <w:b w:val="0"/>
                <w:bCs/>
                <w:color w:val="auto"/>
                <w:spacing w:val="-10"/>
                <w:sz w:val="21"/>
                <w:szCs w:val="21"/>
                <w:highlight w:val="none"/>
                <w:vertAlign w:val="subscript"/>
                <w:lang w:val="en-US" w:eastAsia="zh-CN"/>
              </w:rPr>
              <w:t>Cr</w:t>
            </w:r>
            <w:r>
              <w:rPr>
                <w:rFonts w:hint="default" w:ascii="Times New Roman" w:hAnsi="Times New Roman" w:eastAsia="宋体" w:cs="Times New Roman"/>
                <w:b w:val="0"/>
                <w:bCs/>
                <w:color w:val="auto"/>
                <w:spacing w:val="-10"/>
                <w:sz w:val="21"/>
                <w:szCs w:val="21"/>
                <w:highlight w:val="none"/>
                <w:lang w:val="en-US" w:eastAsia="zh-CN"/>
              </w:rPr>
              <w:t>浓度为294mg/L，BOD</w:t>
            </w:r>
            <w:r>
              <w:rPr>
                <w:rFonts w:hint="default" w:ascii="Times New Roman" w:hAnsi="Times New Roman" w:eastAsia="宋体" w:cs="Times New Roman"/>
                <w:b w:val="0"/>
                <w:bCs/>
                <w:color w:val="auto"/>
                <w:spacing w:val="-10"/>
                <w:sz w:val="21"/>
                <w:szCs w:val="21"/>
                <w:highlight w:val="none"/>
                <w:vertAlign w:val="subscript"/>
                <w:lang w:val="en-US" w:eastAsia="zh-CN"/>
              </w:rPr>
              <w:t>5</w:t>
            </w:r>
            <w:r>
              <w:rPr>
                <w:rFonts w:hint="default" w:ascii="Times New Roman" w:hAnsi="Times New Roman" w:eastAsia="宋体" w:cs="Times New Roman"/>
                <w:b w:val="0"/>
                <w:bCs/>
                <w:color w:val="auto"/>
                <w:spacing w:val="-10"/>
                <w:sz w:val="21"/>
                <w:szCs w:val="21"/>
                <w:highlight w:val="none"/>
                <w:lang w:val="en-US" w:eastAsia="zh-CN"/>
              </w:rPr>
              <w:t>浓度为100mg/L，SS浓度为174mg/L，氨氮浓度为27mg/L</w:t>
            </w:r>
            <w:r>
              <w:rPr>
                <w:rFonts w:hint="eastAsia" w:ascii="Times New Roman" w:cs="Times New Roman"/>
                <w:b w:val="0"/>
                <w:bCs/>
                <w:color w:val="auto"/>
                <w:spacing w:val="-10"/>
                <w:sz w:val="21"/>
                <w:szCs w:val="21"/>
                <w:highlight w:val="none"/>
                <w:lang w:val="en-US" w:eastAsia="zh-CN"/>
              </w:rPr>
              <w:t>；总铜参考</w:t>
            </w:r>
            <w:r>
              <w:rPr>
                <w:rFonts w:hint="default" w:ascii="Times New Roman" w:hAnsi="Times New Roman" w:eastAsia="宋体" w:cs="Times New Roman"/>
                <w:b w:val="0"/>
                <w:bCs/>
                <w:color w:val="auto"/>
                <w:spacing w:val="-10"/>
                <w:sz w:val="21"/>
                <w:szCs w:val="21"/>
                <w:highlight w:val="none"/>
                <w:lang w:val="en-US" w:eastAsia="zh-CN"/>
              </w:rPr>
              <w:t>《实验室高浓度特殊重金属废水多级离子交换处理技术研究》</w:t>
            </w:r>
            <w:r>
              <w:rPr>
                <w:rFonts w:hint="eastAsia" w:ascii="Times New Roman" w:cs="Times New Roman"/>
                <w:b w:val="0"/>
                <w:bCs/>
                <w:color w:val="auto"/>
                <w:spacing w:val="-10"/>
                <w:sz w:val="21"/>
                <w:szCs w:val="21"/>
                <w:highlight w:val="none"/>
                <w:lang w:val="en-US" w:eastAsia="zh-CN"/>
              </w:rPr>
              <w:t>（李艳，天津大学）中表2-5不同类型实验室废水的重金属指标，总铜环境类指标为0..37mg/L。本项目废水为环境实验废水，废水类型与文献中废水相似，因此总铜取0.37mg/L；</w:t>
            </w:r>
            <w:r>
              <w:rPr>
                <w:rFonts w:hint="default" w:ascii="Times New Roman" w:hAnsi="Times New Roman" w:eastAsia="宋体" w:cs="Times New Roman"/>
                <w:b w:val="0"/>
                <w:bCs/>
                <w:color w:val="auto"/>
                <w:spacing w:val="-10"/>
                <w:sz w:val="21"/>
                <w:szCs w:val="21"/>
                <w:highlight w:val="none"/>
                <w:lang w:val="en-US" w:eastAsia="zh-CN"/>
              </w:rPr>
              <w:t>磷酸盐参考《Fenton体系氧化机理及其在实验室废水处理中的应用研究》（</w:t>
            </w:r>
            <w:r>
              <w:rPr>
                <w:rFonts w:hint="eastAsia" w:ascii="Times New Roman" w:cs="Times New Roman"/>
                <w:i w:val="0"/>
                <w:iCs w:val="0"/>
                <w:caps w:val="0"/>
                <w:color w:val="auto"/>
                <w:spacing w:val="0"/>
                <w:sz w:val="21"/>
                <w:szCs w:val="21"/>
                <w:highlight w:val="none"/>
                <w:shd w:val="clear" w:fill="FFFFFF"/>
                <w:lang w:val="en-US" w:eastAsia="zh-CN"/>
              </w:rPr>
              <w:t>贺仲兵</w:t>
            </w:r>
            <w:r>
              <w:rPr>
                <w:rFonts w:hint="default" w:ascii="Times New Roman" w:hAnsi="Times New Roman" w:eastAsia="宋体" w:cs="Times New Roman"/>
                <w:i w:val="0"/>
                <w:iCs w:val="0"/>
                <w:caps w:val="0"/>
                <w:color w:val="auto"/>
                <w:spacing w:val="0"/>
                <w:sz w:val="21"/>
                <w:szCs w:val="21"/>
                <w:highlight w:val="none"/>
                <w:shd w:val="clear" w:fill="FFFFFF"/>
                <w:lang w:eastAsia="zh-CN"/>
              </w:rPr>
              <w:t>，</w:t>
            </w:r>
            <w:r>
              <w:rPr>
                <w:rFonts w:hint="eastAsia" w:ascii="Times New Roman" w:cs="Times New Roman"/>
                <w:i w:val="0"/>
                <w:iCs w:val="0"/>
                <w:caps w:val="0"/>
                <w:color w:val="auto"/>
                <w:spacing w:val="0"/>
                <w:sz w:val="21"/>
                <w:szCs w:val="21"/>
                <w:highlight w:val="none"/>
                <w:shd w:val="clear" w:fill="FFFFFF"/>
                <w:lang w:val="en-US" w:eastAsia="zh-CN"/>
              </w:rPr>
              <w:t>湖南大学</w:t>
            </w:r>
            <w:r>
              <w:rPr>
                <w:rFonts w:hint="default" w:ascii="Times New Roman" w:hAnsi="Times New Roman" w:eastAsia="宋体" w:cs="Times New Roman"/>
                <w:b w:val="0"/>
                <w:bCs/>
                <w:color w:val="auto"/>
                <w:spacing w:val="-10"/>
                <w:sz w:val="21"/>
                <w:szCs w:val="21"/>
                <w:highlight w:val="none"/>
                <w:lang w:val="en-US" w:eastAsia="zh-CN"/>
              </w:rPr>
              <w:t>）中表</w:t>
            </w:r>
            <w:r>
              <w:rPr>
                <w:rFonts w:hint="eastAsia" w:ascii="Times New Roman" w:cs="Times New Roman"/>
                <w:b w:val="0"/>
                <w:bCs/>
                <w:color w:val="auto"/>
                <w:spacing w:val="-10"/>
                <w:sz w:val="21"/>
                <w:szCs w:val="21"/>
                <w:highlight w:val="none"/>
                <w:lang w:val="en-US" w:eastAsia="zh-CN"/>
              </w:rPr>
              <w:t>5.4实验室废水中的阴阳离子测定结果</w:t>
            </w:r>
            <w:r>
              <w:rPr>
                <w:rFonts w:hint="default" w:ascii="Times New Roman" w:hAnsi="Times New Roman" w:eastAsia="宋体" w:cs="Times New Roman"/>
                <w:b w:val="0"/>
                <w:bCs/>
                <w:color w:val="auto"/>
                <w:spacing w:val="-10"/>
                <w:sz w:val="21"/>
                <w:szCs w:val="21"/>
                <w:highlight w:val="none"/>
                <w:lang w:val="en-US" w:eastAsia="zh-CN"/>
              </w:rPr>
              <w:t>，磷酸盐的</w:t>
            </w:r>
            <w:r>
              <w:rPr>
                <w:rFonts w:hint="eastAsia" w:ascii="Times New Roman" w:cs="Times New Roman"/>
                <w:b w:val="0"/>
                <w:bCs/>
                <w:color w:val="auto"/>
                <w:spacing w:val="-10"/>
                <w:sz w:val="21"/>
                <w:szCs w:val="21"/>
                <w:highlight w:val="none"/>
                <w:lang w:val="en-US" w:eastAsia="zh-CN"/>
              </w:rPr>
              <w:t>浓度为</w:t>
            </w:r>
            <w:r>
              <w:rPr>
                <w:rFonts w:hint="default" w:ascii="Times New Roman" w:hAnsi="Times New Roman" w:eastAsia="宋体" w:cs="Times New Roman"/>
                <w:b w:val="0"/>
                <w:bCs/>
                <w:color w:val="auto"/>
                <w:spacing w:val="-10"/>
                <w:sz w:val="21"/>
                <w:szCs w:val="21"/>
                <w:highlight w:val="none"/>
                <w:lang w:val="en-US" w:eastAsia="zh-CN"/>
              </w:rPr>
              <w:t>0.</w:t>
            </w:r>
            <w:r>
              <w:rPr>
                <w:rFonts w:hint="eastAsia" w:ascii="Times New Roman" w:cs="Times New Roman"/>
                <w:b w:val="0"/>
                <w:bCs/>
                <w:color w:val="auto"/>
                <w:spacing w:val="-10"/>
                <w:sz w:val="21"/>
                <w:szCs w:val="21"/>
                <w:highlight w:val="none"/>
                <w:lang w:val="en-US" w:eastAsia="zh-CN"/>
              </w:rPr>
              <w:t>8</w:t>
            </w:r>
            <w:r>
              <w:rPr>
                <w:rFonts w:hint="default" w:ascii="Times New Roman" w:hAnsi="Times New Roman" w:eastAsia="宋体" w:cs="Times New Roman"/>
                <w:b w:val="0"/>
                <w:bCs/>
                <w:color w:val="auto"/>
                <w:spacing w:val="-10"/>
                <w:sz w:val="21"/>
                <w:szCs w:val="21"/>
                <w:highlight w:val="none"/>
                <w:lang w:val="en-US" w:eastAsia="zh-CN"/>
              </w:rPr>
              <w:t>mg/L</w:t>
            </w:r>
            <w:r>
              <w:rPr>
                <w:rFonts w:hint="eastAsia" w:ascii="Times New Roman" w:cs="Times New Roman"/>
                <w:b w:val="0"/>
                <w:bCs/>
                <w:color w:val="auto"/>
                <w:spacing w:val="-10"/>
                <w:sz w:val="21"/>
                <w:szCs w:val="21"/>
                <w:highlight w:val="none"/>
                <w:lang w:val="en-US" w:eastAsia="zh-CN"/>
              </w:rPr>
              <w:t>。</w:t>
            </w:r>
            <w:r>
              <w:rPr>
                <w:rFonts w:hint="default" w:ascii="Times New Roman" w:hAnsi="Times New Roman" w:eastAsia="宋体" w:cs="Times New Roman"/>
                <w:b w:val="0"/>
                <w:bCs/>
                <w:color w:val="auto"/>
                <w:spacing w:val="-10"/>
                <w:sz w:val="21"/>
                <w:szCs w:val="21"/>
                <w:highlight w:val="none"/>
                <w:lang w:val="en-US" w:eastAsia="zh-CN"/>
              </w:rPr>
              <w:t>文献中</w:t>
            </w:r>
            <w:r>
              <w:rPr>
                <w:rFonts w:hint="eastAsia" w:ascii="Times New Roman" w:cs="Times New Roman"/>
                <w:b w:val="0"/>
                <w:bCs/>
                <w:color w:val="auto"/>
                <w:spacing w:val="-10"/>
                <w:sz w:val="21"/>
                <w:szCs w:val="21"/>
                <w:highlight w:val="none"/>
                <w:lang w:val="en-US" w:eastAsia="zh-CN"/>
              </w:rPr>
              <w:t>实验室废水来自某大学综合实验楼一楼的沉淀池，综合实验楼由无机实验室、分析实验室、有机合成实验室、无机材料实验室、微生物实验室、生化实验室、各种大型仪器检测室等所组成</w:t>
            </w:r>
            <w:r>
              <w:rPr>
                <w:rFonts w:hint="eastAsia" w:ascii="Helvetica" w:hAnsi="Helvetica" w:eastAsia="宋体" w:cs="Helvetica"/>
                <w:i w:val="0"/>
                <w:iCs w:val="0"/>
                <w:caps w:val="0"/>
                <w:color w:val="auto"/>
                <w:spacing w:val="0"/>
                <w:sz w:val="21"/>
                <w:szCs w:val="21"/>
                <w:highlight w:val="none"/>
                <w:shd w:val="clear" w:fill="FFFFFF"/>
                <w:lang w:val="en-US" w:eastAsia="zh-CN"/>
              </w:rPr>
              <w:t>。</w:t>
            </w:r>
            <w:r>
              <w:rPr>
                <w:rFonts w:hint="default" w:ascii="Times New Roman" w:hAnsi="Times New Roman" w:eastAsia="宋体" w:cs="Times New Roman"/>
                <w:b w:val="0"/>
                <w:bCs/>
                <w:color w:val="auto"/>
                <w:spacing w:val="-10"/>
                <w:sz w:val="21"/>
                <w:szCs w:val="21"/>
                <w:highlight w:val="none"/>
                <w:lang w:val="en-US" w:eastAsia="zh-CN"/>
              </w:rPr>
              <w:t>本项目废水为环境实验废水，废水类型与文献中废水相似，因此磷酸盐取值为0.</w:t>
            </w:r>
            <w:r>
              <w:rPr>
                <w:rFonts w:hint="eastAsia" w:ascii="Times New Roman" w:cs="Times New Roman"/>
                <w:b w:val="0"/>
                <w:bCs/>
                <w:color w:val="auto"/>
                <w:spacing w:val="-10"/>
                <w:sz w:val="21"/>
                <w:szCs w:val="21"/>
                <w:highlight w:val="none"/>
                <w:lang w:val="en-US" w:eastAsia="zh-CN"/>
              </w:rPr>
              <w:t>8</w:t>
            </w:r>
            <w:r>
              <w:rPr>
                <w:rFonts w:hint="default" w:ascii="Times New Roman" w:hAnsi="Times New Roman" w:eastAsia="宋体" w:cs="Times New Roman"/>
                <w:b w:val="0"/>
                <w:bCs/>
                <w:color w:val="auto"/>
                <w:spacing w:val="-10"/>
                <w:sz w:val="21"/>
                <w:szCs w:val="21"/>
                <w:highlight w:val="none"/>
                <w:lang w:val="en-US" w:eastAsia="zh-CN"/>
              </w:rPr>
              <w:t>mg/L。</w:t>
            </w:r>
            <w:r>
              <w:rPr>
                <w:rFonts w:hint="default" w:ascii="Times New Roman" w:hAnsi="Times New Roman" w:eastAsia="宋体" w:cs="Times New Roman"/>
                <w:b w:val="0"/>
                <w:bCs/>
                <w:color w:val="auto"/>
                <w:spacing w:val="-10"/>
                <w:sz w:val="21"/>
                <w:szCs w:val="21"/>
                <w:highlight w:val="none"/>
                <w:lang w:val="en-US" w:eastAsia="zh-CN"/>
              </w:rPr>
              <w:t>该废水定期委托给有废水处理能力的单位转移处理。</w:t>
            </w:r>
          </w:p>
          <w:p w14:paraId="395EAA50">
            <w:pPr>
              <w:widowControl/>
              <w:numPr>
                <w:ilvl w:val="0"/>
                <w:numId w:val="0"/>
              </w:numPr>
              <w:spacing w:line="360" w:lineRule="auto"/>
              <w:contextualSpacing/>
              <w:jc w:val="center"/>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表</w:t>
            </w:r>
            <w:r>
              <w:rPr>
                <w:rFonts w:hint="eastAsia" w:cs="Times New Roman"/>
                <w:b/>
                <w:bCs/>
                <w:color w:val="auto"/>
                <w:sz w:val="24"/>
                <w:szCs w:val="24"/>
                <w:highlight w:val="none"/>
                <w:lang w:val="en-US" w:eastAsia="zh-CN"/>
              </w:rPr>
              <w:t>34</w:t>
            </w:r>
            <w:r>
              <w:rPr>
                <w:rFonts w:hint="default" w:ascii="Times New Roman" w:hAnsi="Times New Roman" w:eastAsia="宋体" w:cs="Times New Roman"/>
                <w:b/>
                <w:bCs/>
                <w:color w:val="auto"/>
                <w:sz w:val="24"/>
                <w:szCs w:val="24"/>
                <w:highlight w:val="none"/>
                <w:lang w:val="en-US" w:eastAsia="zh-CN"/>
              </w:rPr>
              <w:t>废水转移单位情况一览表</w:t>
            </w:r>
          </w:p>
          <w:tbl>
            <w:tblPr>
              <w:tblStyle w:val="33"/>
              <w:tblW w:w="468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71"/>
              <w:gridCol w:w="998"/>
              <w:gridCol w:w="1172"/>
              <w:gridCol w:w="1097"/>
              <w:gridCol w:w="852"/>
              <w:gridCol w:w="2356"/>
            </w:tblGrid>
            <w:tr w14:paraId="5A1F96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25" w:type="pct"/>
                  <w:noWrap w:val="0"/>
                  <w:vAlign w:val="center"/>
                </w:tcPr>
                <w:p w14:paraId="1B675780">
                  <w:pPr>
                    <w:widowControl w:val="0"/>
                    <w:jc w:val="center"/>
                    <w:rPr>
                      <w:rFonts w:hint="eastAsia" w:ascii="宋体" w:hAnsi="宋体" w:eastAsia="宋体" w:cs="宋体"/>
                      <w:b/>
                      <w:bCs/>
                      <w:color w:val="auto"/>
                      <w:kern w:val="2"/>
                      <w:sz w:val="21"/>
                      <w:szCs w:val="21"/>
                      <w:highlight w:val="none"/>
                      <w:lang w:val="en-US" w:eastAsia="zh-CN" w:bidi="zh-CN"/>
                    </w:rPr>
                  </w:pPr>
                  <w:r>
                    <w:rPr>
                      <w:rFonts w:ascii="宋体" w:hAnsi="宋体" w:eastAsia="宋体" w:cs="宋体"/>
                      <w:b/>
                      <w:bCs/>
                      <w:color w:val="auto"/>
                      <w:kern w:val="2"/>
                      <w:sz w:val="21"/>
                      <w:szCs w:val="21"/>
                      <w:highlight w:val="none"/>
                      <w:lang w:val="zh-CN" w:eastAsia="zh-CN" w:bidi="zh-CN"/>
                    </w:rPr>
                    <w:t>单位名称</w:t>
                  </w:r>
                </w:p>
              </w:tc>
              <w:tc>
                <w:tcPr>
                  <w:tcW w:w="628" w:type="pct"/>
                  <w:noWrap w:val="0"/>
                  <w:vAlign w:val="center"/>
                </w:tcPr>
                <w:p w14:paraId="4877B06E">
                  <w:pPr>
                    <w:widowControl w:val="0"/>
                    <w:jc w:val="center"/>
                    <w:rPr>
                      <w:rFonts w:hint="eastAsia" w:ascii="宋体" w:hAnsi="宋体" w:eastAsia="宋体" w:cs="宋体"/>
                      <w:b/>
                      <w:bCs/>
                      <w:color w:val="auto"/>
                      <w:kern w:val="2"/>
                      <w:sz w:val="21"/>
                      <w:szCs w:val="21"/>
                      <w:highlight w:val="none"/>
                      <w:lang w:val="en-US" w:eastAsia="zh-CN" w:bidi="zh-CN"/>
                    </w:rPr>
                  </w:pPr>
                  <w:r>
                    <w:rPr>
                      <w:rFonts w:ascii="宋体" w:hAnsi="宋体" w:eastAsia="宋体" w:cs="宋体"/>
                      <w:b/>
                      <w:bCs/>
                      <w:color w:val="auto"/>
                      <w:kern w:val="2"/>
                      <w:sz w:val="21"/>
                      <w:szCs w:val="21"/>
                      <w:highlight w:val="none"/>
                      <w:lang w:val="zh-CN" w:eastAsia="zh-CN" w:bidi="zh-CN"/>
                    </w:rPr>
                    <w:t>地址</w:t>
                  </w:r>
                </w:p>
              </w:tc>
              <w:tc>
                <w:tcPr>
                  <w:tcW w:w="737" w:type="pct"/>
                  <w:noWrap w:val="0"/>
                  <w:vAlign w:val="center"/>
                </w:tcPr>
                <w:p w14:paraId="6449E8BF">
                  <w:pPr>
                    <w:widowControl w:val="0"/>
                    <w:jc w:val="center"/>
                    <w:rPr>
                      <w:rFonts w:hint="eastAsia" w:ascii="宋体" w:hAnsi="宋体" w:eastAsia="宋体" w:cs="宋体"/>
                      <w:b/>
                      <w:bCs/>
                      <w:color w:val="auto"/>
                      <w:kern w:val="2"/>
                      <w:sz w:val="21"/>
                      <w:szCs w:val="21"/>
                      <w:highlight w:val="none"/>
                      <w:lang w:val="en-US" w:eastAsia="zh-CN" w:bidi="zh-CN"/>
                    </w:rPr>
                  </w:pPr>
                  <w:r>
                    <w:rPr>
                      <w:rFonts w:ascii="宋体" w:hAnsi="宋体" w:eastAsia="宋体" w:cs="宋体"/>
                      <w:b/>
                      <w:bCs/>
                      <w:color w:val="auto"/>
                      <w:kern w:val="2"/>
                      <w:sz w:val="21"/>
                      <w:szCs w:val="21"/>
                      <w:highlight w:val="none"/>
                      <w:lang w:val="zh-CN" w:eastAsia="zh-CN" w:bidi="zh-CN"/>
                    </w:rPr>
                    <w:t>处理废水类别</w:t>
                  </w:r>
                </w:p>
              </w:tc>
              <w:tc>
                <w:tcPr>
                  <w:tcW w:w="690" w:type="pct"/>
                  <w:noWrap w:val="0"/>
                  <w:vAlign w:val="center"/>
                </w:tcPr>
                <w:p w14:paraId="6A6E0482">
                  <w:pPr>
                    <w:widowControl w:val="0"/>
                    <w:jc w:val="center"/>
                    <w:rPr>
                      <w:rFonts w:hint="eastAsia" w:ascii="宋体" w:hAnsi="宋体" w:eastAsia="宋体" w:cs="宋体"/>
                      <w:b/>
                      <w:bCs/>
                      <w:color w:val="auto"/>
                      <w:kern w:val="2"/>
                      <w:sz w:val="21"/>
                      <w:szCs w:val="21"/>
                      <w:highlight w:val="none"/>
                      <w:lang w:val="en-US" w:eastAsia="zh-CN" w:bidi="zh-CN"/>
                    </w:rPr>
                  </w:pPr>
                  <w:r>
                    <w:rPr>
                      <w:rFonts w:ascii="宋体" w:hAnsi="宋体" w:eastAsia="宋体" w:cs="宋体"/>
                      <w:b/>
                      <w:bCs/>
                      <w:color w:val="auto"/>
                      <w:kern w:val="2"/>
                      <w:sz w:val="21"/>
                      <w:szCs w:val="21"/>
                      <w:highlight w:val="none"/>
                      <w:lang w:val="zh-CN" w:eastAsia="zh-CN" w:bidi="zh-CN"/>
                    </w:rPr>
                    <w:t>处理能力</w:t>
                  </w:r>
                </w:p>
              </w:tc>
              <w:tc>
                <w:tcPr>
                  <w:tcW w:w="536" w:type="pct"/>
                  <w:noWrap w:val="0"/>
                  <w:vAlign w:val="center"/>
                </w:tcPr>
                <w:p w14:paraId="5E434887">
                  <w:pPr>
                    <w:widowControl w:val="0"/>
                    <w:jc w:val="center"/>
                    <w:rPr>
                      <w:rFonts w:hint="eastAsia" w:ascii="宋体" w:hAnsi="宋体" w:eastAsia="宋体" w:cs="宋体"/>
                      <w:b/>
                      <w:bCs/>
                      <w:color w:val="auto"/>
                      <w:kern w:val="2"/>
                      <w:sz w:val="21"/>
                      <w:szCs w:val="21"/>
                      <w:highlight w:val="none"/>
                      <w:lang w:val="en-US" w:eastAsia="zh-CN" w:bidi="zh-CN"/>
                    </w:rPr>
                  </w:pPr>
                  <w:r>
                    <w:rPr>
                      <w:rFonts w:hint="eastAsia" w:ascii="宋体" w:hAnsi="宋体" w:eastAsia="宋体" w:cs="宋体"/>
                      <w:b/>
                      <w:bCs/>
                      <w:color w:val="auto"/>
                      <w:kern w:val="2"/>
                      <w:sz w:val="21"/>
                      <w:szCs w:val="21"/>
                      <w:highlight w:val="none"/>
                      <w:lang w:val="en-US" w:eastAsia="zh-CN" w:bidi="zh-CN"/>
                    </w:rPr>
                    <w:t>余量</w:t>
                  </w:r>
                </w:p>
              </w:tc>
              <w:tc>
                <w:tcPr>
                  <w:tcW w:w="1482" w:type="pct"/>
                  <w:noWrap w:val="0"/>
                  <w:vAlign w:val="center"/>
                </w:tcPr>
                <w:p w14:paraId="57F7B299">
                  <w:pPr>
                    <w:widowControl w:val="0"/>
                    <w:jc w:val="center"/>
                    <w:rPr>
                      <w:rFonts w:hint="default" w:ascii="宋体" w:hAnsi="宋体" w:eastAsia="宋体" w:cs="宋体"/>
                      <w:b/>
                      <w:bCs/>
                      <w:color w:val="auto"/>
                      <w:kern w:val="2"/>
                      <w:sz w:val="21"/>
                      <w:szCs w:val="21"/>
                      <w:highlight w:val="none"/>
                      <w:lang w:val="en-US" w:eastAsia="zh-CN" w:bidi="zh-CN"/>
                    </w:rPr>
                  </w:pPr>
                  <w:r>
                    <w:rPr>
                      <w:rFonts w:hint="eastAsia" w:ascii="宋体" w:hAnsi="宋体" w:eastAsia="宋体" w:cs="宋体"/>
                      <w:b/>
                      <w:bCs/>
                      <w:color w:val="auto"/>
                      <w:kern w:val="2"/>
                      <w:sz w:val="21"/>
                      <w:szCs w:val="21"/>
                      <w:highlight w:val="none"/>
                      <w:lang w:val="en-US" w:eastAsia="zh-CN" w:bidi="zh-CN"/>
                    </w:rPr>
                    <w:t>接受水质要</w:t>
                  </w:r>
                  <w:r>
                    <w:rPr>
                      <w:rFonts w:ascii="宋体" w:hAnsi="宋体" w:eastAsia="宋体" w:cs="宋体"/>
                      <w:b/>
                      <w:bCs/>
                      <w:color w:val="auto"/>
                      <w:spacing w:val="9"/>
                      <w:kern w:val="2"/>
                      <w:sz w:val="21"/>
                      <w:szCs w:val="24"/>
                      <w:highlight w:val="none"/>
                      <w:lang w:val="zh-CN" w:eastAsia="zh-CN" w:bidi="zh-CN"/>
                    </w:rPr>
                    <w:t>求</w:t>
                  </w:r>
                </w:p>
              </w:tc>
            </w:tr>
            <w:tr w14:paraId="51C59E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25" w:type="pct"/>
                  <w:noWrap w:val="0"/>
                  <w:vAlign w:val="center"/>
                </w:tcPr>
                <w:p w14:paraId="4621E8C5">
                  <w:pPr>
                    <w:pStyle w:val="63"/>
                    <w:jc w:val="center"/>
                    <w:rPr>
                      <w:rFonts w:ascii="宋体" w:hAnsi="宋体" w:eastAsia="宋体" w:cs="宋体"/>
                      <w:color w:val="auto"/>
                      <w:kern w:val="2"/>
                      <w:sz w:val="21"/>
                      <w:szCs w:val="21"/>
                      <w:highlight w:val="none"/>
                      <w:lang w:val="zh-CN" w:eastAsia="zh-CN" w:bidi="zh-CN"/>
                    </w:rPr>
                  </w:pPr>
                  <w:r>
                    <w:rPr>
                      <w:rFonts w:hint="default" w:ascii="Times New Roman" w:hAnsi="Times New Roman" w:eastAsia="宋体" w:cs="Times New Roman"/>
                      <w:color w:val="auto"/>
                      <w:sz w:val="21"/>
                      <w:szCs w:val="21"/>
                      <w:highlight w:val="none"/>
                    </w:rPr>
                    <w:t>中</w:t>
                  </w:r>
                  <w:r>
                    <w:rPr>
                      <w:rFonts w:hint="default" w:ascii="Times New Roman" w:hAnsi="Times New Roman" w:eastAsia="宋体" w:cs="Times New Roman"/>
                      <w:color w:val="auto"/>
                      <w:sz w:val="21"/>
                      <w:szCs w:val="21"/>
                      <w:highlight w:val="none"/>
                      <w:lang w:val="en-US"/>
                    </w:rPr>
                    <w:t>山</w:t>
                  </w:r>
                  <w:r>
                    <w:rPr>
                      <w:rFonts w:hint="default" w:ascii="Times New Roman" w:hAnsi="Times New Roman" w:eastAsia="宋体" w:cs="Times New Roman"/>
                      <w:color w:val="auto"/>
                      <w:sz w:val="21"/>
                      <w:szCs w:val="21"/>
                      <w:highlight w:val="none"/>
                    </w:rPr>
                    <w:t>市中丽环境服务有限公司</w:t>
                  </w:r>
                </w:p>
              </w:tc>
              <w:tc>
                <w:tcPr>
                  <w:tcW w:w="628" w:type="pct"/>
                  <w:noWrap w:val="0"/>
                  <w:vAlign w:val="center"/>
                </w:tcPr>
                <w:p w14:paraId="5E298523">
                  <w:pPr>
                    <w:pStyle w:val="63"/>
                    <w:jc w:val="center"/>
                    <w:rPr>
                      <w:rFonts w:ascii="宋体" w:hAnsi="宋体" w:eastAsia="宋体" w:cs="宋体"/>
                      <w:color w:val="auto"/>
                      <w:kern w:val="2"/>
                      <w:sz w:val="21"/>
                      <w:szCs w:val="21"/>
                      <w:highlight w:val="none"/>
                      <w:lang w:val="zh-CN" w:eastAsia="zh-CN" w:bidi="zh-CN"/>
                    </w:rPr>
                  </w:pPr>
                  <w:r>
                    <w:rPr>
                      <w:rFonts w:hint="default" w:ascii="Times New Roman" w:hAnsi="Times New Roman" w:eastAsia="宋体" w:cs="Times New Roman"/>
                      <w:color w:val="auto"/>
                      <w:sz w:val="21"/>
                      <w:szCs w:val="21"/>
                      <w:highlight w:val="none"/>
                    </w:rPr>
                    <w:t>中</w:t>
                  </w:r>
                  <w:r>
                    <w:rPr>
                      <w:rFonts w:hint="default" w:ascii="Times New Roman" w:hAnsi="Times New Roman" w:eastAsia="宋体" w:cs="Times New Roman"/>
                      <w:color w:val="auto"/>
                      <w:sz w:val="21"/>
                      <w:szCs w:val="21"/>
                      <w:highlight w:val="none"/>
                      <w:lang w:val="en-US"/>
                    </w:rPr>
                    <w:t>山</w:t>
                  </w:r>
                  <w:r>
                    <w:rPr>
                      <w:rFonts w:hint="default" w:ascii="Times New Roman" w:hAnsi="Times New Roman" w:eastAsia="宋体" w:cs="Times New Roman"/>
                      <w:color w:val="auto"/>
                      <w:sz w:val="21"/>
                      <w:szCs w:val="21"/>
                      <w:highlight w:val="none"/>
                    </w:rPr>
                    <w:t>市三角镇高平工业区</w:t>
                  </w:r>
                </w:p>
              </w:tc>
              <w:tc>
                <w:tcPr>
                  <w:tcW w:w="737" w:type="pct"/>
                  <w:noWrap w:val="0"/>
                  <w:vAlign w:val="center"/>
                </w:tcPr>
                <w:p w14:paraId="187A392D">
                  <w:pPr>
                    <w:pStyle w:val="63"/>
                    <w:jc w:val="center"/>
                    <w:rPr>
                      <w:rFonts w:ascii="宋体" w:hAnsi="宋体" w:eastAsia="宋体" w:cs="宋体"/>
                      <w:color w:val="auto"/>
                      <w:kern w:val="2"/>
                      <w:sz w:val="21"/>
                      <w:szCs w:val="21"/>
                      <w:highlight w:val="none"/>
                      <w:lang w:val="zh-CN" w:eastAsia="zh-CN" w:bidi="zh-CN"/>
                    </w:rPr>
                  </w:pPr>
                  <w:r>
                    <w:rPr>
                      <w:rFonts w:hint="default" w:ascii="Times New Roman" w:hAnsi="Times New Roman" w:eastAsia="宋体" w:cs="Times New Roman"/>
                      <w:color w:val="auto"/>
                      <w:sz w:val="21"/>
                      <w:szCs w:val="21"/>
                      <w:highlight w:val="none"/>
                    </w:rPr>
                    <w:t>洗染、印刷、印花、喷漆废水</w:t>
                  </w:r>
                </w:p>
              </w:tc>
              <w:tc>
                <w:tcPr>
                  <w:tcW w:w="690" w:type="pct"/>
                  <w:noWrap w:val="0"/>
                  <w:vAlign w:val="center"/>
                </w:tcPr>
                <w:p w14:paraId="2DE0DA47">
                  <w:pPr>
                    <w:pStyle w:val="63"/>
                    <w:jc w:val="center"/>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rPr>
                    <w:t>400</w:t>
                  </w:r>
                  <w:r>
                    <w:rPr>
                      <w:rFonts w:hint="default" w:ascii="Times New Roman" w:hAnsi="Times New Roman" w:eastAsia="宋体" w:cs="Times New Roman"/>
                      <w:color w:val="auto"/>
                      <w:sz w:val="21"/>
                      <w:szCs w:val="21"/>
                      <w:highlight w:val="none"/>
                    </w:rPr>
                    <w:t>吨/日</w:t>
                  </w:r>
                </w:p>
              </w:tc>
              <w:tc>
                <w:tcPr>
                  <w:tcW w:w="536" w:type="pct"/>
                  <w:noWrap w:val="0"/>
                  <w:vAlign w:val="center"/>
                </w:tcPr>
                <w:p w14:paraId="09C49F44">
                  <w:pPr>
                    <w:pStyle w:val="63"/>
                    <w:jc w:val="center"/>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约100吨/日</w:t>
                  </w:r>
                </w:p>
              </w:tc>
              <w:tc>
                <w:tcPr>
                  <w:tcW w:w="1482" w:type="pct"/>
                  <w:noWrap w:val="0"/>
                  <w:vAlign w:val="center"/>
                </w:tcPr>
                <w:p w14:paraId="4C1D75DA">
                  <w:pPr>
                    <w:pStyle w:val="63"/>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CODcr≤5000mg/L、BOD</w:t>
                  </w:r>
                  <w:r>
                    <w:rPr>
                      <w:rFonts w:hint="default" w:ascii="Times New Roman" w:hAnsi="Times New Roman" w:eastAsia="宋体" w:cs="Times New Roman"/>
                      <w:color w:val="auto"/>
                      <w:sz w:val="21"/>
                      <w:szCs w:val="21"/>
                      <w:highlight w:val="none"/>
                      <w:vertAlign w:val="subscript"/>
                      <w:lang w:val="en-US" w:eastAsia="zh-CN"/>
                    </w:rPr>
                    <w:t>5</w:t>
                  </w:r>
                  <w:r>
                    <w:rPr>
                      <w:rFonts w:hint="default" w:ascii="Times New Roman" w:hAnsi="Times New Roman" w:eastAsia="宋体" w:cs="Times New Roman"/>
                      <w:color w:val="auto"/>
                      <w:sz w:val="21"/>
                      <w:szCs w:val="21"/>
                      <w:highlight w:val="none"/>
                      <w:lang w:val="en-US" w:eastAsia="zh-CN"/>
                    </w:rPr>
                    <w:t>≤2000mg/L、氨氮≤30mg/L、总磷≤10mg/L、SS≤500mg/L</w:t>
                  </w:r>
                </w:p>
              </w:tc>
            </w:tr>
          </w:tbl>
          <w:p w14:paraId="2D2CA66C">
            <w:pPr>
              <w:spacing w:line="360" w:lineRule="auto"/>
              <w:ind w:firstLine="420" w:firstLineChars="20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照上述所列废水转移单位情况，该废水处理单位处理</w:t>
            </w:r>
            <w:r>
              <w:rPr>
                <w:rFonts w:hint="default" w:ascii="Times New Roman" w:hAnsi="Times New Roman" w:eastAsia="宋体" w:cs="Times New Roman"/>
                <w:color w:val="auto"/>
                <w:sz w:val="21"/>
                <w:szCs w:val="21"/>
                <w:highlight w:val="none"/>
                <w:lang w:val="en-US" w:eastAsia="zh-CN"/>
              </w:rPr>
              <w:t>余量</w:t>
            </w:r>
            <w:r>
              <w:rPr>
                <w:rFonts w:hint="default" w:ascii="Times New Roman" w:hAnsi="Times New Roman" w:eastAsia="宋体" w:cs="Times New Roman"/>
                <w:color w:val="auto"/>
                <w:sz w:val="21"/>
                <w:szCs w:val="21"/>
                <w:highlight w:val="none"/>
              </w:rPr>
              <w:t>约为</w:t>
            </w:r>
            <w:r>
              <w:rPr>
                <w:rFonts w:hint="default" w:ascii="Times New Roman" w:hAnsi="Times New Roman" w:eastAsia="宋体" w:cs="Times New Roman"/>
                <w:color w:val="auto"/>
                <w:sz w:val="21"/>
                <w:szCs w:val="21"/>
                <w:highlight w:val="none"/>
                <w:lang w:val="en-US" w:eastAsia="zh-CN"/>
              </w:rPr>
              <w:t>100</w:t>
            </w:r>
            <w:r>
              <w:rPr>
                <w:rFonts w:hint="default" w:ascii="Times New Roman" w:hAnsi="Times New Roman" w:eastAsia="宋体" w:cs="Times New Roman"/>
                <w:color w:val="auto"/>
                <w:sz w:val="21"/>
                <w:szCs w:val="21"/>
                <w:highlight w:val="none"/>
              </w:rPr>
              <w:t>吨/</w:t>
            </w:r>
            <w:r>
              <w:rPr>
                <w:rFonts w:hint="default" w:ascii="Times New Roman" w:hAnsi="Times New Roman" w:eastAsia="宋体" w:cs="Times New Roman"/>
                <w:color w:val="auto"/>
                <w:sz w:val="21"/>
                <w:szCs w:val="21"/>
                <w:highlight w:val="none"/>
                <w:lang w:val="en-US" w:eastAsia="zh-CN"/>
              </w:rPr>
              <w:t>日</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本项目</w:t>
            </w:r>
            <w:r>
              <w:rPr>
                <w:rFonts w:hint="default" w:ascii="Times New Roman" w:hAnsi="Times New Roman" w:eastAsia="宋体" w:cs="Times New Roman"/>
                <w:color w:val="auto"/>
                <w:sz w:val="21"/>
                <w:szCs w:val="21"/>
                <w:highlight w:val="none"/>
                <w:lang w:val="en-US" w:eastAsia="zh-CN"/>
              </w:rPr>
              <w:t>生产废水</w:t>
            </w:r>
            <w:r>
              <w:rPr>
                <w:rFonts w:hint="default" w:ascii="Times New Roman" w:hAnsi="Times New Roman" w:eastAsia="宋体" w:cs="Times New Roman"/>
                <w:color w:val="auto"/>
                <w:sz w:val="21"/>
                <w:szCs w:val="21"/>
                <w:highlight w:val="none"/>
              </w:rPr>
              <w:t>每次转移量约</w:t>
            </w:r>
            <w:r>
              <w:rPr>
                <w:rFonts w:hint="default" w:ascii="Times New Roman" w:hAnsi="Times New Roman" w:eastAsia="宋体" w:cs="Times New Roman"/>
                <w:color w:val="auto"/>
                <w:sz w:val="21"/>
                <w:szCs w:val="21"/>
                <w:highlight w:val="none"/>
              </w:rPr>
              <w:t>为</w:t>
            </w:r>
            <w:r>
              <w:rPr>
                <w:rFonts w:hint="eastAsia" w:cs="Times New Roman"/>
                <w:color w:val="auto"/>
                <w:sz w:val="21"/>
                <w:szCs w:val="21"/>
                <w:highlight w:val="none"/>
                <w:lang w:val="en-US" w:eastAsia="zh-CN"/>
              </w:rPr>
              <w:t>15.732t</w:t>
            </w:r>
            <w:r>
              <w:rPr>
                <w:rFonts w:hint="default" w:ascii="Times New Roman" w:hAnsi="Times New Roman" w:eastAsia="宋体" w:cs="Times New Roman"/>
                <w:color w:val="auto"/>
                <w:sz w:val="21"/>
                <w:szCs w:val="21"/>
                <w:highlight w:val="none"/>
              </w:rPr>
              <w:t>/</w:t>
            </w:r>
            <w:r>
              <w:rPr>
                <w:rFonts w:hint="eastAsia" w:cs="Times New Roman"/>
                <w:color w:val="auto"/>
                <w:sz w:val="21"/>
                <w:szCs w:val="21"/>
                <w:highlight w:val="none"/>
                <w:lang w:val="en-US" w:eastAsia="zh-CN"/>
              </w:rPr>
              <w:t>a</w:t>
            </w:r>
            <w:r>
              <w:rPr>
                <w:rFonts w:hint="eastAsia" w:cs="Times New Roman"/>
                <w:color w:val="auto"/>
                <w:sz w:val="21"/>
                <w:szCs w:val="21"/>
                <w:highlight w:val="none"/>
                <w:lang w:eastAsia="zh-CN"/>
              </w:rPr>
              <w:t>（</w:t>
            </w:r>
            <w:r>
              <w:rPr>
                <w:rFonts w:hint="eastAsia" w:cs="Times New Roman"/>
                <w:color w:val="auto"/>
                <w:sz w:val="21"/>
                <w:szCs w:val="21"/>
                <w:highlight w:val="none"/>
                <w:lang w:val="en-US" w:eastAsia="zh-CN"/>
              </w:rPr>
              <w:t>0.053t/d</w:t>
            </w:r>
            <w:r>
              <w:rPr>
                <w:rFonts w:hint="eastAsia"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，约占日处理余量的</w:t>
            </w:r>
            <w:r>
              <w:rPr>
                <w:rFonts w:hint="eastAsia" w:cs="Times New Roman"/>
                <w:color w:val="auto"/>
                <w:sz w:val="21"/>
                <w:szCs w:val="21"/>
                <w:highlight w:val="none"/>
                <w:lang w:val="en-US" w:eastAsia="zh-CN"/>
              </w:rPr>
              <w:t>0.053</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因此对于</w:t>
            </w:r>
            <w:r>
              <w:rPr>
                <w:rFonts w:hint="default" w:ascii="Times New Roman" w:hAnsi="Times New Roman" w:eastAsia="宋体" w:cs="Times New Roman"/>
                <w:color w:val="auto"/>
                <w:sz w:val="21"/>
                <w:szCs w:val="21"/>
                <w:highlight w:val="none"/>
                <w:lang w:val="en-US" w:eastAsia="zh-CN"/>
              </w:rPr>
              <w:t>生产废水</w:t>
            </w:r>
            <w:r>
              <w:rPr>
                <w:rFonts w:hint="default" w:ascii="Times New Roman" w:hAnsi="Times New Roman" w:eastAsia="宋体" w:cs="Times New Roman"/>
                <w:color w:val="auto"/>
                <w:sz w:val="21"/>
                <w:szCs w:val="21"/>
                <w:highlight w:val="none"/>
              </w:rPr>
              <w:t>采取集中收集后委托给有处理能力的废水处理机构是可行的</w:t>
            </w:r>
            <w:r>
              <w:rPr>
                <w:rFonts w:hint="default" w:ascii="Times New Roman" w:hAnsi="Times New Roman" w:eastAsia="宋体" w:cs="Times New Roman"/>
                <w:color w:val="auto"/>
                <w:sz w:val="21"/>
                <w:szCs w:val="21"/>
                <w:highlight w:val="none"/>
                <w:lang w:eastAsia="zh-CN"/>
              </w:rPr>
              <w:t>。</w:t>
            </w:r>
          </w:p>
          <w:p w14:paraId="79B61A20">
            <w:pPr>
              <w:keepNext w:val="0"/>
              <w:keepLines w:val="0"/>
              <w:pageBreakBefore w:val="0"/>
              <w:widowControl/>
              <w:suppressLineNumbers w:val="0"/>
              <w:kinsoku/>
              <w:wordWrap/>
              <w:overflowPunct/>
              <w:topLinePunct w:val="0"/>
              <w:autoSpaceDE/>
              <w:autoSpaceDN/>
              <w:bidi w:val="0"/>
              <w:adjustRightInd/>
              <w:snapToGrid/>
              <w:spacing w:line="360" w:lineRule="auto"/>
              <w:ind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中山市珍家山污水处理有限公司建于中山市火炬开发区濠头村濠四村，处理规模为10万吨/日，于2008年10月底建成投入运行，截止2022年10月中中山市珍家山污水处理有限公司管网铺设已经完成。中山市珍家山污水处理有限公司服务区域包括西区、员峰涌流域、北区及东河北片区、东区柏山排水渠流域、紫马岭南片区大部及城东片区和火炬开发区西片区，项目在中山市珍家山污水处理有限公司的服务范围内。污水主体处理工艺用氧化沟处理工艺。项目生活污水日排放量为0.3t/d，中山市珍家山污水处理有限公司现有污水处理能力为10万吨/日，项目污水排放量仅占目前污水处理厂处理量的0.0003%。本项目的生活污水水量对中山市珍家山污水处理有限公司接纳量的影响很小，不会造成明显的负荷冲击，故本项目生活污水经三级化粪池处理达标后排入市政污水管网是可行的。</w:t>
            </w:r>
          </w:p>
          <w:p w14:paraId="53D05755">
            <w:pPr>
              <w:keepNext w:val="0"/>
              <w:keepLines w:val="0"/>
              <w:pageBreakBefore w:val="0"/>
              <w:widowControl/>
              <w:suppressLineNumbers w:val="0"/>
              <w:kinsoku/>
              <w:wordWrap/>
              <w:overflowPunct/>
              <w:topLinePunct w:val="0"/>
              <w:autoSpaceDE/>
              <w:autoSpaceDN/>
              <w:bidi w:val="0"/>
              <w:adjustRightInd/>
              <w:snapToGrid/>
              <w:spacing w:line="360" w:lineRule="auto"/>
              <w:ind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综上所述，外排废水对纳污水体及周边水环境影响不大。</w:t>
            </w:r>
          </w:p>
          <w:p w14:paraId="7813722F">
            <w:pPr>
              <w:pStyle w:val="24"/>
              <w:keepNext w:val="0"/>
              <w:keepLines w:val="0"/>
              <w:pageBreakBefore w:val="0"/>
              <w:widowControl w:val="0"/>
              <w:numPr>
                <w:ilvl w:val="0"/>
                <w:numId w:val="0"/>
              </w:numPr>
              <w:shd w:val="clear"/>
              <w:kinsoku/>
              <w:wordWrap/>
              <w:overflowPunct/>
              <w:topLinePunct w:val="0"/>
              <w:autoSpaceDE/>
              <w:autoSpaceDN/>
              <w:bidi w:val="0"/>
              <w:adjustRightInd/>
              <w:snapToGrid w:val="0"/>
              <w:spacing w:after="0" w:line="360" w:lineRule="auto"/>
              <w:ind w:left="0" w:leftChars="0" w:firstLine="0" w:firstLineChars="0"/>
              <w:jc w:val="center"/>
              <w:textAlignment w:val="auto"/>
              <w:rPr>
                <w:rFonts w:hint="default" w:ascii="Times New Roman" w:hAnsi="Times New Roman" w:eastAsia="宋体" w:cs="Times New Roman"/>
                <w:b/>
                <w:color w:val="auto"/>
                <w:kern w:val="2"/>
                <w:sz w:val="24"/>
                <w:szCs w:val="24"/>
                <w:highlight w:val="none"/>
                <w:lang w:val="en-US" w:eastAsia="zh-CN" w:bidi="ar-SA"/>
              </w:rPr>
            </w:pPr>
            <w:r>
              <w:rPr>
                <w:rFonts w:hint="default" w:ascii="Times New Roman" w:hAnsi="Times New Roman" w:eastAsia="宋体" w:cs="Times New Roman"/>
                <w:b/>
                <w:bCs w:val="0"/>
                <w:color w:val="auto"/>
                <w:spacing w:val="-10"/>
                <w:sz w:val="24"/>
                <w:szCs w:val="24"/>
                <w:highlight w:val="none"/>
                <w:lang w:val="en-US" w:eastAsia="zh-CN"/>
              </w:rPr>
              <w:t>表</w:t>
            </w:r>
            <w:r>
              <w:rPr>
                <w:rFonts w:hint="eastAsia" w:cs="Times New Roman"/>
                <w:b/>
                <w:bCs w:val="0"/>
                <w:color w:val="auto"/>
                <w:spacing w:val="-10"/>
                <w:sz w:val="24"/>
                <w:szCs w:val="24"/>
                <w:highlight w:val="none"/>
                <w:lang w:val="en-US" w:eastAsia="zh-CN"/>
              </w:rPr>
              <w:t>35</w:t>
            </w:r>
            <w:r>
              <w:rPr>
                <w:rFonts w:hint="default" w:ascii="Times New Roman" w:hAnsi="Times New Roman" w:eastAsia="宋体" w:cs="Times New Roman"/>
                <w:b/>
                <w:bCs w:val="0"/>
                <w:color w:val="auto"/>
                <w:spacing w:val="-10"/>
                <w:sz w:val="24"/>
                <w:szCs w:val="24"/>
                <w:highlight w:val="none"/>
                <w:lang w:val="en-US" w:eastAsia="zh-CN"/>
              </w:rPr>
              <w:t>废水</w:t>
            </w:r>
            <w:r>
              <w:rPr>
                <w:rFonts w:hint="default" w:ascii="Times New Roman" w:hAnsi="Times New Roman" w:eastAsia="宋体" w:cs="Times New Roman"/>
                <w:b/>
                <w:color w:val="auto"/>
                <w:kern w:val="2"/>
                <w:sz w:val="24"/>
                <w:szCs w:val="24"/>
                <w:highlight w:val="none"/>
                <w:lang w:val="en-US" w:eastAsia="zh-CN" w:bidi="ar-SA"/>
              </w:rPr>
              <w:t>类别、污染物及污染治理设施信息表</w:t>
            </w:r>
          </w:p>
          <w:tbl>
            <w:tblPr>
              <w:tblStyle w:val="3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05"/>
              <w:gridCol w:w="847"/>
              <w:gridCol w:w="653"/>
              <w:gridCol w:w="840"/>
              <w:gridCol w:w="858"/>
              <w:gridCol w:w="753"/>
              <w:gridCol w:w="640"/>
              <w:gridCol w:w="881"/>
              <w:gridCol w:w="660"/>
              <w:gridCol w:w="1323"/>
            </w:tblGrid>
            <w:tr w14:paraId="640FDD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805" w:type="dxa"/>
                  <w:vMerge w:val="restart"/>
                  <w:noWrap w:val="0"/>
                  <w:vAlign w:val="center"/>
                </w:tcPr>
                <w:p w14:paraId="5EB5A423">
                  <w:pPr>
                    <w:pStyle w:val="3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废水类别</w:t>
                  </w:r>
                </w:p>
              </w:tc>
              <w:tc>
                <w:tcPr>
                  <w:tcW w:w="847" w:type="dxa"/>
                  <w:vMerge w:val="restart"/>
                  <w:noWrap w:val="0"/>
                  <w:vAlign w:val="center"/>
                </w:tcPr>
                <w:p w14:paraId="2D61BF3C">
                  <w:pPr>
                    <w:pStyle w:val="3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污染物种类</w:t>
                  </w:r>
                </w:p>
              </w:tc>
              <w:tc>
                <w:tcPr>
                  <w:tcW w:w="653" w:type="dxa"/>
                  <w:vMerge w:val="restart"/>
                  <w:noWrap w:val="0"/>
                  <w:vAlign w:val="center"/>
                </w:tcPr>
                <w:p w14:paraId="0115F5D9">
                  <w:pPr>
                    <w:pStyle w:val="3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排放去向</w:t>
                  </w:r>
                </w:p>
              </w:tc>
              <w:tc>
                <w:tcPr>
                  <w:tcW w:w="840" w:type="dxa"/>
                  <w:vMerge w:val="restart"/>
                  <w:noWrap w:val="0"/>
                  <w:vAlign w:val="center"/>
                </w:tcPr>
                <w:p w14:paraId="1E7B983B">
                  <w:pPr>
                    <w:pStyle w:val="3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排放规律</w:t>
                  </w:r>
                </w:p>
              </w:tc>
              <w:tc>
                <w:tcPr>
                  <w:tcW w:w="2068" w:type="dxa"/>
                  <w:gridSpan w:val="3"/>
                  <w:noWrap w:val="0"/>
                  <w:vAlign w:val="center"/>
                </w:tcPr>
                <w:p w14:paraId="2256B24A">
                  <w:pPr>
                    <w:pStyle w:val="3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污染治理设施</w:t>
                  </w:r>
                </w:p>
              </w:tc>
              <w:tc>
                <w:tcPr>
                  <w:tcW w:w="410" w:type="dxa"/>
                  <w:vMerge w:val="restart"/>
                  <w:noWrap w:val="0"/>
                  <w:vAlign w:val="center"/>
                </w:tcPr>
                <w:p w14:paraId="109E2115">
                  <w:pPr>
                    <w:pStyle w:val="3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排放口编号</w:t>
                  </w:r>
                </w:p>
              </w:tc>
              <w:tc>
                <w:tcPr>
                  <w:tcW w:w="660" w:type="dxa"/>
                  <w:vMerge w:val="restart"/>
                  <w:noWrap w:val="0"/>
                  <w:vAlign w:val="center"/>
                </w:tcPr>
                <w:p w14:paraId="648951DD">
                  <w:pPr>
                    <w:pStyle w:val="3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排放口设置是否符合要求</w:t>
                  </w:r>
                </w:p>
              </w:tc>
              <w:tc>
                <w:tcPr>
                  <w:tcW w:w="1323" w:type="dxa"/>
                  <w:vMerge w:val="restart"/>
                  <w:noWrap w:val="0"/>
                  <w:vAlign w:val="center"/>
                </w:tcPr>
                <w:p w14:paraId="4722689D">
                  <w:pPr>
                    <w:pStyle w:val="3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排放口类型</w:t>
                  </w:r>
                </w:p>
              </w:tc>
            </w:tr>
            <w:tr w14:paraId="51BAB1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5" w:hRule="atLeast"/>
                <w:jc w:val="center"/>
              </w:trPr>
              <w:tc>
                <w:tcPr>
                  <w:tcW w:w="805" w:type="dxa"/>
                  <w:vMerge w:val="continue"/>
                  <w:noWrap w:val="0"/>
                  <w:vAlign w:val="center"/>
                </w:tcPr>
                <w:p w14:paraId="4C52EB8F">
                  <w:pPr>
                    <w:pStyle w:val="3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p>
              </w:tc>
              <w:tc>
                <w:tcPr>
                  <w:tcW w:w="847" w:type="dxa"/>
                  <w:vMerge w:val="continue"/>
                  <w:noWrap w:val="0"/>
                  <w:vAlign w:val="center"/>
                </w:tcPr>
                <w:p w14:paraId="073EB3A6">
                  <w:pPr>
                    <w:pStyle w:val="3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p>
              </w:tc>
              <w:tc>
                <w:tcPr>
                  <w:tcW w:w="653" w:type="dxa"/>
                  <w:vMerge w:val="continue"/>
                  <w:noWrap w:val="0"/>
                  <w:vAlign w:val="center"/>
                </w:tcPr>
                <w:p w14:paraId="4F24C5F4">
                  <w:pPr>
                    <w:pStyle w:val="3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p>
              </w:tc>
              <w:tc>
                <w:tcPr>
                  <w:tcW w:w="840" w:type="dxa"/>
                  <w:vMerge w:val="continue"/>
                  <w:noWrap w:val="0"/>
                  <w:vAlign w:val="center"/>
                </w:tcPr>
                <w:p w14:paraId="54CF66B9">
                  <w:pPr>
                    <w:pStyle w:val="3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p>
              </w:tc>
              <w:tc>
                <w:tcPr>
                  <w:tcW w:w="675" w:type="dxa"/>
                  <w:noWrap w:val="0"/>
                  <w:vAlign w:val="center"/>
                </w:tcPr>
                <w:p w14:paraId="2F136626">
                  <w:pPr>
                    <w:pStyle w:val="3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污染治理措施编号</w:t>
                  </w:r>
                </w:p>
              </w:tc>
              <w:tc>
                <w:tcPr>
                  <w:tcW w:w="753" w:type="dxa"/>
                  <w:noWrap w:val="0"/>
                  <w:vAlign w:val="center"/>
                </w:tcPr>
                <w:p w14:paraId="4312C1B0">
                  <w:pPr>
                    <w:pStyle w:val="3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污染治理设施名称</w:t>
                  </w:r>
                </w:p>
              </w:tc>
              <w:tc>
                <w:tcPr>
                  <w:tcW w:w="640" w:type="dxa"/>
                  <w:noWrap w:val="0"/>
                  <w:vAlign w:val="center"/>
                </w:tcPr>
                <w:p w14:paraId="2C118895">
                  <w:pPr>
                    <w:pStyle w:val="3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污染治理设施工艺</w:t>
                  </w:r>
                </w:p>
              </w:tc>
              <w:tc>
                <w:tcPr>
                  <w:tcW w:w="410" w:type="dxa"/>
                  <w:vMerge w:val="continue"/>
                  <w:noWrap w:val="0"/>
                  <w:vAlign w:val="center"/>
                </w:tcPr>
                <w:p w14:paraId="6C1AB9D4">
                  <w:pPr>
                    <w:pStyle w:val="3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p>
              </w:tc>
              <w:tc>
                <w:tcPr>
                  <w:tcW w:w="660" w:type="dxa"/>
                  <w:vMerge w:val="continue"/>
                  <w:noWrap w:val="0"/>
                  <w:vAlign w:val="center"/>
                </w:tcPr>
                <w:p w14:paraId="25F74781">
                  <w:pPr>
                    <w:pStyle w:val="3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p>
              </w:tc>
              <w:tc>
                <w:tcPr>
                  <w:tcW w:w="1323" w:type="dxa"/>
                  <w:vMerge w:val="continue"/>
                  <w:noWrap w:val="0"/>
                  <w:vAlign w:val="center"/>
                </w:tcPr>
                <w:p w14:paraId="48A91694">
                  <w:pPr>
                    <w:pStyle w:val="3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p>
              </w:tc>
            </w:tr>
            <w:tr w14:paraId="49B0AF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5" w:hRule="atLeast"/>
                <w:jc w:val="center"/>
              </w:trPr>
              <w:tc>
                <w:tcPr>
                  <w:tcW w:w="805" w:type="dxa"/>
                  <w:noWrap w:val="0"/>
                  <w:vAlign w:val="center"/>
                </w:tcPr>
                <w:p w14:paraId="68386EF7">
                  <w:pPr>
                    <w:pStyle w:val="3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生活污水</w:t>
                  </w:r>
                </w:p>
              </w:tc>
              <w:tc>
                <w:tcPr>
                  <w:tcW w:w="847" w:type="dxa"/>
                  <w:noWrap w:val="0"/>
                  <w:vAlign w:val="center"/>
                </w:tcPr>
                <w:p w14:paraId="34152F6E">
                  <w:pPr>
                    <w:pStyle w:val="3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COD</w:t>
                  </w:r>
                  <w:r>
                    <w:rPr>
                      <w:rFonts w:hint="default" w:ascii="Times New Roman" w:hAnsi="Times New Roman" w:eastAsia="宋体" w:cs="Times New Roman"/>
                      <w:color w:val="auto"/>
                      <w:sz w:val="21"/>
                      <w:szCs w:val="21"/>
                      <w:highlight w:val="none"/>
                      <w:vertAlign w:val="subscript"/>
                    </w:rPr>
                    <w:t>cr</w:t>
                  </w:r>
                </w:p>
                <w:p w14:paraId="47B42555">
                  <w:pPr>
                    <w:pStyle w:val="3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BOD</w:t>
                  </w:r>
                  <w:r>
                    <w:rPr>
                      <w:rFonts w:hint="default" w:ascii="Times New Roman" w:hAnsi="Times New Roman" w:eastAsia="宋体" w:cs="Times New Roman"/>
                      <w:color w:val="auto"/>
                      <w:sz w:val="21"/>
                      <w:szCs w:val="21"/>
                      <w:highlight w:val="none"/>
                      <w:vertAlign w:val="subscript"/>
                    </w:rPr>
                    <w:t>5</w:t>
                  </w:r>
                </w:p>
                <w:p w14:paraId="19878708">
                  <w:pPr>
                    <w:pStyle w:val="3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SS</w:t>
                  </w:r>
                </w:p>
                <w:p w14:paraId="4E732D07">
                  <w:pPr>
                    <w:pStyle w:val="3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NH</w:t>
                  </w:r>
                  <w:r>
                    <w:rPr>
                      <w:rFonts w:hint="default" w:ascii="Times New Roman" w:hAnsi="Times New Roman" w:eastAsia="宋体" w:cs="Times New Roman"/>
                      <w:color w:val="auto"/>
                      <w:sz w:val="21"/>
                      <w:szCs w:val="21"/>
                      <w:highlight w:val="none"/>
                      <w:vertAlign w:val="subscript"/>
                    </w:rPr>
                    <w:t>3</w:t>
                  </w:r>
                  <w:r>
                    <w:rPr>
                      <w:rFonts w:hint="default" w:ascii="Times New Roman" w:hAnsi="Times New Roman" w:eastAsia="宋体" w:cs="Times New Roman"/>
                      <w:color w:val="auto"/>
                      <w:sz w:val="21"/>
                      <w:szCs w:val="21"/>
                      <w:highlight w:val="none"/>
                    </w:rPr>
                    <w:t>-N</w:t>
                  </w:r>
                </w:p>
                <w:p w14:paraId="3088341B">
                  <w:pPr>
                    <w:pStyle w:val="3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pH</w:t>
                  </w:r>
                </w:p>
              </w:tc>
              <w:tc>
                <w:tcPr>
                  <w:tcW w:w="653" w:type="dxa"/>
                  <w:noWrap w:val="0"/>
                  <w:vAlign w:val="center"/>
                </w:tcPr>
                <w:p w14:paraId="383C8EE5">
                  <w:pPr>
                    <w:pStyle w:val="3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zh-CN" w:eastAsia="zh-CN"/>
                    </w:rPr>
                    <w:t>中山市珍家山污水处理有限公司</w:t>
                  </w:r>
                </w:p>
              </w:tc>
              <w:tc>
                <w:tcPr>
                  <w:tcW w:w="840" w:type="dxa"/>
                  <w:noWrap w:val="0"/>
                  <w:vAlign w:val="center"/>
                </w:tcPr>
                <w:p w14:paraId="7F51504B">
                  <w:pPr>
                    <w:pStyle w:val="3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间断排放，排放期间流量不稳定且无规律，但不属于冲击性排放</w:t>
                  </w:r>
                </w:p>
              </w:tc>
              <w:tc>
                <w:tcPr>
                  <w:tcW w:w="675" w:type="dxa"/>
                  <w:noWrap w:val="0"/>
                  <w:vAlign w:val="center"/>
                </w:tcPr>
                <w:p w14:paraId="5459AB6E">
                  <w:pPr>
                    <w:pStyle w:val="3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color w:val="auto"/>
                      <w:sz w:val="21"/>
                      <w:szCs w:val="21"/>
                      <w:highlight w:val="none"/>
                    </w:rPr>
                    <w:t>TW001</w:t>
                  </w:r>
                </w:p>
              </w:tc>
              <w:tc>
                <w:tcPr>
                  <w:tcW w:w="753" w:type="dxa"/>
                  <w:noWrap w:val="0"/>
                  <w:vAlign w:val="center"/>
                </w:tcPr>
                <w:p w14:paraId="6056EC49">
                  <w:pPr>
                    <w:pStyle w:val="3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三级化粪池</w:t>
                  </w:r>
                </w:p>
              </w:tc>
              <w:tc>
                <w:tcPr>
                  <w:tcW w:w="640" w:type="dxa"/>
                  <w:noWrap w:val="0"/>
                  <w:vAlign w:val="center"/>
                </w:tcPr>
                <w:p w14:paraId="7A6FD13D">
                  <w:pPr>
                    <w:pStyle w:val="3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三级化粪池</w:t>
                  </w:r>
                </w:p>
              </w:tc>
              <w:tc>
                <w:tcPr>
                  <w:tcW w:w="410" w:type="dxa"/>
                  <w:noWrap w:val="0"/>
                  <w:vAlign w:val="center"/>
                </w:tcPr>
                <w:p w14:paraId="18417808">
                  <w:pPr>
                    <w:pStyle w:val="3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DW001</w:t>
                  </w:r>
                </w:p>
              </w:tc>
              <w:tc>
                <w:tcPr>
                  <w:tcW w:w="660" w:type="dxa"/>
                  <w:noWrap w:val="0"/>
                  <w:vAlign w:val="center"/>
                </w:tcPr>
                <w:p w14:paraId="508C3D2D">
                  <w:pPr>
                    <w:pStyle w:val="3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sym w:font="Wingdings" w:char="00FE"/>
                  </w:r>
                  <w:r>
                    <w:rPr>
                      <w:rFonts w:hint="default" w:ascii="Times New Roman" w:hAnsi="Times New Roman" w:eastAsia="宋体" w:cs="Times New Roman"/>
                      <w:color w:val="auto"/>
                      <w:sz w:val="21"/>
                      <w:szCs w:val="21"/>
                      <w:highlight w:val="none"/>
                    </w:rPr>
                    <w:t>是</w:t>
                  </w:r>
                </w:p>
                <w:p w14:paraId="2FE9DC61">
                  <w:pPr>
                    <w:pStyle w:val="3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sym w:font="Wingdings" w:char="00A8"/>
                  </w:r>
                  <w:r>
                    <w:rPr>
                      <w:rFonts w:hint="default" w:ascii="Times New Roman" w:hAnsi="Times New Roman" w:eastAsia="宋体" w:cs="Times New Roman"/>
                      <w:color w:val="auto"/>
                      <w:sz w:val="21"/>
                      <w:szCs w:val="21"/>
                      <w:highlight w:val="none"/>
                    </w:rPr>
                    <w:t>否</w:t>
                  </w:r>
                </w:p>
              </w:tc>
              <w:tc>
                <w:tcPr>
                  <w:tcW w:w="1323" w:type="dxa"/>
                  <w:noWrap w:val="0"/>
                  <w:vAlign w:val="center"/>
                </w:tcPr>
                <w:p w14:paraId="14CC3EAB">
                  <w:pPr>
                    <w:pStyle w:val="3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sym w:font="Wingdings" w:char="00FE"/>
                  </w:r>
                  <w:r>
                    <w:rPr>
                      <w:rFonts w:hint="default" w:ascii="Times New Roman" w:hAnsi="Times New Roman" w:eastAsia="宋体" w:cs="Times New Roman"/>
                      <w:color w:val="auto"/>
                      <w:sz w:val="21"/>
                      <w:szCs w:val="21"/>
                      <w:highlight w:val="none"/>
                    </w:rPr>
                    <w:t>企业总排</w:t>
                  </w:r>
                </w:p>
                <w:p w14:paraId="42119259">
                  <w:pPr>
                    <w:pStyle w:val="3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sym w:font="Wingdings" w:char="00A8"/>
                  </w:r>
                  <w:r>
                    <w:rPr>
                      <w:rFonts w:hint="default" w:ascii="Times New Roman" w:hAnsi="Times New Roman" w:eastAsia="宋体" w:cs="Times New Roman"/>
                      <w:color w:val="auto"/>
                      <w:sz w:val="21"/>
                      <w:szCs w:val="21"/>
                      <w:highlight w:val="none"/>
                    </w:rPr>
                    <w:t>雨水排放</w:t>
                  </w:r>
                </w:p>
                <w:p w14:paraId="40B39689">
                  <w:pPr>
                    <w:pStyle w:val="3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sym w:font="Wingdings" w:char="00A8"/>
                  </w:r>
                  <w:r>
                    <w:rPr>
                      <w:rFonts w:hint="default" w:ascii="Times New Roman" w:hAnsi="Times New Roman" w:eastAsia="宋体" w:cs="Times New Roman"/>
                      <w:color w:val="auto"/>
                      <w:sz w:val="21"/>
                      <w:szCs w:val="21"/>
                      <w:highlight w:val="none"/>
                    </w:rPr>
                    <w:t>清净下水排放</w:t>
                  </w:r>
                </w:p>
                <w:p w14:paraId="06D940A3">
                  <w:pPr>
                    <w:pStyle w:val="3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sym w:font="Wingdings" w:char="00A8"/>
                  </w:r>
                  <w:r>
                    <w:rPr>
                      <w:rFonts w:hint="default" w:ascii="Times New Roman" w:hAnsi="Times New Roman" w:eastAsia="宋体" w:cs="Times New Roman"/>
                      <w:color w:val="auto"/>
                      <w:sz w:val="21"/>
                      <w:szCs w:val="21"/>
                      <w:highlight w:val="none"/>
                    </w:rPr>
                    <w:t>温排水排放</w:t>
                  </w:r>
                </w:p>
                <w:p w14:paraId="4D5B2779">
                  <w:pPr>
                    <w:pStyle w:val="3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sym w:font="Wingdings" w:char="00A8"/>
                  </w:r>
                  <w:r>
                    <w:rPr>
                      <w:rFonts w:hint="default" w:ascii="Times New Roman" w:hAnsi="Times New Roman" w:eastAsia="宋体" w:cs="Times New Roman"/>
                      <w:color w:val="auto"/>
                      <w:sz w:val="21"/>
                      <w:szCs w:val="21"/>
                      <w:highlight w:val="none"/>
                    </w:rPr>
                    <w:t>车间或车间处理设施排放</w:t>
                  </w:r>
                </w:p>
              </w:tc>
            </w:tr>
            <w:tr w14:paraId="231721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5" w:type="dxa"/>
                  <w:noWrap w:val="0"/>
                  <w:vAlign w:val="center"/>
                </w:tcPr>
                <w:p w14:paraId="0C7812B9">
                  <w:pPr>
                    <w:pStyle w:val="32"/>
                    <w:spacing w:after="0"/>
                    <w:ind w:left="0" w:leftChars="0" w:firstLine="0" w:firstLineChars="0"/>
                    <w:jc w:val="center"/>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cs="Times New Roman"/>
                      <w:b w:val="0"/>
                      <w:bCs w:val="0"/>
                      <w:color w:val="auto"/>
                      <w:sz w:val="21"/>
                      <w:szCs w:val="21"/>
                      <w:highlight w:val="none"/>
                      <w:lang w:val="en-US" w:eastAsia="zh-CN"/>
                    </w:rPr>
                    <w:t>超声波废水、手工清洗废水、水样废水及喷淋废水</w:t>
                  </w:r>
                </w:p>
              </w:tc>
              <w:tc>
                <w:tcPr>
                  <w:tcW w:w="847" w:type="dxa"/>
                  <w:noWrap w:val="0"/>
                  <w:vAlign w:val="center"/>
                </w:tcPr>
                <w:p w14:paraId="7DBBA139">
                  <w:pPr>
                    <w:snapToGrid w:val="0"/>
                    <w:jc w:val="center"/>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b w:val="0"/>
                      <w:bCs w:val="0"/>
                      <w:color w:val="auto"/>
                      <w:kern w:val="0"/>
                      <w:sz w:val="21"/>
                      <w:szCs w:val="21"/>
                      <w:highlight w:val="none"/>
                      <w:lang w:val="en-US" w:eastAsia="zh-CN" w:bidi="ar-SA"/>
                    </w:rPr>
                    <w:t>pH</w:t>
                  </w:r>
                </w:p>
                <w:p w14:paraId="2BA986A2">
                  <w:pPr>
                    <w:pStyle w:val="40"/>
                    <w:jc w:val="center"/>
                    <w:rPr>
                      <w:rFonts w:hint="default" w:ascii="Times New Roman" w:hAnsi="Times New Roman" w:eastAsia="宋体" w:cs="Times New Roman"/>
                      <w:b w:val="0"/>
                      <w:bCs w:val="0"/>
                      <w:color w:val="auto"/>
                      <w:kern w:val="0"/>
                      <w:sz w:val="21"/>
                      <w:szCs w:val="21"/>
                      <w:highlight w:val="none"/>
                      <w:vertAlign w:val="subscript"/>
                      <w:lang w:val="en-US" w:eastAsia="zh-CN" w:bidi="ar-SA"/>
                    </w:rPr>
                  </w:pPr>
                  <w:r>
                    <w:rPr>
                      <w:rFonts w:hint="default" w:ascii="Times New Roman" w:hAnsi="Times New Roman" w:eastAsia="宋体" w:cs="Times New Roman"/>
                      <w:b w:val="0"/>
                      <w:bCs w:val="0"/>
                      <w:color w:val="auto"/>
                      <w:kern w:val="0"/>
                      <w:sz w:val="21"/>
                      <w:szCs w:val="21"/>
                      <w:highlight w:val="none"/>
                      <w:lang w:val="en-US" w:eastAsia="zh-CN" w:bidi="ar-SA"/>
                    </w:rPr>
                    <w:t>COD</w:t>
                  </w:r>
                  <w:r>
                    <w:rPr>
                      <w:rFonts w:hint="default" w:ascii="Times New Roman" w:hAnsi="Times New Roman" w:eastAsia="宋体" w:cs="Times New Roman"/>
                      <w:b w:val="0"/>
                      <w:bCs w:val="0"/>
                      <w:color w:val="auto"/>
                      <w:kern w:val="0"/>
                      <w:sz w:val="21"/>
                      <w:szCs w:val="21"/>
                      <w:highlight w:val="none"/>
                      <w:vertAlign w:val="subscript"/>
                      <w:lang w:val="en-US" w:eastAsia="zh-CN" w:bidi="ar-SA"/>
                    </w:rPr>
                    <w:t>cr</w:t>
                  </w:r>
                </w:p>
                <w:p w14:paraId="1EAB015C">
                  <w:pPr>
                    <w:pStyle w:val="40"/>
                    <w:jc w:val="center"/>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b w:val="0"/>
                      <w:bCs w:val="0"/>
                      <w:color w:val="auto"/>
                      <w:kern w:val="0"/>
                      <w:sz w:val="21"/>
                      <w:szCs w:val="21"/>
                      <w:highlight w:val="none"/>
                      <w:lang w:val="en-US" w:eastAsia="zh-CN" w:bidi="ar-SA"/>
                    </w:rPr>
                    <w:t>BOD</w:t>
                  </w:r>
                  <w:r>
                    <w:rPr>
                      <w:rFonts w:hint="default" w:ascii="Times New Roman" w:hAnsi="Times New Roman" w:eastAsia="宋体" w:cs="Times New Roman"/>
                      <w:b w:val="0"/>
                      <w:bCs w:val="0"/>
                      <w:color w:val="auto"/>
                      <w:kern w:val="0"/>
                      <w:sz w:val="21"/>
                      <w:szCs w:val="21"/>
                      <w:highlight w:val="none"/>
                      <w:vertAlign w:val="subscript"/>
                      <w:lang w:val="en-US" w:eastAsia="zh-CN" w:bidi="ar-SA"/>
                    </w:rPr>
                    <w:t>5</w:t>
                  </w:r>
                </w:p>
                <w:p w14:paraId="5CFB5A0F">
                  <w:pPr>
                    <w:snapToGrid w:val="0"/>
                    <w:jc w:val="center"/>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b w:val="0"/>
                      <w:bCs w:val="0"/>
                      <w:color w:val="auto"/>
                      <w:kern w:val="0"/>
                      <w:sz w:val="21"/>
                      <w:szCs w:val="21"/>
                      <w:highlight w:val="none"/>
                      <w:lang w:val="en-US" w:eastAsia="zh-CN" w:bidi="ar-SA"/>
                    </w:rPr>
                    <w:t>SS</w:t>
                  </w:r>
                </w:p>
                <w:p w14:paraId="13A66C5B">
                  <w:pPr>
                    <w:pStyle w:val="40"/>
                    <w:jc w:val="center"/>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b w:val="0"/>
                      <w:bCs w:val="0"/>
                      <w:color w:val="auto"/>
                      <w:kern w:val="0"/>
                      <w:sz w:val="21"/>
                      <w:szCs w:val="21"/>
                      <w:highlight w:val="none"/>
                      <w:lang w:val="en-US" w:eastAsia="zh-CN" w:bidi="ar-SA"/>
                    </w:rPr>
                    <w:t>氨氮</w:t>
                  </w:r>
                </w:p>
                <w:p w14:paraId="2820E295">
                  <w:pPr>
                    <w:pStyle w:val="40"/>
                    <w:jc w:val="center"/>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磷酸盐</w:t>
                  </w:r>
                </w:p>
                <w:p w14:paraId="2BF08E10">
                  <w:pPr>
                    <w:rPr>
                      <w:rFonts w:hint="default"/>
                      <w:color w:val="auto"/>
                      <w:highlight w:val="none"/>
                      <w:lang w:val="en-US" w:eastAsia="zh-CN"/>
                    </w:rPr>
                  </w:pPr>
                  <w:r>
                    <w:rPr>
                      <w:rFonts w:hint="eastAsia" w:ascii="Times New Roman" w:hAnsi="Times New Roman" w:eastAsia="宋体" w:cs="Times New Roman"/>
                      <w:b w:val="0"/>
                      <w:bCs w:val="0"/>
                      <w:color w:val="auto"/>
                      <w:kern w:val="0"/>
                      <w:sz w:val="21"/>
                      <w:szCs w:val="21"/>
                      <w:highlight w:val="none"/>
                      <w:lang w:val="en-US" w:eastAsia="zh-CN" w:bidi="ar-SA"/>
                    </w:rPr>
                    <w:t>总铜</w:t>
                  </w:r>
                </w:p>
              </w:tc>
              <w:tc>
                <w:tcPr>
                  <w:tcW w:w="653" w:type="dxa"/>
                  <w:noWrap w:val="0"/>
                  <w:vAlign w:val="center"/>
                </w:tcPr>
                <w:p w14:paraId="1E40F8A5">
                  <w:pPr>
                    <w:pStyle w:val="32"/>
                    <w:spacing w:after="0"/>
                    <w:ind w:left="0" w:lef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rPr>
                    <w:t>委托给有处理能力的废水处理机构</w:t>
                  </w:r>
                </w:p>
              </w:tc>
              <w:tc>
                <w:tcPr>
                  <w:tcW w:w="840" w:type="dxa"/>
                  <w:noWrap w:val="0"/>
                  <w:vAlign w:val="center"/>
                </w:tcPr>
                <w:p w14:paraId="11D687DF">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rPr>
                    <w:t>/</w:t>
                  </w:r>
                </w:p>
              </w:tc>
              <w:tc>
                <w:tcPr>
                  <w:tcW w:w="675" w:type="dxa"/>
                  <w:noWrap w:val="0"/>
                  <w:vAlign w:val="center"/>
                </w:tcPr>
                <w:p w14:paraId="5E0CE0AC">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rPr>
                    <w:t>/</w:t>
                  </w:r>
                </w:p>
              </w:tc>
              <w:tc>
                <w:tcPr>
                  <w:tcW w:w="753" w:type="dxa"/>
                  <w:noWrap w:val="0"/>
                  <w:vAlign w:val="center"/>
                </w:tcPr>
                <w:p w14:paraId="02D2865B">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rPr>
                    <w:t>/</w:t>
                  </w:r>
                </w:p>
              </w:tc>
              <w:tc>
                <w:tcPr>
                  <w:tcW w:w="640" w:type="dxa"/>
                  <w:noWrap w:val="0"/>
                  <w:vAlign w:val="center"/>
                </w:tcPr>
                <w:p w14:paraId="5BF097CD">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rPr>
                    <w:t>/</w:t>
                  </w:r>
                </w:p>
              </w:tc>
              <w:tc>
                <w:tcPr>
                  <w:tcW w:w="410" w:type="dxa"/>
                  <w:noWrap w:val="0"/>
                  <w:vAlign w:val="center"/>
                </w:tcPr>
                <w:p w14:paraId="5374F65B">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rPr>
                    <w:t>/</w:t>
                  </w:r>
                </w:p>
              </w:tc>
              <w:tc>
                <w:tcPr>
                  <w:tcW w:w="660" w:type="dxa"/>
                  <w:noWrap w:val="0"/>
                  <w:vAlign w:val="center"/>
                </w:tcPr>
                <w:p w14:paraId="49496D37">
                  <w:pPr>
                    <w:pStyle w:val="32"/>
                    <w:spacing w:after="0"/>
                    <w:ind w:left="0" w:lef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sym w:font="Wingdings" w:char="00A8"/>
                  </w:r>
                  <w:r>
                    <w:rPr>
                      <w:rFonts w:hint="default" w:ascii="Times New Roman" w:hAnsi="Times New Roman" w:eastAsia="宋体" w:cs="Times New Roman"/>
                      <w:color w:val="auto"/>
                      <w:sz w:val="21"/>
                      <w:szCs w:val="21"/>
                      <w:highlight w:val="none"/>
                    </w:rPr>
                    <w:t>是</w:t>
                  </w:r>
                </w:p>
                <w:p w14:paraId="481D5727">
                  <w:pPr>
                    <w:pStyle w:val="32"/>
                    <w:spacing w:after="0"/>
                    <w:ind w:left="0" w:lef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rPr>
                    <w:sym w:font="Wingdings" w:char="00A8"/>
                  </w:r>
                  <w:r>
                    <w:rPr>
                      <w:rFonts w:hint="default" w:ascii="Times New Roman" w:hAnsi="Times New Roman" w:eastAsia="宋体" w:cs="Times New Roman"/>
                      <w:color w:val="auto"/>
                      <w:sz w:val="21"/>
                      <w:szCs w:val="21"/>
                      <w:highlight w:val="none"/>
                    </w:rPr>
                    <w:t>否</w:t>
                  </w:r>
                </w:p>
              </w:tc>
              <w:tc>
                <w:tcPr>
                  <w:tcW w:w="1323" w:type="dxa"/>
                  <w:noWrap w:val="0"/>
                  <w:vAlign w:val="center"/>
                </w:tcPr>
                <w:p w14:paraId="4903132B">
                  <w:pPr>
                    <w:pStyle w:val="32"/>
                    <w:spacing w:after="0"/>
                    <w:ind w:left="0" w:leftChars="0" w:firstLine="0" w:firstLineChars="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sym w:font="Wingdings" w:char="00A8"/>
                  </w:r>
                  <w:r>
                    <w:rPr>
                      <w:rFonts w:hint="default" w:ascii="Times New Roman" w:hAnsi="Times New Roman" w:eastAsia="宋体" w:cs="Times New Roman"/>
                      <w:color w:val="auto"/>
                      <w:sz w:val="21"/>
                      <w:szCs w:val="21"/>
                      <w:highlight w:val="none"/>
                    </w:rPr>
                    <w:t>企业总排</w:t>
                  </w:r>
                </w:p>
                <w:p w14:paraId="13373C98">
                  <w:pPr>
                    <w:pStyle w:val="32"/>
                    <w:spacing w:after="0"/>
                    <w:ind w:left="0" w:leftChars="0" w:firstLine="0" w:firstLineChars="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sym w:font="Wingdings" w:char="00A8"/>
                  </w:r>
                  <w:r>
                    <w:rPr>
                      <w:rFonts w:hint="default" w:ascii="Times New Roman" w:hAnsi="Times New Roman" w:eastAsia="宋体" w:cs="Times New Roman"/>
                      <w:color w:val="auto"/>
                      <w:sz w:val="21"/>
                      <w:szCs w:val="21"/>
                      <w:highlight w:val="none"/>
                    </w:rPr>
                    <w:t>雨水排放</w:t>
                  </w:r>
                </w:p>
                <w:p w14:paraId="7EC140A4">
                  <w:pPr>
                    <w:pStyle w:val="32"/>
                    <w:spacing w:after="0"/>
                    <w:ind w:left="0" w:leftChars="0" w:firstLine="0" w:firstLineChars="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sym w:font="Wingdings" w:char="00A8"/>
                  </w:r>
                  <w:r>
                    <w:rPr>
                      <w:rFonts w:hint="default" w:ascii="Times New Roman" w:hAnsi="Times New Roman" w:eastAsia="宋体" w:cs="Times New Roman"/>
                      <w:color w:val="auto"/>
                      <w:sz w:val="21"/>
                      <w:szCs w:val="21"/>
                      <w:highlight w:val="none"/>
                    </w:rPr>
                    <w:t>清净下水排放</w:t>
                  </w:r>
                </w:p>
                <w:p w14:paraId="4743234A">
                  <w:pPr>
                    <w:pStyle w:val="32"/>
                    <w:spacing w:after="0"/>
                    <w:ind w:left="0" w:leftChars="0" w:firstLine="0" w:firstLineChars="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sym w:font="Wingdings" w:char="00A8"/>
                  </w:r>
                  <w:r>
                    <w:rPr>
                      <w:rFonts w:hint="default" w:ascii="Times New Roman" w:hAnsi="Times New Roman" w:eastAsia="宋体" w:cs="Times New Roman"/>
                      <w:color w:val="auto"/>
                      <w:sz w:val="21"/>
                      <w:szCs w:val="21"/>
                      <w:highlight w:val="none"/>
                    </w:rPr>
                    <w:t>温排水排放</w:t>
                  </w:r>
                </w:p>
                <w:p w14:paraId="66FA988F">
                  <w:pPr>
                    <w:pStyle w:val="32"/>
                    <w:spacing w:after="0"/>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rPr>
                    <w:sym w:font="Wingdings" w:char="00A8"/>
                  </w:r>
                  <w:r>
                    <w:rPr>
                      <w:rFonts w:hint="default" w:ascii="Times New Roman" w:hAnsi="Times New Roman" w:eastAsia="宋体" w:cs="Times New Roman"/>
                      <w:color w:val="auto"/>
                      <w:sz w:val="21"/>
                      <w:szCs w:val="21"/>
                      <w:highlight w:val="none"/>
                    </w:rPr>
                    <w:t>车间或车间处理设施排放</w:t>
                  </w:r>
                </w:p>
              </w:tc>
            </w:tr>
          </w:tbl>
          <w:p w14:paraId="0F76535F">
            <w:pPr>
              <w:pStyle w:val="24"/>
              <w:keepNext w:val="0"/>
              <w:keepLines w:val="0"/>
              <w:pageBreakBefore w:val="0"/>
              <w:widowControl w:val="0"/>
              <w:numPr>
                <w:ilvl w:val="0"/>
                <w:numId w:val="0"/>
              </w:numPr>
              <w:shd w:val="clear"/>
              <w:kinsoku/>
              <w:wordWrap/>
              <w:overflowPunct/>
              <w:topLinePunct w:val="0"/>
              <w:autoSpaceDE/>
              <w:autoSpaceDN/>
              <w:bidi w:val="0"/>
              <w:adjustRightInd/>
              <w:snapToGrid w:val="0"/>
              <w:spacing w:after="0" w:line="360" w:lineRule="auto"/>
              <w:ind w:left="0" w:leftChars="0" w:firstLine="0" w:firstLineChars="0"/>
              <w:jc w:val="center"/>
              <w:textAlignment w:val="auto"/>
              <w:rPr>
                <w:rFonts w:hint="default" w:ascii="Times New Roman" w:hAnsi="Times New Roman" w:eastAsia="宋体" w:cs="Times New Roman"/>
                <w:b/>
                <w:color w:val="auto"/>
                <w:kern w:val="2"/>
                <w:sz w:val="24"/>
                <w:szCs w:val="24"/>
                <w:highlight w:val="none"/>
                <w:lang w:val="en-US" w:eastAsia="zh-CN" w:bidi="ar-SA"/>
              </w:rPr>
            </w:pPr>
          </w:p>
          <w:p w14:paraId="211B3DDB">
            <w:pPr>
              <w:pStyle w:val="24"/>
              <w:keepNext w:val="0"/>
              <w:keepLines w:val="0"/>
              <w:pageBreakBefore w:val="0"/>
              <w:widowControl w:val="0"/>
              <w:numPr>
                <w:ilvl w:val="0"/>
                <w:numId w:val="0"/>
              </w:numPr>
              <w:shd w:val="clear"/>
              <w:kinsoku/>
              <w:wordWrap/>
              <w:overflowPunct/>
              <w:topLinePunct w:val="0"/>
              <w:autoSpaceDE/>
              <w:autoSpaceDN/>
              <w:bidi w:val="0"/>
              <w:adjustRightInd/>
              <w:snapToGrid w:val="0"/>
              <w:spacing w:after="0" w:line="360" w:lineRule="auto"/>
              <w:ind w:left="0" w:leftChars="0" w:firstLine="0" w:firstLineChars="0"/>
              <w:jc w:val="center"/>
              <w:textAlignment w:val="auto"/>
              <w:rPr>
                <w:rFonts w:hint="default" w:ascii="Times New Roman" w:hAnsi="Times New Roman" w:eastAsia="宋体" w:cs="Times New Roman"/>
                <w:b/>
                <w:color w:val="auto"/>
                <w:kern w:val="2"/>
                <w:sz w:val="24"/>
                <w:szCs w:val="24"/>
                <w:highlight w:val="none"/>
                <w:lang w:val="en-US" w:eastAsia="zh-CN" w:bidi="ar-SA"/>
              </w:rPr>
            </w:pPr>
            <w:r>
              <w:rPr>
                <w:rFonts w:hint="eastAsia" w:cs="Times New Roman"/>
                <w:b/>
                <w:color w:val="auto"/>
                <w:kern w:val="2"/>
                <w:sz w:val="24"/>
                <w:szCs w:val="24"/>
                <w:highlight w:val="none"/>
                <w:lang w:val="en-US" w:eastAsia="zh-CN" w:bidi="ar-SA"/>
              </w:rPr>
              <w:t>表36废水间接排放口基本情况表</w:t>
            </w:r>
          </w:p>
          <w:tbl>
            <w:tblPr>
              <w:tblStyle w:val="33"/>
              <w:tblW w:w="849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7"/>
              <w:gridCol w:w="881"/>
              <w:gridCol w:w="1017"/>
              <w:gridCol w:w="932"/>
              <w:gridCol w:w="689"/>
              <w:gridCol w:w="427"/>
              <w:gridCol w:w="636"/>
              <w:gridCol w:w="1348"/>
              <w:gridCol w:w="435"/>
              <w:gridCol w:w="806"/>
              <w:gridCol w:w="893"/>
            </w:tblGrid>
            <w:tr w14:paraId="28CACC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3" w:hRule="atLeast"/>
                <w:tblHeader/>
                <w:jc w:val="center"/>
              </w:trPr>
              <w:tc>
                <w:tcPr>
                  <w:tcW w:w="424" w:type="dxa"/>
                  <w:vMerge w:val="restart"/>
                  <w:noWrap w:val="0"/>
                  <w:vAlign w:val="center"/>
                </w:tcPr>
                <w:p w14:paraId="14587CE1">
                  <w:pPr>
                    <w:pStyle w:val="62"/>
                    <w:keepNext w:val="0"/>
                    <w:keepLines w:val="0"/>
                    <w:pageBreakBefore w:val="0"/>
                    <w:widowControl/>
                    <w:shd w:val="clear"/>
                    <w:kinsoku/>
                    <w:wordWrap/>
                    <w:overflowPunct w:val="0"/>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序号</w:t>
                  </w:r>
                </w:p>
              </w:tc>
              <w:tc>
                <w:tcPr>
                  <w:tcW w:w="872" w:type="dxa"/>
                  <w:vMerge w:val="restart"/>
                  <w:noWrap w:val="0"/>
                  <w:vAlign w:val="center"/>
                </w:tcPr>
                <w:p w14:paraId="16BADB32">
                  <w:pPr>
                    <w:pStyle w:val="62"/>
                    <w:keepNext w:val="0"/>
                    <w:keepLines w:val="0"/>
                    <w:pageBreakBefore w:val="0"/>
                    <w:widowControl/>
                    <w:shd w:val="clear"/>
                    <w:kinsoku/>
                    <w:wordWrap/>
                    <w:overflowPunct w:val="0"/>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排放口编号</w:t>
                  </w:r>
                </w:p>
              </w:tc>
              <w:tc>
                <w:tcPr>
                  <w:tcW w:w="2084" w:type="dxa"/>
                  <w:gridSpan w:val="2"/>
                  <w:noWrap w:val="0"/>
                  <w:vAlign w:val="center"/>
                </w:tcPr>
                <w:p w14:paraId="08A11828">
                  <w:pPr>
                    <w:pStyle w:val="62"/>
                    <w:keepNext w:val="0"/>
                    <w:keepLines w:val="0"/>
                    <w:pageBreakBefore w:val="0"/>
                    <w:widowControl/>
                    <w:shd w:val="clear"/>
                    <w:kinsoku/>
                    <w:wordWrap/>
                    <w:overflowPunct w:val="0"/>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排放口地理坐标</w:t>
                  </w:r>
                </w:p>
              </w:tc>
              <w:tc>
                <w:tcPr>
                  <w:tcW w:w="655" w:type="dxa"/>
                  <w:vMerge w:val="restart"/>
                  <w:noWrap w:val="0"/>
                  <w:vAlign w:val="center"/>
                </w:tcPr>
                <w:p w14:paraId="4F4AD2EA">
                  <w:pPr>
                    <w:pStyle w:val="62"/>
                    <w:keepNext w:val="0"/>
                    <w:keepLines w:val="0"/>
                    <w:pageBreakBefore w:val="0"/>
                    <w:widowControl/>
                    <w:shd w:val="clear"/>
                    <w:kinsoku/>
                    <w:wordWrap/>
                    <w:overflowPunct w:val="0"/>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废水排放量/（万t/a）</w:t>
                  </w:r>
                </w:p>
              </w:tc>
              <w:tc>
                <w:tcPr>
                  <w:tcW w:w="424" w:type="dxa"/>
                  <w:vMerge w:val="restart"/>
                  <w:noWrap w:val="0"/>
                  <w:vAlign w:val="center"/>
                </w:tcPr>
                <w:p w14:paraId="0E9869F7">
                  <w:pPr>
                    <w:pStyle w:val="62"/>
                    <w:keepNext w:val="0"/>
                    <w:keepLines w:val="0"/>
                    <w:pageBreakBefore w:val="0"/>
                    <w:widowControl/>
                    <w:shd w:val="clear"/>
                    <w:kinsoku/>
                    <w:wordWrap/>
                    <w:overflowPunct w:val="0"/>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排放去向</w:t>
                  </w:r>
                </w:p>
              </w:tc>
              <w:tc>
                <w:tcPr>
                  <w:tcW w:w="631" w:type="dxa"/>
                  <w:vMerge w:val="restart"/>
                  <w:noWrap w:val="0"/>
                  <w:vAlign w:val="center"/>
                </w:tcPr>
                <w:p w14:paraId="1633D695">
                  <w:pPr>
                    <w:pStyle w:val="62"/>
                    <w:keepNext w:val="0"/>
                    <w:keepLines w:val="0"/>
                    <w:pageBreakBefore w:val="0"/>
                    <w:widowControl/>
                    <w:shd w:val="clear"/>
                    <w:kinsoku/>
                    <w:wordWrap/>
                    <w:overflowPunct w:val="0"/>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排放规律</w:t>
                  </w:r>
                </w:p>
              </w:tc>
              <w:tc>
                <w:tcPr>
                  <w:tcW w:w="1269" w:type="dxa"/>
                  <w:vMerge w:val="restart"/>
                  <w:noWrap w:val="0"/>
                  <w:vAlign w:val="center"/>
                </w:tcPr>
                <w:p w14:paraId="21C0E3A8">
                  <w:pPr>
                    <w:pStyle w:val="62"/>
                    <w:keepNext w:val="0"/>
                    <w:keepLines w:val="0"/>
                    <w:pageBreakBefore w:val="0"/>
                    <w:widowControl/>
                    <w:shd w:val="clear"/>
                    <w:kinsoku/>
                    <w:wordWrap/>
                    <w:overflowPunct w:val="0"/>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间歇排放时段</w:t>
                  </w:r>
                </w:p>
              </w:tc>
              <w:tc>
                <w:tcPr>
                  <w:tcW w:w="2132" w:type="dxa"/>
                  <w:gridSpan w:val="3"/>
                  <w:noWrap w:val="0"/>
                  <w:vAlign w:val="center"/>
                </w:tcPr>
                <w:p w14:paraId="385DB247">
                  <w:pPr>
                    <w:pStyle w:val="62"/>
                    <w:keepNext w:val="0"/>
                    <w:keepLines w:val="0"/>
                    <w:pageBreakBefore w:val="0"/>
                    <w:widowControl/>
                    <w:shd w:val="clear"/>
                    <w:kinsoku/>
                    <w:wordWrap/>
                    <w:overflowPunct w:val="0"/>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受纳污水处理厂信息</w:t>
                  </w:r>
                </w:p>
              </w:tc>
            </w:tr>
            <w:tr w14:paraId="0F10CE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blHeader/>
                <w:jc w:val="center"/>
              </w:trPr>
              <w:tc>
                <w:tcPr>
                  <w:tcW w:w="424" w:type="dxa"/>
                  <w:vMerge w:val="continue"/>
                  <w:noWrap w:val="0"/>
                  <w:vAlign w:val="center"/>
                </w:tcPr>
                <w:p w14:paraId="45339875">
                  <w:pPr>
                    <w:pStyle w:val="62"/>
                    <w:keepNext w:val="0"/>
                    <w:keepLines w:val="0"/>
                    <w:pageBreakBefore w:val="0"/>
                    <w:widowControl/>
                    <w:shd w:val="clear"/>
                    <w:kinsoku/>
                    <w:wordWrap/>
                    <w:overflowPunct w:val="0"/>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sz w:val="21"/>
                      <w:szCs w:val="21"/>
                      <w:highlight w:val="none"/>
                    </w:rPr>
                  </w:pPr>
                </w:p>
              </w:tc>
              <w:tc>
                <w:tcPr>
                  <w:tcW w:w="872" w:type="dxa"/>
                  <w:vMerge w:val="continue"/>
                  <w:noWrap w:val="0"/>
                  <w:vAlign w:val="center"/>
                </w:tcPr>
                <w:p w14:paraId="490C560A">
                  <w:pPr>
                    <w:pStyle w:val="62"/>
                    <w:keepNext w:val="0"/>
                    <w:keepLines w:val="0"/>
                    <w:pageBreakBefore w:val="0"/>
                    <w:widowControl/>
                    <w:shd w:val="clear"/>
                    <w:kinsoku/>
                    <w:wordWrap/>
                    <w:overflowPunct w:val="0"/>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sz w:val="21"/>
                      <w:szCs w:val="21"/>
                      <w:highlight w:val="none"/>
                    </w:rPr>
                  </w:pPr>
                </w:p>
              </w:tc>
              <w:tc>
                <w:tcPr>
                  <w:tcW w:w="1090" w:type="dxa"/>
                  <w:noWrap w:val="0"/>
                  <w:vAlign w:val="center"/>
                </w:tcPr>
                <w:p w14:paraId="0794AB7E">
                  <w:pPr>
                    <w:pStyle w:val="62"/>
                    <w:keepNext w:val="0"/>
                    <w:keepLines w:val="0"/>
                    <w:pageBreakBefore w:val="0"/>
                    <w:widowControl/>
                    <w:shd w:val="clear"/>
                    <w:kinsoku/>
                    <w:wordWrap/>
                    <w:overflowPunct w:val="0"/>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经度</w:t>
                  </w:r>
                </w:p>
              </w:tc>
              <w:tc>
                <w:tcPr>
                  <w:tcW w:w="994" w:type="dxa"/>
                  <w:noWrap w:val="0"/>
                  <w:vAlign w:val="center"/>
                </w:tcPr>
                <w:p w14:paraId="6C33D373">
                  <w:pPr>
                    <w:pStyle w:val="62"/>
                    <w:keepNext w:val="0"/>
                    <w:keepLines w:val="0"/>
                    <w:pageBreakBefore w:val="0"/>
                    <w:widowControl/>
                    <w:shd w:val="clear"/>
                    <w:kinsoku/>
                    <w:wordWrap/>
                    <w:overflowPunct w:val="0"/>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纬度</w:t>
                  </w:r>
                </w:p>
              </w:tc>
              <w:tc>
                <w:tcPr>
                  <w:tcW w:w="655" w:type="dxa"/>
                  <w:vMerge w:val="continue"/>
                  <w:noWrap w:val="0"/>
                  <w:vAlign w:val="center"/>
                </w:tcPr>
                <w:p w14:paraId="5E4B48B5">
                  <w:pPr>
                    <w:pStyle w:val="62"/>
                    <w:keepNext w:val="0"/>
                    <w:keepLines w:val="0"/>
                    <w:pageBreakBefore w:val="0"/>
                    <w:widowControl/>
                    <w:shd w:val="clear"/>
                    <w:kinsoku/>
                    <w:wordWrap/>
                    <w:overflowPunct w:val="0"/>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sz w:val="21"/>
                      <w:szCs w:val="21"/>
                      <w:highlight w:val="none"/>
                    </w:rPr>
                  </w:pPr>
                </w:p>
              </w:tc>
              <w:tc>
                <w:tcPr>
                  <w:tcW w:w="424" w:type="dxa"/>
                  <w:vMerge w:val="continue"/>
                  <w:noWrap w:val="0"/>
                  <w:vAlign w:val="center"/>
                </w:tcPr>
                <w:p w14:paraId="15A496EC">
                  <w:pPr>
                    <w:pStyle w:val="62"/>
                    <w:keepNext w:val="0"/>
                    <w:keepLines w:val="0"/>
                    <w:pageBreakBefore w:val="0"/>
                    <w:widowControl/>
                    <w:shd w:val="clear"/>
                    <w:kinsoku/>
                    <w:wordWrap/>
                    <w:overflowPunct w:val="0"/>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sz w:val="21"/>
                      <w:szCs w:val="21"/>
                      <w:highlight w:val="none"/>
                    </w:rPr>
                  </w:pPr>
                </w:p>
              </w:tc>
              <w:tc>
                <w:tcPr>
                  <w:tcW w:w="631" w:type="dxa"/>
                  <w:vMerge w:val="continue"/>
                  <w:noWrap w:val="0"/>
                  <w:vAlign w:val="center"/>
                </w:tcPr>
                <w:p w14:paraId="487EEB89">
                  <w:pPr>
                    <w:pStyle w:val="62"/>
                    <w:keepNext w:val="0"/>
                    <w:keepLines w:val="0"/>
                    <w:pageBreakBefore w:val="0"/>
                    <w:widowControl/>
                    <w:shd w:val="clear"/>
                    <w:kinsoku/>
                    <w:wordWrap/>
                    <w:overflowPunct w:val="0"/>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sz w:val="21"/>
                      <w:szCs w:val="21"/>
                      <w:highlight w:val="none"/>
                    </w:rPr>
                  </w:pPr>
                </w:p>
              </w:tc>
              <w:tc>
                <w:tcPr>
                  <w:tcW w:w="1269" w:type="dxa"/>
                  <w:vMerge w:val="continue"/>
                  <w:noWrap w:val="0"/>
                  <w:vAlign w:val="center"/>
                </w:tcPr>
                <w:p w14:paraId="3F590535">
                  <w:pPr>
                    <w:pStyle w:val="62"/>
                    <w:keepNext w:val="0"/>
                    <w:keepLines w:val="0"/>
                    <w:pageBreakBefore w:val="0"/>
                    <w:widowControl/>
                    <w:shd w:val="clear"/>
                    <w:kinsoku/>
                    <w:wordWrap/>
                    <w:overflowPunct w:val="0"/>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sz w:val="21"/>
                      <w:szCs w:val="21"/>
                      <w:highlight w:val="none"/>
                    </w:rPr>
                  </w:pPr>
                </w:p>
              </w:tc>
              <w:tc>
                <w:tcPr>
                  <w:tcW w:w="436" w:type="dxa"/>
                  <w:noWrap w:val="0"/>
                  <w:vAlign w:val="center"/>
                </w:tcPr>
                <w:p w14:paraId="61FE11AC">
                  <w:pPr>
                    <w:pStyle w:val="62"/>
                    <w:keepNext w:val="0"/>
                    <w:keepLines w:val="0"/>
                    <w:pageBreakBefore w:val="0"/>
                    <w:widowControl/>
                    <w:shd w:val="clear"/>
                    <w:kinsoku/>
                    <w:wordWrap/>
                    <w:overflowPunct w:val="0"/>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名称</w:t>
                  </w:r>
                </w:p>
              </w:tc>
              <w:tc>
                <w:tcPr>
                  <w:tcW w:w="811" w:type="dxa"/>
                  <w:noWrap w:val="0"/>
                  <w:vAlign w:val="center"/>
                </w:tcPr>
                <w:p w14:paraId="792A819E">
                  <w:pPr>
                    <w:pStyle w:val="62"/>
                    <w:keepNext w:val="0"/>
                    <w:keepLines w:val="0"/>
                    <w:pageBreakBefore w:val="0"/>
                    <w:widowControl/>
                    <w:shd w:val="clear"/>
                    <w:kinsoku/>
                    <w:wordWrap/>
                    <w:overflowPunct w:val="0"/>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污染物种类</w:t>
                  </w:r>
                </w:p>
              </w:tc>
              <w:tc>
                <w:tcPr>
                  <w:tcW w:w="885" w:type="dxa"/>
                  <w:noWrap w:val="0"/>
                  <w:vAlign w:val="center"/>
                </w:tcPr>
                <w:p w14:paraId="565AAA94">
                  <w:pPr>
                    <w:pStyle w:val="62"/>
                    <w:keepNext w:val="0"/>
                    <w:keepLines w:val="0"/>
                    <w:pageBreakBefore w:val="0"/>
                    <w:widowControl/>
                    <w:shd w:val="clear"/>
                    <w:kinsoku/>
                    <w:wordWrap/>
                    <w:overflowPunct w:val="0"/>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国家或地方污染物排放标准浓度限值/(mg/L)</w:t>
                  </w:r>
                </w:p>
              </w:tc>
            </w:tr>
            <w:tr w14:paraId="72D91F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4" w:hRule="atLeast"/>
                <w:jc w:val="center"/>
              </w:trPr>
              <w:tc>
                <w:tcPr>
                  <w:tcW w:w="424" w:type="dxa"/>
                  <w:vMerge w:val="restart"/>
                  <w:noWrap w:val="0"/>
                  <w:vAlign w:val="center"/>
                </w:tcPr>
                <w:p w14:paraId="362D151E">
                  <w:pPr>
                    <w:pStyle w:val="62"/>
                    <w:keepNext w:val="0"/>
                    <w:keepLines w:val="0"/>
                    <w:pageBreakBefore w:val="0"/>
                    <w:widowControl/>
                    <w:shd w:val="clear"/>
                    <w:kinsoku/>
                    <w:wordWrap/>
                    <w:overflowPunct w:val="0"/>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872" w:type="dxa"/>
                  <w:vMerge w:val="restart"/>
                  <w:noWrap w:val="0"/>
                  <w:vAlign w:val="center"/>
                </w:tcPr>
                <w:p w14:paraId="2B02FE2C">
                  <w:pPr>
                    <w:pStyle w:val="62"/>
                    <w:keepNext w:val="0"/>
                    <w:keepLines w:val="0"/>
                    <w:pageBreakBefore w:val="0"/>
                    <w:widowControl/>
                    <w:shd w:val="clear"/>
                    <w:kinsoku/>
                    <w:wordWrap/>
                    <w:overflowPunct w:val="0"/>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DW001</w:t>
                  </w:r>
                </w:p>
              </w:tc>
              <w:tc>
                <w:tcPr>
                  <w:tcW w:w="1090" w:type="dxa"/>
                  <w:vMerge w:val="restart"/>
                  <w:noWrap w:val="0"/>
                  <w:vAlign w:val="center"/>
                </w:tcPr>
                <w:p w14:paraId="0F0A0EAD">
                  <w:pPr>
                    <w:pStyle w:val="62"/>
                    <w:keepNext w:val="0"/>
                    <w:keepLines w:val="0"/>
                    <w:pageBreakBefore w:val="0"/>
                    <w:widowControl/>
                    <w:shd w:val="clear"/>
                    <w:kinsoku/>
                    <w:wordWrap/>
                    <w:overflowPunct w:val="0"/>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994" w:type="dxa"/>
                  <w:vMerge w:val="restart"/>
                  <w:noWrap w:val="0"/>
                  <w:vAlign w:val="center"/>
                </w:tcPr>
                <w:p w14:paraId="2DCE4C27">
                  <w:pPr>
                    <w:pStyle w:val="62"/>
                    <w:keepNext w:val="0"/>
                    <w:keepLines w:val="0"/>
                    <w:pageBreakBefore w:val="0"/>
                    <w:widowControl/>
                    <w:shd w:val="clear"/>
                    <w:kinsoku/>
                    <w:wordWrap/>
                    <w:overflowPunct w:val="0"/>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655" w:type="dxa"/>
                  <w:vMerge w:val="restart"/>
                  <w:noWrap w:val="0"/>
                  <w:vAlign w:val="center"/>
                </w:tcPr>
                <w:p w14:paraId="01D76B05">
                  <w:pPr>
                    <w:pStyle w:val="62"/>
                    <w:keepNext w:val="0"/>
                    <w:keepLines w:val="0"/>
                    <w:pageBreakBefore w:val="0"/>
                    <w:widowControl/>
                    <w:shd w:val="clear"/>
                    <w:kinsoku/>
                    <w:wordWrap/>
                    <w:overflowPunct w:val="0"/>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0.009</w:t>
                  </w:r>
                </w:p>
              </w:tc>
              <w:tc>
                <w:tcPr>
                  <w:tcW w:w="424" w:type="dxa"/>
                  <w:vMerge w:val="restart"/>
                  <w:noWrap w:val="0"/>
                  <w:vAlign w:val="center"/>
                </w:tcPr>
                <w:p w14:paraId="6B5028C8">
                  <w:pPr>
                    <w:pStyle w:val="62"/>
                    <w:keepNext w:val="0"/>
                    <w:keepLines w:val="0"/>
                    <w:pageBreakBefore w:val="0"/>
                    <w:widowControl/>
                    <w:shd w:val="clear"/>
                    <w:kinsoku/>
                    <w:wordWrap/>
                    <w:overflowPunct w:val="0"/>
                    <w:topLinePunct w:val="0"/>
                    <w:autoSpaceDE w:val="0"/>
                    <w:autoSpaceDN w:val="0"/>
                    <w:bidi w:val="0"/>
                    <w:adjustRightInd w:val="0"/>
                    <w:snapToGrid w:val="0"/>
                    <w:jc w:val="center"/>
                    <w:textAlignment w:val="baseline"/>
                    <w:rPr>
                      <w:rFonts w:hint="eastAsia"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eastAsia="zh-CN"/>
                    </w:rPr>
                    <w:t>中山市珍家山污水处理有限公司</w:t>
                  </w:r>
                </w:p>
              </w:tc>
              <w:tc>
                <w:tcPr>
                  <w:tcW w:w="631" w:type="dxa"/>
                  <w:vMerge w:val="restart"/>
                  <w:noWrap w:val="0"/>
                  <w:vAlign w:val="center"/>
                </w:tcPr>
                <w:p w14:paraId="571C5994">
                  <w:pPr>
                    <w:pStyle w:val="62"/>
                    <w:keepNext w:val="0"/>
                    <w:keepLines w:val="0"/>
                    <w:pageBreakBefore w:val="0"/>
                    <w:widowControl/>
                    <w:shd w:val="clear"/>
                    <w:kinsoku/>
                    <w:wordWrap/>
                    <w:overflowPunct w:val="0"/>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间断排放，流量不稳定，但不属于冲击性排放</w:t>
                  </w:r>
                </w:p>
              </w:tc>
              <w:tc>
                <w:tcPr>
                  <w:tcW w:w="1269" w:type="dxa"/>
                  <w:vMerge w:val="restart"/>
                  <w:noWrap w:val="0"/>
                  <w:vAlign w:val="center"/>
                </w:tcPr>
                <w:p w14:paraId="5FE3B37F">
                  <w:pPr>
                    <w:pStyle w:val="62"/>
                    <w:keepNext w:val="0"/>
                    <w:keepLines w:val="0"/>
                    <w:pageBreakBefore w:val="0"/>
                    <w:widowControl/>
                    <w:shd w:val="clear"/>
                    <w:kinsoku/>
                    <w:wordWrap/>
                    <w:overflowPunct w:val="0"/>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en-US"/>
                    </w:rPr>
                    <w:t>8:00-12:00，14:00-18:00</w:t>
                  </w:r>
                </w:p>
              </w:tc>
              <w:tc>
                <w:tcPr>
                  <w:tcW w:w="436" w:type="dxa"/>
                  <w:vMerge w:val="restart"/>
                  <w:noWrap w:val="0"/>
                  <w:vAlign w:val="center"/>
                </w:tcPr>
                <w:p w14:paraId="30BEBF85">
                  <w:pPr>
                    <w:pStyle w:val="62"/>
                    <w:keepNext w:val="0"/>
                    <w:keepLines w:val="0"/>
                    <w:pageBreakBefore w:val="0"/>
                    <w:widowControl/>
                    <w:shd w:val="clear"/>
                    <w:kinsoku/>
                    <w:wordWrap/>
                    <w:overflowPunct w:val="0"/>
                    <w:topLinePunct w:val="0"/>
                    <w:autoSpaceDE w:val="0"/>
                    <w:autoSpaceDN w:val="0"/>
                    <w:bidi w:val="0"/>
                    <w:adjustRightInd w:val="0"/>
                    <w:snapToGrid w:val="0"/>
                    <w:jc w:val="center"/>
                    <w:textAlignment w:val="baseline"/>
                    <w:rPr>
                      <w:rFonts w:hint="eastAsia"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eastAsia="zh-CN"/>
                    </w:rPr>
                    <w:t>中山市珍家山污水处理有限公司</w:t>
                  </w:r>
                </w:p>
              </w:tc>
              <w:tc>
                <w:tcPr>
                  <w:tcW w:w="811" w:type="dxa"/>
                  <w:noWrap w:val="0"/>
                  <w:vAlign w:val="center"/>
                </w:tcPr>
                <w:p w14:paraId="595D0B5D">
                  <w:pPr>
                    <w:pStyle w:val="32"/>
                    <w:keepNext w:val="0"/>
                    <w:keepLines w:val="0"/>
                    <w:pageBreakBefore w:val="0"/>
                    <w:widowControl/>
                    <w:shd w:val="clear"/>
                    <w:kinsoku/>
                    <w:wordWrap/>
                    <w:overflowPunct w:val="0"/>
                    <w:topLinePunct w:val="0"/>
                    <w:autoSpaceDE w:val="0"/>
                    <w:autoSpaceDN w:val="0"/>
                    <w:bidi w:val="0"/>
                    <w:adjustRightInd w:val="0"/>
                    <w:snapToGrid w:val="0"/>
                    <w:spacing w:after="0"/>
                    <w:ind w:left="0" w:lef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pH</w:t>
                  </w:r>
                  <w:r>
                    <w:rPr>
                      <w:rFonts w:hint="default" w:ascii="Times New Roman" w:hAnsi="Times New Roman" w:eastAsia="宋体" w:cs="Times New Roman"/>
                      <w:color w:val="auto"/>
                      <w:sz w:val="21"/>
                      <w:szCs w:val="21"/>
                      <w:highlight w:val="none"/>
                      <w:lang w:val="en-US" w:eastAsia="zh-CN"/>
                    </w:rPr>
                    <w:t>值</w:t>
                  </w:r>
                </w:p>
              </w:tc>
              <w:tc>
                <w:tcPr>
                  <w:tcW w:w="885" w:type="dxa"/>
                  <w:noWrap w:val="0"/>
                  <w:vAlign w:val="center"/>
                </w:tcPr>
                <w:p w14:paraId="6DC3ED36">
                  <w:pPr>
                    <w:pStyle w:val="32"/>
                    <w:keepNext w:val="0"/>
                    <w:keepLines w:val="0"/>
                    <w:pageBreakBefore w:val="0"/>
                    <w:widowControl/>
                    <w:shd w:val="clear"/>
                    <w:kinsoku/>
                    <w:wordWrap/>
                    <w:overflowPunct w:val="0"/>
                    <w:topLinePunct w:val="0"/>
                    <w:autoSpaceDE w:val="0"/>
                    <w:autoSpaceDN w:val="0"/>
                    <w:bidi w:val="0"/>
                    <w:adjustRightInd w:val="0"/>
                    <w:snapToGrid w:val="0"/>
                    <w:spacing w:after="0"/>
                    <w:ind w:left="0" w:lef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6-9（无量纲）</w:t>
                  </w:r>
                </w:p>
              </w:tc>
            </w:tr>
            <w:tr w14:paraId="4E86C5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3" w:hRule="atLeast"/>
                <w:jc w:val="center"/>
              </w:trPr>
              <w:tc>
                <w:tcPr>
                  <w:tcW w:w="424" w:type="dxa"/>
                  <w:vMerge w:val="continue"/>
                  <w:noWrap w:val="0"/>
                  <w:vAlign w:val="center"/>
                </w:tcPr>
                <w:p w14:paraId="78EC0D2C">
                  <w:pPr>
                    <w:pStyle w:val="32"/>
                    <w:keepNext w:val="0"/>
                    <w:keepLines w:val="0"/>
                    <w:pageBreakBefore w:val="0"/>
                    <w:widowControl/>
                    <w:shd w:val="clear"/>
                    <w:kinsoku/>
                    <w:wordWrap/>
                    <w:overflowPunct w:val="0"/>
                    <w:topLinePunct w:val="0"/>
                    <w:autoSpaceDE w:val="0"/>
                    <w:autoSpaceDN w:val="0"/>
                    <w:bidi w:val="0"/>
                    <w:adjustRightInd w:val="0"/>
                    <w:snapToGrid w:val="0"/>
                    <w:spacing w:after="0"/>
                    <w:ind w:left="0" w:leftChars="0" w:firstLine="0" w:firstLineChars="0"/>
                    <w:jc w:val="center"/>
                    <w:textAlignment w:val="baseline"/>
                    <w:rPr>
                      <w:rFonts w:hint="default" w:ascii="Times New Roman" w:hAnsi="Times New Roman" w:eastAsia="宋体" w:cs="Times New Roman"/>
                      <w:color w:val="auto"/>
                      <w:sz w:val="21"/>
                      <w:szCs w:val="21"/>
                      <w:highlight w:val="none"/>
                    </w:rPr>
                  </w:pPr>
                </w:p>
              </w:tc>
              <w:tc>
                <w:tcPr>
                  <w:tcW w:w="872" w:type="dxa"/>
                  <w:vMerge w:val="continue"/>
                  <w:noWrap w:val="0"/>
                  <w:vAlign w:val="center"/>
                </w:tcPr>
                <w:p w14:paraId="2B7DA0C5">
                  <w:pPr>
                    <w:pStyle w:val="32"/>
                    <w:keepNext w:val="0"/>
                    <w:keepLines w:val="0"/>
                    <w:pageBreakBefore w:val="0"/>
                    <w:widowControl/>
                    <w:shd w:val="clear"/>
                    <w:kinsoku/>
                    <w:wordWrap/>
                    <w:overflowPunct w:val="0"/>
                    <w:topLinePunct w:val="0"/>
                    <w:autoSpaceDE w:val="0"/>
                    <w:autoSpaceDN w:val="0"/>
                    <w:bidi w:val="0"/>
                    <w:adjustRightInd w:val="0"/>
                    <w:snapToGrid w:val="0"/>
                    <w:spacing w:after="0"/>
                    <w:ind w:left="0" w:leftChars="0" w:firstLine="0" w:firstLineChars="0"/>
                    <w:jc w:val="center"/>
                    <w:textAlignment w:val="baseline"/>
                    <w:rPr>
                      <w:rFonts w:hint="default" w:ascii="Times New Roman" w:hAnsi="Times New Roman" w:eastAsia="宋体" w:cs="Times New Roman"/>
                      <w:color w:val="auto"/>
                      <w:sz w:val="21"/>
                      <w:szCs w:val="21"/>
                      <w:highlight w:val="none"/>
                    </w:rPr>
                  </w:pPr>
                </w:p>
              </w:tc>
              <w:tc>
                <w:tcPr>
                  <w:tcW w:w="1090" w:type="dxa"/>
                  <w:vMerge w:val="continue"/>
                  <w:noWrap w:val="0"/>
                  <w:vAlign w:val="center"/>
                </w:tcPr>
                <w:p w14:paraId="26FCAE40">
                  <w:pPr>
                    <w:pStyle w:val="32"/>
                    <w:keepNext w:val="0"/>
                    <w:keepLines w:val="0"/>
                    <w:pageBreakBefore w:val="0"/>
                    <w:widowControl/>
                    <w:shd w:val="clear"/>
                    <w:kinsoku/>
                    <w:wordWrap/>
                    <w:overflowPunct w:val="0"/>
                    <w:topLinePunct w:val="0"/>
                    <w:autoSpaceDE w:val="0"/>
                    <w:autoSpaceDN w:val="0"/>
                    <w:bidi w:val="0"/>
                    <w:adjustRightInd w:val="0"/>
                    <w:snapToGrid w:val="0"/>
                    <w:spacing w:after="0"/>
                    <w:ind w:left="0" w:leftChars="0" w:firstLine="0" w:firstLineChars="0"/>
                    <w:jc w:val="center"/>
                    <w:textAlignment w:val="baseline"/>
                    <w:rPr>
                      <w:rFonts w:hint="default" w:ascii="Times New Roman" w:hAnsi="Times New Roman" w:eastAsia="宋体" w:cs="Times New Roman"/>
                      <w:color w:val="auto"/>
                      <w:sz w:val="21"/>
                      <w:szCs w:val="21"/>
                      <w:highlight w:val="none"/>
                    </w:rPr>
                  </w:pPr>
                </w:p>
              </w:tc>
              <w:tc>
                <w:tcPr>
                  <w:tcW w:w="994" w:type="dxa"/>
                  <w:vMerge w:val="continue"/>
                  <w:noWrap w:val="0"/>
                  <w:vAlign w:val="center"/>
                </w:tcPr>
                <w:p w14:paraId="3A1249E6">
                  <w:pPr>
                    <w:pStyle w:val="32"/>
                    <w:keepNext w:val="0"/>
                    <w:keepLines w:val="0"/>
                    <w:pageBreakBefore w:val="0"/>
                    <w:widowControl/>
                    <w:shd w:val="clear"/>
                    <w:kinsoku/>
                    <w:wordWrap/>
                    <w:overflowPunct w:val="0"/>
                    <w:topLinePunct w:val="0"/>
                    <w:autoSpaceDE w:val="0"/>
                    <w:autoSpaceDN w:val="0"/>
                    <w:bidi w:val="0"/>
                    <w:adjustRightInd w:val="0"/>
                    <w:snapToGrid w:val="0"/>
                    <w:spacing w:after="0"/>
                    <w:ind w:left="0" w:leftChars="0" w:firstLine="0" w:firstLineChars="0"/>
                    <w:jc w:val="center"/>
                    <w:textAlignment w:val="baseline"/>
                    <w:rPr>
                      <w:rFonts w:hint="default" w:ascii="Times New Roman" w:hAnsi="Times New Roman" w:eastAsia="宋体" w:cs="Times New Roman"/>
                      <w:color w:val="auto"/>
                      <w:sz w:val="21"/>
                      <w:szCs w:val="21"/>
                      <w:highlight w:val="none"/>
                    </w:rPr>
                  </w:pPr>
                </w:p>
              </w:tc>
              <w:tc>
                <w:tcPr>
                  <w:tcW w:w="655" w:type="dxa"/>
                  <w:vMerge w:val="continue"/>
                  <w:noWrap w:val="0"/>
                  <w:vAlign w:val="center"/>
                </w:tcPr>
                <w:p w14:paraId="799E4543">
                  <w:pPr>
                    <w:pStyle w:val="32"/>
                    <w:keepNext w:val="0"/>
                    <w:keepLines w:val="0"/>
                    <w:pageBreakBefore w:val="0"/>
                    <w:widowControl/>
                    <w:shd w:val="clear"/>
                    <w:kinsoku/>
                    <w:wordWrap/>
                    <w:overflowPunct w:val="0"/>
                    <w:topLinePunct w:val="0"/>
                    <w:autoSpaceDE w:val="0"/>
                    <w:autoSpaceDN w:val="0"/>
                    <w:bidi w:val="0"/>
                    <w:adjustRightInd w:val="0"/>
                    <w:snapToGrid w:val="0"/>
                    <w:spacing w:after="0"/>
                    <w:ind w:left="0" w:leftChars="0" w:firstLine="0" w:firstLineChars="0"/>
                    <w:jc w:val="center"/>
                    <w:textAlignment w:val="baseline"/>
                    <w:rPr>
                      <w:rFonts w:hint="default" w:ascii="Times New Roman" w:hAnsi="Times New Roman" w:eastAsia="宋体" w:cs="Times New Roman"/>
                      <w:color w:val="auto"/>
                      <w:sz w:val="21"/>
                      <w:szCs w:val="21"/>
                      <w:highlight w:val="none"/>
                    </w:rPr>
                  </w:pPr>
                </w:p>
              </w:tc>
              <w:tc>
                <w:tcPr>
                  <w:tcW w:w="424" w:type="dxa"/>
                  <w:vMerge w:val="continue"/>
                  <w:noWrap w:val="0"/>
                  <w:vAlign w:val="center"/>
                </w:tcPr>
                <w:p w14:paraId="57582991">
                  <w:pPr>
                    <w:pStyle w:val="32"/>
                    <w:keepNext w:val="0"/>
                    <w:keepLines w:val="0"/>
                    <w:pageBreakBefore w:val="0"/>
                    <w:widowControl/>
                    <w:shd w:val="clear"/>
                    <w:kinsoku/>
                    <w:wordWrap/>
                    <w:overflowPunct w:val="0"/>
                    <w:topLinePunct w:val="0"/>
                    <w:autoSpaceDE w:val="0"/>
                    <w:autoSpaceDN w:val="0"/>
                    <w:bidi w:val="0"/>
                    <w:adjustRightInd w:val="0"/>
                    <w:snapToGrid w:val="0"/>
                    <w:spacing w:after="0"/>
                    <w:ind w:left="0" w:leftChars="0" w:firstLine="0" w:firstLineChars="0"/>
                    <w:jc w:val="center"/>
                    <w:textAlignment w:val="baseline"/>
                    <w:rPr>
                      <w:rFonts w:hint="default" w:ascii="Times New Roman" w:hAnsi="Times New Roman" w:eastAsia="宋体" w:cs="Times New Roman"/>
                      <w:color w:val="auto"/>
                      <w:sz w:val="21"/>
                      <w:szCs w:val="21"/>
                      <w:highlight w:val="none"/>
                    </w:rPr>
                  </w:pPr>
                </w:p>
              </w:tc>
              <w:tc>
                <w:tcPr>
                  <w:tcW w:w="631" w:type="dxa"/>
                  <w:vMerge w:val="continue"/>
                  <w:noWrap w:val="0"/>
                  <w:vAlign w:val="center"/>
                </w:tcPr>
                <w:p w14:paraId="4E780320">
                  <w:pPr>
                    <w:pStyle w:val="32"/>
                    <w:keepNext w:val="0"/>
                    <w:keepLines w:val="0"/>
                    <w:pageBreakBefore w:val="0"/>
                    <w:widowControl/>
                    <w:shd w:val="clear"/>
                    <w:kinsoku/>
                    <w:wordWrap/>
                    <w:overflowPunct w:val="0"/>
                    <w:topLinePunct w:val="0"/>
                    <w:autoSpaceDE w:val="0"/>
                    <w:autoSpaceDN w:val="0"/>
                    <w:bidi w:val="0"/>
                    <w:adjustRightInd w:val="0"/>
                    <w:snapToGrid w:val="0"/>
                    <w:spacing w:after="0"/>
                    <w:ind w:left="0" w:leftChars="0" w:firstLine="0" w:firstLineChars="0"/>
                    <w:jc w:val="center"/>
                    <w:textAlignment w:val="baseline"/>
                    <w:rPr>
                      <w:rFonts w:hint="default" w:ascii="Times New Roman" w:hAnsi="Times New Roman" w:eastAsia="宋体" w:cs="Times New Roman"/>
                      <w:color w:val="auto"/>
                      <w:sz w:val="21"/>
                      <w:szCs w:val="21"/>
                      <w:highlight w:val="none"/>
                    </w:rPr>
                  </w:pPr>
                </w:p>
              </w:tc>
              <w:tc>
                <w:tcPr>
                  <w:tcW w:w="1269" w:type="dxa"/>
                  <w:vMerge w:val="continue"/>
                  <w:noWrap w:val="0"/>
                  <w:vAlign w:val="center"/>
                </w:tcPr>
                <w:p w14:paraId="7A7D309F">
                  <w:pPr>
                    <w:pStyle w:val="32"/>
                    <w:keepNext w:val="0"/>
                    <w:keepLines w:val="0"/>
                    <w:pageBreakBefore w:val="0"/>
                    <w:widowControl/>
                    <w:shd w:val="clear"/>
                    <w:kinsoku/>
                    <w:wordWrap/>
                    <w:overflowPunct w:val="0"/>
                    <w:topLinePunct w:val="0"/>
                    <w:autoSpaceDE w:val="0"/>
                    <w:autoSpaceDN w:val="0"/>
                    <w:bidi w:val="0"/>
                    <w:adjustRightInd w:val="0"/>
                    <w:snapToGrid w:val="0"/>
                    <w:spacing w:after="0"/>
                    <w:ind w:left="0" w:leftChars="0" w:firstLine="0" w:firstLineChars="0"/>
                    <w:jc w:val="center"/>
                    <w:textAlignment w:val="baseline"/>
                    <w:rPr>
                      <w:rFonts w:hint="default" w:ascii="Times New Roman" w:hAnsi="Times New Roman" w:eastAsia="宋体" w:cs="Times New Roman"/>
                      <w:color w:val="auto"/>
                      <w:sz w:val="21"/>
                      <w:szCs w:val="21"/>
                      <w:highlight w:val="none"/>
                    </w:rPr>
                  </w:pPr>
                </w:p>
              </w:tc>
              <w:tc>
                <w:tcPr>
                  <w:tcW w:w="436" w:type="dxa"/>
                  <w:vMerge w:val="continue"/>
                  <w:noWrap w:val="0"/>
                  <w:vAlign w:val="center"/>
                </w:tcPr>
                <w:p w14:paraId="316EB5AF">
                  <w:pPr>
                    <w:pStyle w:val="32"/>
                    <w:keepNext w:val="0"/>
                    <w:keepLines w:val="0"/>
                    <w:pageBreakBefore w:val="0"/>
                    <w:widowControl/>
                    <w:shd w:val="clear"/>
                    <w:kinsoku/>
                    <w:wordWrap/>
                    <w:overflowPunct w:val="0"/>
                    <w:topLinePunct w:val="0"/>
                    <w:autoSpaceDE w:val="0"/>
                    <w:autoSpaceDN w:val="0"/>
                    <w:bidi w:val="0"/>
                    <w:adjustRightInd w:val="0"/>
                    <w:snapToGrid w:val="0"/>
                    <w:spacing w:after="0"/>
                    <w:ind w:left="0" w:leftChars="0" w:firstLine="0" w:firstLineChars="0"/>
                    <w:jc w:val="center"/>
                    <w:textAlignment w:val="baseline"/>
                    <w:rPr>
                      <w:rFonts w:hint="default" w:ascii="Times New Roman" w:hAnsi="Times New Roman" w:eastAsia="宋体" w:cs="Times New Roman"/>
                      <w:color w:val="auto"/>
                      <w:sz w:val="21"/>
                      <w:szCs w:val="21"/>
                      <w:highlight w:val="none"/>
                    </w:rPr>
                  </w:pPr>
                </w:p>
              </w:tc>
              <w:tc>
                <w:tcPr>
                  <w:tcW w:w="811" w:type="dxa"/>
                  <w:noWrap w:val="0"/>
                  <w:vAlign w:val="center"/>
                </w:tcPr>
                <w:p w14:paraId="4E053DFD">
                  <w:pPr>
                    <w:pStyle w:val="32"/>
                    <w:keepNext w:val="0"/>
                    <w:keepLines w:val="0"/>
                    <w:pageBreakBefore w:val="0"/>
                    <w:widowControl/>
                    <w:shd w:val="clear"/>
                    <w:kinsoku/>
                    <w:wordWrap/>
                    <w:overflowPunct w:val="0"/>
                    <w:topLinePunct w:val="0"/>
                    <w:autoSpaceDE w:val="0"/>
                    <w:autoSpaceDN w:val="0"/>
                    <w:bidi w:val="0"/>
                    <w:adjustRightInd w:val="0"/>
                    <w:snapToGrid w:val="0"/>
                    <w:spacing w:after="0"/>
                    <w:ind w:left="0" w:lef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bidi="ar"/>
                    </w:rPr>
                    <w:t>COD</w:t>
                  </w:r>
                  <w:r>
                    <w:rPr>
                      <w:rFonts w:hint="default" w:ascii="Times New Roman" w:hAnsi="Times New Roman" w:eastAsia="宋体" w:cs="Times New Roman"/>
                      <w:color w:val="auto"/>
                      <w:kern w:val="0"/>
                      <w:sz w:val="21"/>
                      <w:szCs w:val="21"/>
                      <w:highlight w:val="none"/>
                      <w:vertAlign w:val="subscript"/>
                      <w:lang w:val="en-US" w:eastAsia="zh-CN" w:bidi="ar"/>
                    </w:rPr>
                    <w:t>cr</w:t>
                  </w:r>
                </w:p>
              </w:tc>
              <w:tc>
                <w:tcPr>
                  <w:tcW w:w="885" w:type="dxa"/>
                  <w:noWrap w:val="0"/>
                  <w:vAlign w:val="center"/>
                </w:tcPr>
                <w:p w14:paraId="5916AB6A">
                  <w:pPr>
                    <w:pStyle w:val="32"/>
                    <w:keepNext w:val="0"/>
                    <w:keepLines w:val="0"/>
                    <w:pageBreakBefore w:val="0"/>
                    <w:widowControl/>
                    <w:shd w:val="clear"/>
                    <w:kinsoku/>
                    <w:wordWrap/>
                    <w:overflowPunct w:val="0"/>
                    <w:topLinePunct w:val="0"/>
                    <w:autoSpaceDE w:val="0"/>
                    <w:autoSpaceDN w:val="0"/>
                    <w:bidi w:val="0"/>
                    <w:adjustRightInd w:val="0"/>
                    <w:snapToGrid w:val="0"/>
                    <w:spacing w:after="0"/>
                    <w:ind w:left="0" w:lef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40</w:t>
                  </w:r>
                </w:p>
              </w:tc>
            </w:tr>
            <w:tr w14:paraId="135351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4" w:hRule="atLeast"/>
                <w:jc w:val="center"/>
              </w:trPr>
              <w:tc>
                <w:tcPr>
                  <w:tcW w:w="424" w:type="dxa"/>
                  <w:vMerge w:val="continue"/>
                  <w:noWrap w:val="0"/>
                  <w:vAlign w:val="center"/>
                </w:tcPr>
                <w:p w14:paraId="299F4D24">
                  <w:pPr>
                    <w:pStyle w:val="32"/>
                    <w:keepNext w:val="0"/>
                    <w:keepLines w:val="0"/>
                    <w:pageBreakBefore w:val="0"/>
                    <w:widowControl/>
                    <w:shd w:val="clear"/>
                    <w:kinsoku/>
                    <w:wordWrap/>
                    <w:overflowPunct w:val="0"/>
                    <w:topLinePunct w:val="0"/>
                    <w:autoSpaceDE w:val="0"/>
                    <w:autoSpaceDN w:val="0"/>
                    <w:bidi w:val="0"/>
                    <w:adjustRightInd w:val="0"/>
                    <w:snapToGrid w:val="0"/>
                    <w:spacing w:after="0"/>
                    <w:ind w:left="0" w:lef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p>
              </w:tc>
              <w:tc>
                <w:tcPr>
                  <w:tcW w:w="872" w:type="dxa"/>
                  <w:vMerge w:val="continue"/>
                  <w:noWrap w:val="0"/>
                  <w:vAlign w:val="center"/>
                </w:tcPr>
                <w:p w14:paraId="24E2D1D4">
                  <w:pPr>
                    <w:pStyle w:val="32"/>
                    <w:keepNext w:val="0"/>
                    <w:keepLines w:val="0"/>
                    <w:pageBreakBefore w:val="0"/>
                    <w:widowControl/>
                    <w:shd w:val="clear"/>
                    <w:kinsoku/>
                    <w:wordWrap/>
                    <w:overflowPunct w:val="0"/>
                    <w:topLinePunct w:val="0"/>
                    <w:autoSpaceDE w:val="0"/>
                    <w:autoSpaceDN w:val="0"/>
                    <w:bidi w:val="0"/>
                    <w:adjustRightInd w:val="0"/>
                    <w:snapToGrid w:val="0"/>
                    <w:spacing w:after="0"/>
                    <w:ind w:left="0" w:lef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p>
              </w:tc>
              <w:tc>
                <w:tcPr>
                  <w:tcW w:w="1090" w:type="dxa"/>
                  <w:vMerge w:val="continue"/>
                  <w:noWrap w:val="0"/>
                  <w:vAlign w:val="center"/>
                </w:tcPr>
                <w:p w14:paraId="0A87DB95">
                  <w:pPr>
                    <w:pStyle w:val="32"/>
                    <w:keepNext w:val="0"/>
                    <w:keepLines w:val="0"/>
                    <w:pageBreakBefore w:val="0"/>
                    <w:widowControl/>
                    <w:shd w:val="clear"/>
                    <w:kinsoku/>
                    <w:wordWrap/>
                    <w:overflowPunct w:val="0"/>
                    <w:topLinePunct w:val="0"/>
                    <w:autoSpaceDE w:val="0"/>
                    <w:autoSpaceDN w:val="0"/>
                    <w:bidi w:val="0"/>
                    <w:adjustRightInd w:val="0"/>
                    <w:snapToGrid w:val="0"/>
                    <w:spacing w:after="0"/>
                    <w:ind w:left="0" w:lef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p>
              </w:tc>
              <w:tc>
                <w:tcPr>
                  <w:tcW w:w="994" w:type="dxa"/>
                  <w:vMerge w:val="continue"/>
                  <w:noWrap w:val="0"/>
                  <w:vAlign w:val="center"/>
                </w:tcPr>
                <w:p w14:paraId="541887D0">
                  <w:pPr>
                    <w:pStyle w:val="32"/>
                    <w:keepNext w:val="0"/>
                    <w:keepLines w:val="0"/>
                    <w:pageBreakBefore w:val="0"/>
                    <w:widowControl/>
                    <w:shd w:val="clear"/>
                    <w:kinsoku/>
                    <w:wordWrap/>
                    <w:overflowPunct w:val="0"/>
                    <w:topLinePunct w:val="0"/>
                    <w:autoSpaceDE w:val="0"/>
                    <w:autoSpaceDN w:val="0"/>
                    <w:bidi w:val="0"/>
                    <w:adjustRightInd w:val="0"/>
                    <w:snapToGrid w:val="0"/>
                    <w:spacing w:after="0"/>
                    <w:ind w:left="0" w:lef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p>
              </w:tc>
              <w:tc>
                <w:tcPr>
                  <w:tcW w:w="655" w:type="dxa"/>
                  <w:vMerge w:val="continue"/>
                  <w:noWrap w:val="0"/>
                  <w:vAlign w:val="center"/>
                </w:tcPr>
                <w:p w14:paraId="6F2D084A">
                  <w:pPr>
                    <w:pStyle w:val="32"/>
                    <w:keepNext w:val="0"/>
                    <w:keepLines w:val="0"/>
                    <w:pageBreakBefore w:val="0"/>
                    <w:widowControl/>
                    <w:shd w:val="clear"/>
                    <w:kinsoku/>
                    <w:wordWrap/>
                    <w:overflowPunct w:val="0"/>
                    <w:topLinePunct w:val="0"/>
                    <w:autoSpaceDE w:val="0"/>
                    <w:autoSpaceDN w:val="0"/>
                    <w:bidi w:val="0"/>
                    <w:adjustRightInd w:val="0"/>
                    <w:snapToGrid w:val="0"/>
                    <w:spacing w:after="0"/>
                    <w:ind w:left="0" w:lef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p>
              </w:tc>
              <w:tc>
                <w:tcPr>
                  <w:tcW w:w="424" w:type="dxa"/>
                  <w:vMerge w:val="continue"/>
                  <w:noWrap w:val="0"/>
                  <w:vAlign w:val="center"/>
                </w:tcPr>
                <w:p w14:paraId="1B34C49E">
                  <w:pPr>
                    <w:pStyle w:val="32"/>
                    <w:keepNext w:val="0"/>
                    <w:keepLines w:val="0"/>
                    <w:pageBreakBefore w:val="0"/>
                    <w:widowControl/>
                    <w:shd w:val="clear"/>
                    <w:kinsoku/>
                    <w:wordWrap/>
                    <w:overflowPunct w:val="0"/>
                    <w:topLinePunct w:val="0"/>
                    <w:autoSpaceDE w:val="0"/>
                    <w:autoSpaceDN w:val="0"/>
                    <w:bidi w:val="0"/>
                    <w:adjustRightInd w:val="0"/>
                    <w:snapToGrid w:val="0"/>
                    <w:spacing w:after="0"/>
                    <w:ind w:left="0" w:lef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p>
              </w:tc>
              <w:tc>
                <w:tcPr>
                  <w:tcW w:w="631" w:type="dxa"/>
                  <w:vMerge w:val="continue"/>
                  <w:noWrap w:val="0"/>
                  <w:vAlign w:val="center"/>
                </w:tcPr>
                <w:p w14:paraId="60D1BEFF">
                  <w:pPr>
                    <w:pStyle w:val="32"/>
                    <w:keepNext w:val="0"/>
                    <w:keepLines w:val="0"/>
                    <w:pageBreakBefore w:val="0"/>
                    <w:widowControl/>
                    <w:shd w:val="clear"/>
                    <w:kinsoku/>
                    <w:wordWrap/>
                    <w:overflowPunct w:val="0"/>
                    <w:topLinePunct w:val="0"/>
                    <w:autoSpaceDE w:val="0"/>
                    <w:autoSpaceDN w:val="0"/>
                    <w:bidi w:val="0"/>
                    <w:adjustRightInd w:val="0"/>
                    <w:snapToGrid w:val="0"/>
                    <w:spacing w:after="0"/>
                    <w:ind w:left="0" w:lef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p>
              </w:tc>
              <w:tc>
                <w:tcPr>
                  <w:tcW w:w="1269" w:type="dxa"/>
                  <w:vMerge w:val="continue"/>
                  <w:noWrap w:val="0"/>
                  <w:vAlign w:val="center"/>
                </w:tcPr>
                <w:p w14:paraId="35196DCD">
                  <w:pPr>
                    <w:pStyle w:val="32"/>
                    <w:keepNext w:val="0"/>
                    <w:keepLines w:val="0"/>
                    <w:pageBreakBefore w:val="0"/>
                    <w:widowControl/>
                    <w:shd w:val="clear"/>
                    <w:kinsoku/>
                    <w:wordWrap/>
                    <w:overflowPunct w:val="0"/>
                    <w:topLinePunct w:val="0"/>
                    <w:autoSpaceDE w:val="0"/>
                    <w:autoSpaceDN w:val="0"/>
                    <w:bidi w:val="0"/>
                    <w:adjustRightInd w:val="0"/>
                    <w:snapToGrid w:val="0"/>
                    <w:spacing w:after="0"/>
                    <w:ind w:left="0" w:lef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p>
              </w:tc>
              <w:tc>
                <w:tcPr>
                  <w:tcW w:w="436" w:type="dxa"/>
                  <w:vMerge w:val="continue"/>
                  <w:noWrap w:val="0"/>
                  <w:vAlign w:val="center"/>
                </w:tcPr>
                <w:p w14:paraId="4BE757B4">
                  <w:pPr>
                    <w:pStyle w:val="32"/>
                    <w:keepNext w:val="0"/>
                    <w:keepLines w:val="0"/>
                    <w:pageBreakBefore w:val="0"/>
                    <w:widowControl/>
                    <w:shd w:val="clear"/>
                    <w:kinsoku/>
                    <w:wordWrap/>
                    <w:overflowPunct w:val="0"/>
                    <w:topLinePunct w:val="0"/>
                    <w:autoSpaceDE w:val="0"/>
                    <w:autoSpaceDN w:val="0"/>
                    <w:bidi w:val="0"/>
                    <w:adjustRightInd w:val="0"/>
                    <w:snapToGrid w:val="0"/>
                    <w:spacing w:after="0"/>
                    <w:ind w:left="0" w:lef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p>
              </w:tc>
              <w:tc>
                <w:tcPr>
                  <w:tcW w:w="811" w:type="dxa"/>
                  <w:noWrap w:val="0"/>
                  <w:vAlign w:val="center"/>
                </w:tcPr>
                <w:p w14:paraId="6BD2D26B">
                  <w:pPr>
                    <w:pStyle w:val="32"/>
                    <w:keepNext w:val="0"/>
                    <w:keepLines w:val="0"/>
                    <w:pageBreakBefore w:val="0"/>
                    <w:widowControl/>
                    <w:shd w:val="clear"/>
                    <w:kinsoku/>
                    <w:wordWrap/>
                    <w:overflowPunct w:val="0"/>
                    <w:topLinePunct w:val="0"/>
                    <w:autoSpaceDE w:val="0"/>
                    <w:autoSpaceDN w:val="0"/>
                    <w:bidi w:val="0"/>
                    <w:adjustRightInd w:val="0"/>
                    <w:snapToGrid w:val="0"/>
                    <w:spacing w:after="0"/>
                    <w:ind w:left="0" w:lef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bidi="ar"/>
                    </w:rPr>
                    <w:t>BOD</w:t>
                  </w:r>
                  <w:r>
                    <w:rPr>
                      <w:rFonts w:hint="default" w:ascii="Times New Roman" w:hAnsi="Times New Roman" w:eastAsia="宋体" w:cs="Times New Roman"/>
                      <w:color w:val="auto"/>
                      <w:kern w:val="0"/>
                      <w:sz w:val="21"/>
                      <w:szCs w:val="21"/>
                      <w:highlight w:val="none"/>
                      <w:vertAlign w:val="subscript"/>
                      <w:lang w:val="en-US" w:eastAsia="zh-CN" w:bidi="ar"/>
                    </w:rPr>
                    <w:t>5</w:t>
                  </w:r>
                </w:p>
              </w:tc>
              <w:tc>
                <w:tcPr>
                  <w:tcW w:w="885" w:type="dxa"/>
                  <w:noWrap w:val="0"/>
                  <w:vAlign w:val="center"/>
                </w:tcPr>
                <w:p w14:paraId="1687D617">
                  <w:pPr>
                    <w:pStyle w:val="32"/>
                    <w:keepNext w:val="0"/>
                    <w:keepLines w:val="0"/>
                    <w:pageBreakBefore w:val="0"/>
                    <w:widowControl/>
                    <w:shd w:val="clear"/>
                    <w:kinsoku/>
                    <w:wordWrap/>
                    <w:overflowPunct w:val="0"/>
                    <w:topLinePunct w:val="0"/>
                    <w:autoSpaceDE w:val="0"/>
                    <w:autoSpaceDN w:val="0"/>
                    <w:bidi w:val="0"/>
                    <w:adjustRightInd w:val="0"/>
                    <w:snapToGrid w:val="0"/>
                    <w:spacing w:after="0"/>
                    <w:ind w:left="0" w:lef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10</w:t>
                  </w:r>
                </w:p>
              </w:tc>
            </w:tr>
            <w:tr w14:paraId="2E793D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6" w:hRule="atLeast"/>
                <w:jc w:val="center"/>
              </w:trPr>
              <w:tc>
                <w:tcPr>
                  <w:tcW w:w="424" w:type="dxa"/>
                  <w:vMerge w:val="continue"/>
                  <w:noWrap w:val="0"/>
                  <w:vAlign w:val="center"/>
                </w:tcPr>
                <w:p w14:paraId="5A224FAD">
                  <w:pPr>
                    <w:pStyle w:val="32"/>
                    <w:keepNext w:val="0"/>
                    <w:keepLines w:val="0"/>
                    <w:pageBreakBefore w:val="0"/>
                    <w:widowControl/>
                    <w:shd w:val="clear"/>
                    <w:kinsoku/>
                    <w:wordWrap/>
                    <w:overflowPunct w:val="0"/>
                    <w:topLinePunct w:val="0"/>
                    <w:autoSpaceDE w:val="0"/>
                    <w:autoSpaceDN w:val="0"/>
                    <w:bidi w:val="0"/>
                    <w:adjustRightInd w:val="0"/>
                    <w:snapToGrid w:val="0"/>
                    <w:spacing w:after="0"/>
                    <w:ind w:left="0" w:lef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p>
              </w:tc>
              <w:tc>
                <w:tcPr>
                  <w:tcW w:w="872" w:type="dxa"/>
                  <w:vMerge w:val="continue"/>
                  <w:noWrap w:val="0"/>
                  <w:vAlign w:val="center"/>
                </w:tcPr>
                <w:p w14:paraId="58008424">
                  <w:pPr>
                    <w:pStyle w:val="32"/>
                    <w:keepNext w:val="0"/>
                    <w:keepLines w:val="0"/>
                    <w:pageBreakBefore w:val="0"/>
                    <w:widowControl/>
                    <w:shd w:val="clear"/>
                    <w:kinsoku/>
                    <w:wordWrap/>
                    <w:overflowPunct w:val="0"/>
                    <w:topLinePunct w:val="0"/>
                    <w:autoSpaceDE w:val="0"/>
                    <w:autoSpaceDN w:val="0"/>
                    <w:bidi w:val="0"/>
                    <w:adjustRightInd w:val="0"/>
                    <w:snapToGrid w:val="0"/>
                    <w:spacing w:after="0"/>
                    <w:ind w:left="0" w:lef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p>
              </w:tc>
              <w:tc>
                <w:tcPr>
                  <w:tcW w:w="1090" w:type="dxa"/>
                  <w:vMerge w:val="continue"/>
                  <w:noWrap w:val="0"/>
                  <w:vAlign w:val="center"/>
                </w:tcPr>
                <w:p w14:paraId="19CCB5CF">
                  <w:pPr>
                    <w:pStyle w:val="32"/>
                    <w:keepNext w:val="0"/>
                    <w:keepLines w:val="0"/>
                    <w:pageBreakBefore w:val="0"/>
                    <w:widowControl/>
                    <w:shd w:val="clear"/>
                    <w:kinsoku/>
                    <w:wordWrap/>
                    <w:overflowPunct w:val="0"/>
                    <w:topLinePunct w:val="0"/>
                    <w:autoSpaceDE w:val="0"/>
                    <w:autoSpaceDN w:val="0"/>
                    <w:bidi w:val="0"/>
                    <w:adjustRightInd w:val="0"/>
                    <w:snapToGrid w:val="0"/>
                    <w:spacing w:after="0"/>
                    <w:ind w:left="0" w:lef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p>
              </w:tc>
              <w:tc>
                <w:tcPr>
                  <w:tcW w:w="994" w:type="dxa"/>
                  <w:vMerge w:val="continue"/>
                  <w:noWrap w:val="0"/>
                  <w:vAlign w:val="center"/>
                </w:tcPr>
                <w:p w14:paraId="1E9E2C5E">
                  <w:pPr>
                    <w:pStyle w:val="32"/>
                    <w:keepNext w:val="0"/>
                    <w:keepLines w:val="0"/>
                    <w:pageBreakBefore w:val="0"/>
                    <w:widowControl/>
                    <w:shd w:val="clear"/>
                    <w:kinsoku/>
                    <w:wordWrap/>
                    <w:overflowPunct w:val="0"/>
                    <w:topLinePunct w:val="0"/>
                    <w:autoSpaceDE w:val="0"/>
                    <w:autoSpaceDN w:val="0"/>
                    <w:bidi w:val="0"/>
                    <w:adjustRightInd w:val="0"/>
                    <w:snapToGrid w:val="0"/>
                    <w:spacing w:after="0"/>
                    <w:ind w:left="0" w:lef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p>
              </w:tc>
              <w:tc>
                <w:tcPr>
                  <w:tcW w:w="655" w:type="dxa"/>
                  <w:vMerge w:val="continue"/>
                  <w:noWrap w:val="0"/>
                  <w:vAlign w:val="center"/>
                </w:tcPr>
                <w:p w14:paraId="7C394BAC">
                  <w:pPr>
                    <w:pStyle w:val="32"/>
                    <w:keepNext w:val="0"/>
                    <w:keepLines w:val="0"/>
                    <w:pageBreakBefore w:val="0"/>
                    <w:widowControl/>
                    <w:shd w:val="clear"/>
                    <w:kinsoku/>
                    <w:wordWrap/>
                    <w:overflowPunct w:val="0"/>
                    <w:topLinePunct w:val="0"/>
                    <w:autoSpaceDE w:val="0"/>
                    <w:autoSpaceDN w:val="0"/>
                    <w:bidi w:val="0"/>
                    <w:adjustRightInd w:val="0"/>
                    <w:snapToGrid w:val="0"/>
                    <w:spacing w:after="0"/>
                    <w:ind w:left="0" w:lef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p>
              </w:tc>
              <w:tc>
                <w:tcPr>
                  <w:tcW w:w="424" w:type="dxa"/>
                  <w:vMerge w:val="continue"/>
                  <w:noWrap w:val="0"/>
                  <w:vAlign w:val="center"/>
                </w:tcPr>
                <w:p w14:paraId="5602855B">
                  <w:pPr>
                    <w:pStyle w:val="32"/>
                    <w:keepNext w:val="0"/>
                    <w:keepLines w:val="0"/>
                    <w:pageBreakBefore w:val="0"/>
                    <w:widowControl/>
                    <w:shd w:val="clear"/>
                    <w:kinsoku/>
                    <w:wordWrap/>
                    <w:overflowPunct w:val="0"/>
                    <w:topLinePunct w:val="0"/>
                    <w:autoSpaceDE w:val="0"/>
                    <w:autoSpaceDN w:val="0"/>
                    <w:bidi w:val="0"/>
                    <w:adjustRightInd w:val="0"/>
                    <w:snapToGrid w:val="0"/>
                    <w:spacing w:after="0"/>
                    <w:ind w:left="0" w:lef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p>
              </w:tc>
              <w:tc>
                <w:tcPr>
                  <w:tcW w:w="631" w:type="dxa"/>
                  <w:vMerge w:val="continue"/>
                  <w:noWrap w:val="0"/>
                  <w:vAlign w:val="center"/>
                </w:tcPr>
                <w:p w14:paraId="721E2C48">
                  <w:pPr>
                    <w:pStyle w:val="32"/>
                    <w:keepNext w:val="0"/>
                    <w:keepLines w:val="0"/>
                    <w:pageBreakBefore w:val="0"/>
                    <w:widowControl/>
                    <w:shd w:val="clear"/>
                    <w:kinsoku/>
                    <w:wordWrap/>
                    <w:overflowPunct w:val="0"/>
                    <w:topLinePunct w:val="0"/>
                    <w:autoSpaceDE w:val="0"/>
                    <w:autoSpaceDN w:val="0"/>
                    <w:bidi w:val="0"/>
                    <w:adjustRightInd w:val="0"/>
                    <w:snapToGrid w:val="0"/>
                    <w:spacing w:after="0"/>
                    <w:ind w:left="0" w:lef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p>
              </w:tc>
              <w:tc>
                <w:tcPr>
                  <w:tcW w:w="1269" w:type="dxa"/>
                  <w:vMerge w:val="continue"/>
                  <w:noWrap w:val="0"/>
                  <w:vAlign w:val="center"/>
                </w:tcPr>
                <w:p w14:paraId="43A1D61C">
                  <w:pPr>
                    <w:pStyle w:val="32"/>
                    <w:keepNext w:val="0"/>
                    <w:keepLines w:val="0"/>
                    <w:pageBreakBefore w:val="0"/>
                    <w:widowControl/>
                    <w:shd w:val="clear"/>
                    <w:kinsoku/>
                    <w:wordWrap/>
                    <w:overflowPunct w:val="0"/>
                    <w:topLinePunct w:val="0"/>
                    <w:autoSpaceDE w:val="0"/>
                    <w:autoSpaceDN w:val="0"/>
                    <w:bidi w:val="0"/>
                    <w:adjustRightInd w:val="0"/>
                    <w:snapToGrid w:val="0"/>
                    <w:spacing w:after="0"/>
                    <w:ind w:left="0" w:lef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p>
              </w:tc>
              <w:tc>
                <w:tcPr>
                  <w:tcW w:w="436" w:type="dxa"/>
                  <w:vMerge w:val="continue"/>
                  <w:noWrap w:val="0"/>
                  <w:vAlign w:val="center"/>
                </w:tcPr>
                <w:p w14:paraId="43FFC33A">
                  <w:pPr>
                    <w:pStyle w:val="32"/>
                    <w:keepNext w:val="0"/>
                    <w:keepLines w:val="0"/>
                    <w:pageBreakBefore w:val="0"/>
                    <w:widowControl/>
                    <w:shd w:val="clear"/>
                    <w:kinsoku/>
                    <w:wordWrap/>
                    <w:overflowPunct w:val="0"/>
                    <w:topLinePunct w:val="0"/>
                    <w:autoSpaceDE w:val="0"/>
                    <w:autoSpaceDN w:val="0"/>
                    <w:bidi w:val="0"/>
                    <w:adjustRightInd w:val="0"/>
                    <w:snapToGrid w:val="0"/>
                    <w:spacing w:after="0"/>
                    <w:ind w:left="0" w:lef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p>
              </w:tc>
              <w:tc>
                <w:tcPr>
                  <w:tcW w:w="811" w:type="dxa"/>
                  <w:noWrap w:val="0"/>
                  <w:vAlign w:val="center"/>
                </w:tcPr>
                <w:p w14:paraId="51C1F59D">
                  <w:pPr>
                    <w:pStyle w:val="32"/>
                    <w:keepNext w:val="0"/>
                    <w:keepLines w:val="0"/>
                    <w:pageBreakBefore w:val="0"/>
                    <w:widowControl/>
                    <w:shd w:val="clear"/>
                    <w:kinsoku/>
                    <w:wordWrap/>
                    <w:overflowPunct w:val="0"/>
                    <w:topLinePunct w:val="0"/>
                    <w:autoSpaceDE w:val="0"/>
                    <w:autoSpaceDN w:val="0"/>
                    <w:bidi w:val="0"/>
                    <w:adjustRightInd w:val="0"/>
                    <w:snapToGrid w:val="0"/>
                    <w:spacing w:after="0"/>
                    <w:ind w:left="0" w:lef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bidi="ar"/>
                    </w:rPr>
                    <w:t>SS</w:t>
                  </w:r>
                </w:p>
              </w:tc>
              <w:tc>
                <w:tcPr>
                  <w:tcW w:w="885" w:type="dxa"/>
                  <w:noWrap w:val="0"/>
                  <w:vAlign w:val="center"/>
                </w:tcPr>
                <w:p w14:paraId="399DF7B6">
                  <w:pPr>
                    <w:pStyle w:val="32"/>
                    <w:keepNext w:val="0"/>
                    <w:keepLines w:val="0"/>
                    <w:pageBreakBefore w:val="0"/>
                    <w:widowControl/>
                    <w:shd w:val="clear"/>
                    <w:kinsoku/>
                    <w:wordWrap/>
                    <w:overflowPunct w:val="0"/>
                    <w:topLinePunct w:val="0"/>
                    <w:autoSpaceDE w:val="0"/>
                    <w:autoSpaceDN w:val="0"/>
                    <w:bidi w:val="0"/>
                    <w:adjustRightInd w:val="0"/>
                    <w:snapToGrid w:val="0"/>
                    <w:spacing w:after="0"/>
                    <w:ind w:left="0" w:lef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10</w:t>
                  </w:r>
                </w:p>
              </w:tc>
            </w:tr>
            <w:tr w14:paraId="784B3B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9" w:hRule="atLeast"/>
                <w:jc w:val="center"/>
              </w:trPr>
              <w:tc>
                <w:tcPr>
                  <w:tcW w:w="424" w:type="dxa"/>
                  <w:vMerge w:val="continue"/>
                  <w:noWrap w:val="0"/>
                  <w:vAlign w:val="center"/>
                </w:tcPr>
                <w:p w14:paraId="1D07E4EA">
                  <w:pPr>
                    <w:pStyle w:val="32"/>
                    <w:keepNext w:val="0"/>
                    <w:keepLines w:val="0"/>
                    <w:pageBreakBefore w:val="0"/>
                    <w:widowControl/>
                    <w:shd w:val="clear"/>
                    <w:kinsoku/>
                    <w:wordWrap/>
                    <w:overflowPunct w:val="0"/>
                    <w:topLinePunct w:val="0"/>
                    <w:autoSpaceDE w:val="0"/>
                    <w:autoSpaceDN w:val="0"/>
                    <w:bidi w:val="0"/>
                    <w:adjustRightInd w:val="0"/>
                    <w:snapToGrid w:val="0"/>
                    <w:spacing w:after="0"/>
                    <w:ind w:left="0" w:lef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p>
              </w:tc>
              <w:tc>
                <w:tcPr>
                  <w:tcW w:w="872" w:type="dxa"/>
                  <w:vMerge w:val="continue"/>
                  <w:noWrap w:val="0"/>
                  <w:vAlign w:val="center"/>
                </w:tcPr>
                <w:p w14:paraId="576B2C97">
                  <w:pPr>
                    <w:pStyle w:val="32"/>
                    <w:keepNext w:val="0"/>
                    <w:keepLines w:val="0"/>
                    <w:pageBreakBefore w:val="0"/>
                    <w:widowControl/>
                    <w:shd w:val="clear"/>
                    <w:kinsoku/>
                    <w:wordWrap/>
                    <w:overflowPunct w:val="0"/>
                    <w:topLinePunct w:val="0"/>
                    <w:autoSpaceDE w:val="0"/>
                    <w:autoSpaceDN w:val="0"/>
                    <w:bidi w:val="0"/>
                    <w:adjustRightInd w:val="0"/>
                    <w:snapToGrid w:val="0"/>
                    <w:spacing w:after="0"/>
                    <w:ind w:left="0" w:lef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p>
              </w:tc>
              <w:tc>
                <w:tcPr>
                  <w:tcW w:w="1090" w:type="dxa"/>
                  <w:vMerge w:val="continue"/>
                  <w:noWrap w:val="0"/>
                  <w:vAlign w:val="center"/>
                </w:tcPr>
                <w:p w14:paraId="5F8931AD">
                  <w:pPr>
                    <w:pStyle w:val="32"/>
                    <w:keepNext w:val="0"/>
                    <w:keepLines w:val="0"/>
                    <w:pageBreakBefore w:val="0"/>
                    <w:widowControl/>
                    <w:shd w:val="clear"/>
                    <w:kinsoku/>
                    <w:wordWrap/>
                    <w:overflowPunct w:val="0"/>
                    <w:topLinePunct w:val="0"/>
                    <w:autoSpaceDE w:val="0"/>
                    <w:autoSpaceDN w:val="0"/>
                    <w:bidi w:val="0"/>
                    <w:adjustRightInd w:val="0"/>
                    <w:snapToGrid w:val="0"/>
                    <w:spacing w:after="0"/>
                    <w:ind w:left="0" w:lef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p>
              </w:tc>
              <w:tc>
                <w:tcPr>
                  <w:tcW w:w="994" w:type="dxa"/>
                  <w:vMerge w:val="continue"/>
                  <w:noWrap w:val="0"/>
                  <w:vAlign w:val="center"/>
                </w:tcPr>
                <w:p w14:paraId="2FAEA813">
                  <w:pPr>
                    <w:pStyle w:val="32"/>
                    <w:keepNext w:val="0"/>
                    <w:keepLines w:val="0"/>
                    <w:pageBreakBefore w:val="0"/>
                    <w:widowControl/>
                    <w:shd w:val="clear"/>
                    <w:kinsoku/>
                    <w:wordWrap/>
                    <w:overflowPunct w:val="0"/>
                    <w:topLinePunct w:val="0"/>
                    <w:autoSpaceDE w:val="0"/>
                    <w:autoSpaceDN w:val="0"/>
                    <w:bidi w:val="0"/>
                    <w:adjustRightInd w:val="0"/>
                    <w:snapToGrid w:val="0"/>
                    <w:spacing w:after="0"/>
                    <w:ind w:left="0" w:lef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p>
              </w:tc>
              <w:tc>
                <w:tcPr>
                  <w:tcW w:w="655" w:type="dxa"/>
                  <w:vMerge w:val="continue"/>
                  <w:noWrap w:val="0"/>
                  <w:vAlign w:val="center"/>
                </w:tcPr>
                <w:p w14:paraId="5FE7C7F0">
                  <w:pPr>
                    <w:pStyle w:val="32"/>
                    <w:keepNext w:val="0"/>
                    <w:keepLines w:val="0"/>
                    <w:pageBreakBefore w:val="0"/>
                    <w:widowControl/>
                    <w:shd w:val="clear"/>
                    <w:kinsoku/>
                    <w:wordWrap/>
                    <w:overflowPunct w:val="0"/>
                    <w:topLinePunct w:val="0"/>
                    <w:autoSpaceDE w:val="0"/>
                    <w:autoSpaceDN w:val="0"/>
                    <w:bidi w:val="0"/>
                    <w:adjustRightInd w:val="0"/>
                    <w:snapToGrid w:val="0"/>
                    <w:spacing w:after="0"/>
                    <w:ind w:left="0" w:lef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p>
              </w:tc>
              <w:tc>
                <w:tcPr>
                  <w:tcW w:w="424" w:type="dxa"/>
                  <w:vMerge w:val="continue"/>
                  <w:noWrap w:val="0"/>
                  <w:vAlign w:val="center"/>
                </w:tcPr>
                <w:p w14:paraId="48A85AD9">
                  <w:pPr>
                    <w:pStyle w:val="32"/>
                    <w:keepNext w:val="0"/>
                    <w:keepLines w:val="0"/>
                    <w:pageBreakBefore w:val="0"/>
                    <w:widowControl/>
                    <w:shd w:val="clear"/>
                    <w:kinsoku/>
                    <w:wordWrap/>
                    <w:overflowPunct w:val="0"/>
                    <w:topLinePunct w:val="0"/>
                    <w:autoSpaceDE w:val="0"/>
                    <w:autoSpaceDN w:val="0"/>
                    <w:bidi w:val="0"/>
                    <w:adjustRightInd w:val="0"/>
                    <w:snapToGrid w:val="0"/>
                    <w:spacing w:after="0"/>
                    <w:ind w:left="0" w:lef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p>
              </w:tc>
              <w:tc>
                <w:tcPr>
                  <w:tcW w:w="631" w:type="dxa"/>
                  <w:vMerge w:val="continue"/>
                  <w:noWrap w:val="0"/>
                  <w:vAlign w:val="center"/>
                </w:tcPr>
                <w:p w14:paraId="67557027">
                  <w:pPr>
                    <w:pStyle w:val="32"/>
                    <w:keepNext w:val="0"/>
                    <w:keepLines w:val="0"/>
                    <w:pageBreakBefore w:val="0"/>
                    <w:widowControl/>
                    <w:shd w:val="clear"/>
                    <w:kinsoku/>
                    <w:wordWrap/>
                    <w:overflowPunct w:val="0"/>
                    <w:topLinePunct w:val="0"/>
                    <w:autoSpaceDE w:val="0"/>
                    <w:autoSpaceDN w:val="0"/>
                    <w:bidi w:val="0"/>
                    <w:adjustRightInd w:val="0"/>
                    <w:snapToGrid w:val="0"/>
                    <w:spacing w:after="0"/>
                    <w:ind w:left="0" w:lef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p>
              </w:tc>
              <w:tc>
                <w:tcPr>
                  <w:tcW w:w="1269" w:type="dxa"/>
                  <w:vMerge w:val="continue"/>
                  <w:noWrap w:val="0"/>
                  <w:vAlign w:val="center"/>
                </w:tcPr>
                <w:p w14:paraId="0CB22E30">
                  <w:pPr>
                    <w:pStyle w:val="32"/>
                    <w:keepNext w:val="0"/>
                    <w:keepLines w:val="0"/>
                    <w:pageBreakBefore w:val="0"/>
                    <w:widowControl/>
                    <w:shd w:val="clear"/>
                    <w:kinsoku/>
                    <w:wordWrap/>
                    <w:overflowPunct w:val="0"/>
                    <w:topLinePunct w:val="0"/>
                    <w:autoSpaceDE w:val="0"/>
                    <w:autoSpaceDN w:val="0"/>
                    <w:bidi w:val="0"/>
                    <w:adjustRightInd w:val="0"/>
                    <w:snapToGrid w:val="0"/>
                    <w:spacing w:after="0"/>
                    <w:ind w:left="0" w:lef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p>
              </w:tc>
              <w:tc>
                <w:tcPr>
                  <w:tcW w:w="436" w:type="dxa"/>
                  <w:vMerge w:val="continue"/>
                  <w:noWrap w:val="0"/>
                  <w:vAlign w:val="center"/>
                </w:tcPr>
                <w:p w14:paraId="30807D96">
                  <w:pPr>
                    <w:pStyle w:val="32"/>
                    <w:keepNext w:val="0"/>
                    <w:keepLines w:val="0"/>
                    <w:pageBreakBefore w:val="0"/>
                    <w:widowControl/>
                    <w:shd w:val="clear"/>
                    <w:kinsoku/>
                    <w:wordWrap/>
                    <w:overflowPunct w:val="0"/>
                    <w:topLinePunct w:val="0"/>
                    <w:autoSpaceDE w:val="0"/>
                    <w:autoSpaceDN w:val="0"/>
                    <w:bidi w:val="0"/>
                    <w:adjustRightInd w:val="0"/>
                    <w:snapToGrid w:val="0"/>
                    <w:spacing w:after="0"/>
                    <w:ind w:left="0" w:lef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p>
              </w:tc>
              <w:tc>
                <w:tcPr>
                  <w:tcW w:w="811" w:type="dxa"/>
                  <w:noWrap w:val="0"/>
                  <w:vAlign w:val="center"/>
                </w:tcPr>
                <w:p w14:paraId="38FA36DB">
                  <w:pPr>
                    <w:pStyle w:val="32"/>
                    <w:keepNext w:val="0"/>
                    <w:keepLines w:val="0"/>
                    <w:pageBreakBefore w:val="0"/>
                    <w:widowControl/>
                    <w:shd w:val="clear"/>
                    <w:kinsoku/>
                    <w:wordWrap/>
                    <w:overflowPunct w:val="0"/>
                    <w:topLinePunct w:val="0"/>
                    <w:autoSpaceDE w:val="0"/>
                    <w:autoSpaceDN w:val="0"/>
                    <w:bidi w:val="0"/>
                    <w:adjustRightInd w:val="0"/>
                    <w:snapToGrid w:val="0"/>
                    <w:spacing w:after="0"/>
                    <w:ind w:left="0" w:lef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bidi="ar"/>
                    </w:rPr>
                    <w:t>氨氮</w:t>
                  </w:r>
                </w:p>
              </w:tc>
              <w:tc>
                <w:tcPr>
                  <w:tcW w:w="885" w:type="dxa"/>
                  <w:noWrap w:val="0"/>
                  <w:vAlign w:val="center"/>
                </w:tcPr>
                <w:p w14:paraId="4ED9A267">
                  <w:pPr>
                    <w:pStyle w:val="32"/>
                    <w:keepNext w:val="0"/>
                    <w:keepLines w:val="0"/>
                    <w:pageBreakBefore w:val="0"/>
                    <w:widowControl/>
                    <w:shd w:val="clear"/>
                    <w:kinsoku/>
                    <w:wordWrap/>
                    <w:overflowPunct w:val="0"/>
                    <w:topLinePunct w:val="0"/>
                    <w:autoSpaceDE w:val="0"/>
                    <w:autoSpaceDN w:val="0"/>
                    <w:bidi w:val="0"/>
                    <w:adjustRightInd w:val="0"/>
                    <w:snapToGrid w:val="0"/>
                    <w:spacing w:after="0"/>
                    <w:ind w:left="0" w:lef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w:t>
                  </w:r>
                </w:p>
              </w:tc>
            </w:tr>
          </w:tbl>
          <w:p w14:paraId="67625C9A">
            <w:pPr>
              <w:pStyle w:val="24"/>
              <w:keepNext w:val="0"/>
              <w:keepLines w:val="0"/>
              <w:pageBreakBefore w:val="0"/>
              <w:widowControl w:val="0"/>
              <w:numPr>
                <w:ilvl w:val="0"/>
                <w:numId w:val="0"/>
              </w:numPr>
              <w:shd w:val="clear"/>
              <w:kinsoku/>
              <w:wordWrap/>
              <w:overflowPunct/>
              <w:topLinePunct w:val="0"/>
              <w:autoSpaceDE/>
              <w:autoSpaceDN/>
              <w:bidi w:val="0"/>
              <w:adjustRightInd/>
              <w:snapToGrid w:val="0"/>
              <w:spacing w:after="0" w:line="240" w:lineRule="auto"/>
              <w:ind w:left="0" w:leftChars="0" w:firstLine="0" w:firstLineChars="0"/>
              <w:jc w:val="center"/>
              <w:textAlignment w:val="auto"/>
              <w:rPr>
                <w:rFonts w:hint="default" w:ascii="Times New Roman" w:hAnsi="Times New Roman" w:eastAsia="宋体" w:cs="Times New Roman"/>
                <w:b/>
                <w:color w:val="auto"/>
                <w:kern w:val="2"/>
                <w:sz w:val="24"/>
                <w:szCs w:val="24"/>
                <w:highlight w:val="none"/>
                <w:lang w:val="en-US" w:eastAsia="zh-CN" w:bidi="ar-SA"/>
              </w:rPr>
            </w:pPr>
          </w:p>
          <w:p w14:paraId="45B77E84">
            <w:pPr>
              <w:pStyle w:val="24"/>
              <w:keepNext w:val="0"/>
              <w:keepLines w:val="0"/>
              <w:pageBreakBefore w:val="0"/>
              <w:widowControl w:val="0"/>
              <w:numPr>
                <w:ilvl w:val="0"/>
                <w:numId w:val="0"/>
              </w:numPr>
              <w:shd w:val="clear"/>
              <w:kinsoku/>
              <w:wordWrap/>
              <w:overflowPunct/>
              <w:topLinePunct w:val="0"/>
              <w:autoSpaceDE/>
              <w:autoSpaceDN/>
              <w:bidi w:val="0"/>
              <w:adjustRightInd/>
              <w:snapToGrid w:val="0"/>
              <w:spacing w:after="0" w:line="360" w:lineRule="auto"/>
              <w:jc w:val="center"/>
              <w:textAlignment w:val="auto"/>
              <w:rPr>
                <w:rFonts w:hint="default" w:ascii="Times New Roman" w:hAnsi="Times New Roman" w:eastAsia="宋体" w:cs="Times New Roman"/>
                <w:b/>
                <w:color w:val="auto"/>
                <w:kern w:val="2"/>
                <w:sz w:val="24"/>
                <w:szCs w:val="24"/>
                <w:highlight w:val="none"/>
                <w:lang w:val="en-US" w:eastAsia="zh-CN" w:bidi="ar-SA"/>
              </w:rPr>
            </w:pPr>
            <w:r>
              <w:rPr>
                <w:rFonts w:hint="default" w:ascii="Times New Roman" w:hAnsi="Times New Roman" w:eastAsia="宋体" w:cs="Times New Roman"/>
                <w:b/>
                <w:color w:val="auto"/>
                <w:kern w:val="2"/>
                <w:sz w:val="24"/>
                <w:szCs w:val="24"/>
                <w:highlight w:val="none"/>
                <w:lang w:val="en-US" w:eastAsia="zh-CN" w:bidi="ar-SA"/>
              </w:rPr>
              <w:t>表3</w:t>
            </w:r>
            <w:r>
              <w:rPr>
                <w:rFonts w:hint="eastAsia" w:cs="Times New Roman"/>
                <w:b/>
                <w:color w:val="auto"/>
                <w:kern w:val="2"/>
                <w:sz w:val="24"/>
                <w:szCs w:val="24"/>
                <w:highlight w:val="none"/>
                <w:lang w:val="en-US" w:eastAsia="zh-CN" w:bidi="ar-SA"/>
              </w:rPr>
              <w:t>7</w:t>
            </w:r>
            <w:r>
              <w:rPr>
                <w:rFonts w:hint="default" w:ascii="Times New Roman" w:hAnsi="Times New Roman" w:eastAsia="宋体" w:cs="Times New Roman"/>
                <w:b/>
                <w:color w:val="auto"/>
                <w:kern w:val="2"/>
                <w:sz w:val="24"/>
                <w:szCs w:val="24"/>
                <w:highlight w:val="none"/>
                <w:lang w:val="en-US" w:eastAsia="zh-CN" w:bidi="ar-SA"/>
              </w:rPr>
              <w:t>废水污染物排放执行标准</w:t>
            </w:r>
          </w:p>
          <w:tbl>
            <w:tblPr>
              <w:tblStyle w:val="33"/>
              <w:tblW w:w="6897"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881"/>
              <w:gridCol w:w="926"/>
              <w:gridCol w:w="1190"/>
              <w:gridCol w:w="1725"/>
              <w:gridCol w:w="2175"/>
            </w:tblGrid>
            <w:tr w14:paraId="643CBB8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7" w:hRule="atLeast"/>
                <w:jc w:val="center"/>
              </w:trPr>
              <w:tc>
                <w:tcPr>
                  <w:tcW w:w="881"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0AA9DF78">
                  <w:pPr>
                    <w:keepNext w:val="0"/>
                    <w:keepLines w:val="0"/>
                    <w:widowControl/>
                    <w:suppressLineNumbers w:val="0"/>
                    <w:shd w:val="clear"/>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排放口编号</w:t>
                  </w:r>
                </w:p>
              </w:tc>
              <w:tc>
                <w:tcPr>
                  <w:tcW w:w="926"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772C0C6B">
                  <w:pPr>
                    <w:keepNext w:val="0"/>
                    <w:keepLines w:val="0"/>
                    <w:widowControl/>
                    <w:suppressLineNumbers w:val="0"/>
                    <w:shd w:val="clear"/>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污染物种类</w:t>
                  </w:r>
                </w:p>
              </w:tc>
              <w:tc>
                <w:tcPr>
                  <w:tcW w:w="5090" w:type="dxa"/>
                  <w:gridSpan w:val="3"/>
                  <w:tcBorders>
                    <w:top w:val="single" w:color="000000" w:sz="8" w:space="0"/>
                    <w:left w:val="single" w:color="000000" w:sz="8" w:space="0"/>
                    <w:bottom w:val="single" w:color="000000" w:sz="8" w:space="0"/>
                    <w:right w:val="single" w:color="000000" w:sz="8" w:space="0"/>
                  </w:tcBorders>
                  <w:shd w:val="clear" w:color="auto" w:fill="auto"/>
                  <w:vAlign w:val="center"/>
                </w:tcPr>
                <w:p w14:paraId="770AD166">
                  <w:pPr>
                    <w:keepNext w:val="0"/>
                    <w:keepLines w:val="0"/>
                    <w:widowControl/>
                    <w:suppressLineNumbers w:val="0"/>
                    <w:shd w:val="clear"/>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bidi="ar"/>
                    </w:rPr>
                  </w:pPr>
                  <w:r>
                    <w:rPr>
                      <w:rFonts w:hint="default" w:ascii="Times New Roman" w:hAnsi="Times New Roman" w:eastAsia="宋体" w:cs="Times New Roman"/>
                      <w:b/>
                      <w:bCs/>
                      <w:i w:val="0"/>
                      <w:iCs w:val="0"/>
                      <w:color w:val="auto"/>
                      <w:kern w:val="0"/>
                      <w:sz w:val="21"/>
                      <w:szCs w:val="21"/>
                      <w:highlight w:val="none"/>
                      <w:u w:val="none"/>
                      <w:lang w:val="en-US" w:eastAsia="zh-CN" w:bidi="ar"/>
                    </w:rPr>
                    <w:t>国家或地方污染物排放标准</w:t>
                  </w:r>
                </w:p>
              </w:tc>
            </w:tr>
            <w:tr w14:paraId="2B19ABD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4" w:hRule="atLeast"/>
                <w:jc w:val="center"/>
              </w:trPr>
              <w:tc>
                <w:tcPr>
                  <w:tcW w:w="881"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67F1CEF2">
                  <w:pPr>
                    <w:shd w:val="clear"/>
                    <w:jc w:val="center"/>
                    <w:rPr>
                      <w:rFonts w:hint="default" w:ascii="Times New Roman" w:hAnsi="Times New Roman" w:eastAsia="宋体" w:cs="Times New Roman"/>
                      <w:b/>
                      <w:bCs/>
                      <w:i w:val="0"/>
                      <w:iCs w:val="0"/>
                      <w:color w:val="auto"/>
                      <w:sz w:val="21"/>
                      <w:szCs w:val="21"/>
                      <w:highlight w:val="none"/>
                      <w:u w:val="none"/>
                    </w:rPr>
                  </w:pPr>
                </w:p>
              </w:tc>
              <w:tc>
                <w:tcPr>
                  <w:tcW w:w="926"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1EFEE21D">
                  <w:pPr>
                    <w:shd w:val="clear"/>
                    <w:jc w:val="center"/>
                    <w:rPr>
                      <w:rFonts w:hint="default" w:ascii="Times New Roman" w:hAnsi="Times New Roman" w:eastAsia="宋体" w:cs="Times New Roman"/>
                      <w:b/>
                      <w:bCs/>
                      <w:i w:val="0"/>
                      <w:iCs w:val="0"/>
                      <w:color w:val="auto"/>
                      <w:sz w:val="21"/>
                      <w:szCs w:val="21"/>
                      <w:highlight w:val="none"/>
                      <w:u w:val="none"/>
                    </w:rPr>
                  </w:pPr>
                </w:p>
              </w:tc>
              <w:tc>
                <w:tcPr>
                  <w:tcW w:w="1190" w:type="dxa"/>
                  <w:tcBorders>
                    <w:top w:val="nil"/>
                    <w:left w:val="single" w:color="000000" w:sz="8" w:space="0"/>
                    <w:bottom w:val="single" w:color="000000" w:sz="8" w:space="0"/>
                    <w:right w:val="single" w:color="000000" w:sz="8" w:space="0"/>
                  </w:tcBorders>
                  <w:shd w:val="clear" w:color="auto" w:fill="auto"/>
                  <w:vAlign w:val="center"/>
                </w:tcPr>
                <w:p w14:paraId="3EFCDD9F">
                  <w:pPr>
                    <w:keepNext w:val="0"/>
                    <w:keepLines w:val="0"/>
                    <w:widowControl/>
                    <w:suppressLineNumbers w:val="0"/>
                    <w:shd w:val="clear"/>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名称</w:t>
                  </w:r>
                </w:p>
              </w:tc>
              <w:tc>
                <w:tcPr>
                  <w:tcW w:w="1725" w:type="dxa"/>
                  <w:tcBorders>
                    <w:top w:val="single" w:color="000000" w:sz="8" w:space="0"/>
                    <w:left w:val="single" w:color="000000" w:sz="8" w:space="0"/>
                    <w:bottom w:val="single" w:color="000000" w:sz="8" w:space="0"/>
                    <w:right w:val="single" w:color="000000" w:sz="8" w:space="0"/>
                  </w:tcBorders>
                  <w:shd w:val="clear" w:color="auto" w:fill="auto"/>
                  <w:vAlign w:val="center"/>
                </w:tcPr>
                <w:p w14:paraId="0C7D00DF">
                  <w:pPr>
                    <w:keepNext w:val="0"/>
                    <w:keepLines w:val="0"/>
                    <w:widowControl/>
                    <w:suppressLineNumbers w:val="0"/>
                    <w:shd w:val="clear"/>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浓度限值</w:t>
                  </w:r>
                </w:p>
              </w:tc>
              <w:tc>
                <w:tcPr>
                  <w:tcW w:w="2175" w:type="dxa"/>
                  <w:tcBorders>
                    <w:top w:val="single" w:color="000000" w:sz="8" w:space="0"/>
                    <w:left w:val="single" w:color="000000" w:sz="8" w:space="0"/>
                    <w:bottom w:val="single" w:color="000000" w:sz="8" w:space="0"/>
                    <w:right w:val="single" w:color="000000" w:sz="8" w:space="0"/>
                  </w:tcBorders>
                  <w:shd w:val="clear" w:color="auto" w:fill="auto"/>
                  <w:vAlign w:val="center"/>
                </w:tcPr>
                <w:p w14:paraId="3773ADB3">
                  <w:pPr>
                    <w:keepNext/>
                    <w:keepLines w:val="0"/>
                    <w:pageBreakBefore/>
                    <w:widowControl w:val="0"/>
                    <w:suppressLineNumbers w:val="0"/>
                    <w:shd w:val="clear"/>
                    <w:kinsoku/>
                    <w:wordWrap w:val="0"/>
                    <w:overflowPunct/>
                    <w:topLinePunct w:val="0"/>
                    <w:bidi w:val="0"/>
                    <w:spacing w:line="240" w:lineRule="auto"/>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bidi="ar"/>
                    </w:rPr>
                  </w:pPr>
                  <w:r>
                    <w:rPr>
                      <w:rFonts w:hint="default" w:ascii="Times New Roman" w:hAnsi="Times New Roman" w:eastAsia="宋体" w:cs="Times New Roman"/>
                      <w:b/>
                      <w:bCs/>
                      <w:i w:val="0"/>
                      <w:iCs w:val="0"/>
                      <w:color w:val="auto"/>
                      <w:kern w:val="0"/>
                      <w:sz w:val="21"/>
                      <w:szCs w:val="21"/>
                      <w:highlight w:val="none"/>
                      <w:u w:val="none"/>
                      <w:lang w:val="en-US" w:eastAsia="zh-CN" w:bidi="ar"/>
                    </w:rPr>
                    <w:t>名称</w:t>
                  </w:r>
                </w:p>
              </w:tc>
            </w:tr>
            <w:tr w14:paraId="7DDE41E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81" w:type="dxa"/>
                  <w:vMerge w:val="restart"/>
                  <w:tcBorders>
                    <w:top w:val="nil"/>
                    <w:left w:val="single" w:color="000000" w:sz="8" w:space="0"/>
                    <w:bottom w:val="single" w:color="000000" w:sz="8" w:space="0"/>
                    <w:right w:val="single" w:color="000000" w:sz="8" w:space="0"/>
                  </w:tcBorders>
                  <w:shd w:val="clear" w:color="auto" w:fill="auto"/>
                  <w:vAlign w:val="center"/>
                </w:tcPr>
                <w:p w14:paraId="6B89B22F">
                  <w:pPr>
                    <w:keepNext w:val="0"/>
                    <w:keepLines w:val="0"/>
                    <w:widowControl/>
                    <w:suppressLineNumbers w:val="0"/>
                    <w:shd w:val="clear"/>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DW001</w:t>
                  </w:r>
                </w:p>
              </w:tc>
              <w:tc>
                <w:tcPr>
                  <w:tcW w:w="926" w:type="dxa"/>
                  <w:vMerge w:val="restart"/>
                  <w:tcBorders>
                    <w:top w:val="nil"/>
                    <w:left w:val="single" w:color="000000" w:sz="8" w:space="0"/>
                    <w:bottom w:val="single" w:color="000000" w:sz="8" w:space="0"/>
                    <w:right w:val="single" w:color="000000" w:sz="8" w:space="0"/>
                  </w:tcBorders>
                  <w:shd w:val="clear" w:color="auto" w:fill="auto"/>
                  <w:vAlign w:val="center"/>
                </w:tcPr>
                <w:p w14:paraId="76694A75">
                  <w:pPr>
                    <w:keepNext w:val="0"/>
                    <w:keepLines w:val="0"/>
                    <w:widowControl/>
                    <w:suppressLineNumbers w:val="0"/>
                    <w:shd w:val="clear"/>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生活污水</w:t>
                  </w:r>
                </w:p>
              </w:tc>
              <w:tc>
                <w:tcPr>
                  <w:tcW w:w="1190" w:type="dxa"/>
                  <w:tcBorders>
                    <w:top w:val="nil"/>
                    <w:left w:val="single" w:color="000000" w:sz="8" w:space="0"/>
                    <w:bottom w:val="single" w:color="000000" w:sz="8" w:space="0"/>
                    <w:right w:val="single" w:color="000000" w:sz="8" w:space="0"/>
                  </w:tcBorders>
                  <w:shd w:val="clear" w:color="auto" w:fill="auto"/>
                  <w:vAlign w:val="center"/>
                </w:tcPr>
                <w:p w14:paraId="08FB91EB">
                  <w:pPr>
                    <w:keepNext w:val="0"/>
                    <w:keepLines w:val="0"/>
                    <w:widowControl/>
                    <w:suppressLineNumbers w:val="0"/>
                    <w:shd w:val="clear"/>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pH</w:t>
                  </w:r>
                </w:p>
              </w:tc>
              <w:tc>
                <w:tcPr>
                  <w:tcW w:w="1725" w:type="dxa"/>
                  <w:tcBorders>
                    <w:top w:val="nil"/>
                    <w:left w:val="single" w:color="000000" w:sz="8" w:space="0"/>
                    <w:bottom w:val="single" w:color="000000" w:sz="8" w:space="0"/>
                    <w:right w:val="single" w:color="000000" w:sz="8" w:space="0"/>
                  </w:tcBorders>
                  <w:shd w:val="clear" w:color="auto" w:fill="auto"/>
                  <w:vAlign w:val="center"/>
                </w:tcPr>
                <w:p w14:paraId="35F240DD">
                  <w:pPr>
                    <w:keepNext w:val="0"/>
                    <w:keepLines w:val="0"/>
                    <w:widowControl/>
                    <w:suppressLineNumbers w:val="0"/>
                    <w:shd w:val="clear"/>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b w:val="0"/>
                      <w:bCs w:val="0"/>
                      <w:color w:val="auto"/>
                      <w:kern w:val="0"/>
                      <w:szCs w:val="21"/>
                      <w:highlight w:val="none"/>
                      <w:lang w:val="en-US" w:eastAsia="zh-CN" w:bidi="ar"/>
                    </w:rPr>
                    <w:t>6-9</w:t>
                  </w:r>
                  <w:r>
                    <w:rPr>
                      <w:rFonts w:hint="eastAsia" w:cs="Times New Roman"/>
                      <w:b w:val="0"/>
                      <w:bCs w:val="0"/>
                      <w:color w:val="auto"/>
                      <w:kern w:val="0"/>
                      <w:szCs w:val="21"/>
                      <w:highlight w:val="none"/>
                      <w:lang w:val="en-US" w:eastAsia="zh-CN" w:bidi="ar"/>
                    </w:rPr>
                    <w:t>（无量纲）</w:t>
                  </w:r>
                </w:p>
              </w:tc>
              <w:tc>
                <w:tcPr>
                  <w:tcW w:w="2175" w:type="dxa"/>
                  <w:vMerge w:val="restart"/>
                  <w:tcBorders>
                    <w:top w:val="nil"/>
                    <w:left w:val="single" w:color="000000" w:sz="8" w:space="0"/>
                    <w:right w:val="single" w:color="000000" w:sz="8" w:space="0"/>
                  </w:tcBorders>
                  <w:shd w:val="clear" w:color="auto" w:fill="auto"/>
                  <w:vAlign w:val="center"/>
                </w:tcPr>
                <w:p w14:paraId="1B259493">
                  <w:pPr>
                    <w:keepNext/>
                    <w:keepLines w:val="0"/>
                    <w:pageBreakBefore/>
                    <w:widowControl w:val="0"/>
                    <w:suppressLineNumbers w:val="0"/>
                    <w:shd w:val="clear"/>
                    <w:kinsoku/>
                    <w:wordWrap w:val="0"/>
                    <w:overflowPunct/>
                    <w:topLinePunct w:val="0"/>
                    <w:bidi w:val="0"/>
                    <w:spacing w:line="240" w:lineRule="auto"/>
                    <w:jc w:val="center"/>
                    <w:textAlignment w:val="center"/>
                    <w:rPr>
                      <w:rFonts w:hint="default" w:ascii="Times New Roman" w:hAnsi="Times New Roman" w:eastAsia="宋体" w:cs="Times New Roman"/>
                      <w:b w:val="0"/>
                      <w:bCs w:val="0"/>
                      <w:color w:val="auto"/>
                      <w:kern w:val="0"/>
                      <w:szCs w:val="21"/>
                      <w:highlight w:val="none"/>
                      <w:lang w:val="en-US" w:eastAsia="zh-CN" w:bidi="ar"/>
                    </w:rPr>
                  </w:pPr>
                  <w:r>
                    <w:rPr>
                      <w:rFonts w:hint="default" w:ascii="Times New Roman" w:hAnsi="Times New Roman" w:eastAsia="宋体" w:cs="Times New Roman"/>
                      <w:b w:val="0"/>
                      <w:bCs w:val="0"/>
                      <w:color w:val="auto"/>
                      <w:kern w:val="0"/>
                      <w:sz w:val="21"/>
                      <w:szCs w:val="21"/>
                      <w:highlight w:val="none"/>
                      <w:lang w:val="en-US" w:eastAsia="zh-CN" w:bidi="ar"/>
                    </w:rPr>
                    <w:t>广东省地方标准《水污染物排放限值》（DB44/26-2001）第二时段三级标准</w:t>
                  </w:r>
                </w:p>
              </w:tc>
            </w:tr>
            <w:tr w14:paraId="2AEFB61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jc w:val="center"/>
              </w:trPr>
              <w:tc>
                <w:tcPr>
                  <w:tcW w:w="881" w:type="dxa"/>
                  <w:vMerge w:val="continue"/>
                  <w:tcBorders>
                    <w:top w:val="nil"/>
                    <w:left w:val="single" w:color="000000" w:sz="8" w:space="0"/>
                    <w:bottom w:val="single" w:color="000000" w:sz="8" w:space="0"/>
                    <w:right w:val="single" w:color="000000" w:sz="8" w:space="0"/>
                  </w:tcBorders>
                  <w:shd w:val="clear" w:color="auto" w:fill="auto"/>
                  <w:vAlign w:val="center"/>
                </w:tcPr>
                <w:p w14:paraId="6DB0128F">
                  <w:pPr>
                    <w:shd w:val="clear"/>
                    <w:jc w:val="center"/>
                    <w:rPr>
                      <w:rFonts w:hint="default" w:ascii="Times New Roman" w:hAnsi="Times New Roman" w:eastAsia="宋体" w:cs="Times New Roman"/>
                      <w:i w:val="0"/>
                      <w:iCs w:val="0"/>
                      <w:color w:val="auto"/>
                      <w:sz w:val="21"/>
                      <w:szCs w:val="21"/>
                      <w:highlight w:val="none"/>
                      <w:u w:val="none"/>
                    </w:rPr>
                  </w:pPr>
                </w:p>
              </w:tc>
              <w:tc>
                <w:tcPr>
                  <w:tcW w:w="926" w:type="dxa"/>
                  <w:vMerge w:val="continue"/>
                  <w:tcBorders>
                    <w:top w:val="nil"/>
                    <w:left w:val="single" w:color="000000" w:sz="8" w:space="0"/>
                    <w:bottom w:val="single" w:color="000000" w:sz="8" w:space="0"/>
                    <w:right w:val="single" w:color="000000" w:sz="8" w:space="0"/>
                  </w:tcBorders>
                  <w:shd w:val="clear" w:color="auto" w:fill="auto"/>
                  <w:vAlign w:val="center"/>
                </w:tcPr>
                <w:p w14:paraId="1363F8A2">
                  <w:pPr>
                    <w:shd w:val="clear"/>
                    <w:jc w:val="center"/>
                    <w:rPr>
                      <w:rFonts w:hint="default" w:ascii="Times New Roman" w:hAnsi="Times New Roman" w:eastAsia="宋体" w:cs="Times New Roman"/>
                      <w:i w:val="0"/>
                      <w:iCs w:val="0"/>
                      <w:color w:val="auto"/>
                      <w:sz w:val="21"/>
                      <w:szCs w:val="21"/>
                      <w:highlight w:val="none"/>
                      <w:u w:val="none"/>
                    </w:rPr>
                  </w:pPr>
                </w:p>
              </w:tc>
              <w:tc>
                <w:tcPr>
                  <w:tcW w:w="1190" w:type="dxa"/>
                  <w:tcBorders>
                    <w:top w:val="nil"/>
                    <w:left w:val="single" w:color="000000" w:sz="8" w:space="0"/>
                    <w:bottom w:val="single" w:color="000000" w:sz="8" w:space="0"/>
                    <w:right w:val="single" w:color="000000" w:sz="8" w:space="0"/>
                  </w:tcBorders>
                  <w:shd w:val="clear" w:color="auto" w:fill="auto"/>
                  <w:vAlign w:val="center"/>
                </w:tcPr>
                <w:p w14:paraId="73130415">
                  <w:pPr>
                    <w:keepNext w:val="0"/>
                    <w:keepLines w:val="0"/>
                    <w:widowControl/>
                    <w:suppressLineNumbers w:val="0"/>
                    <w:shd w:val="clear"/>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CODcr</w:t>
                  </w:r>
                </w:p>
              </w:tc>
              <w:tc>
                <w:tcPr>
                  <w:tcW w:w="1725" w:type="dxa"/>
                  <w:tcBorders>
                    <w:top w:val="nil"/>
                    <w:left w:val="single" w:color="000000" w:sz="8" w:space="0"/>
                    <w:bottom w:val="single" w:color="000000" w:sz="8" w:space="0"/>
                    <w:right w:val="single" w:color="000000" w:sz="8" w:space="0"/>
                  </w:tcBorders>
                  <w:shd w:val="clear" w:color="auto" w:fill="auto"/>
                  <w:vAlign w:val="center"/>
                </w:tcPr>
                <w:p w14:paraId="2B10E22E">
                  <w:pPr>
                    <w:keepNext w:val="0"/>
                    <w:keepLines w:val="0"/>
                    <w:widowControl/>
                    <w:suppressLineNumbers w:val="0"/>
                    <w:shd w:val="clear"/>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500mg/L</w:t>
                  </w:r>
                </w:p>
              </w:tc>
              <w:tc>
                <w:tcPr>
                  <w:tcW w:w="2175" w:type="dxa"/>
                  <w:vMerge w:val="continue"/>
                  <w:tcBorders>
                    <w:left w:val="single" w:color="000000" w:sz="8" w:space="0"/>
                    <w:right w:val="single" w:color="000000" w:sz="8" w:space="0"/>
                  </w:tcBorders>
                  <w:shd w:val="clear" w:color="auto" w:fill="auto"/>
                  <w:vAlign w:val="center"/>
                </w:tcPr>
                <w:p w14:paraId="64FBCEA6">
                  <w:pPr>
                    <w:keepNext w:val="0"/>
                    <w:keepLines w:val="0"/>
                    <w:widowControl/>
                    <w:suppressLineNumbers w:val="0"/>
                    <w:shd w:val="clear"/>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r>
            <w:tr w14:paraId="4563488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jc w:val="center"/>
              </w:trPr>
              <w:tc>
                <w:tcPr>
                  <w:tcW w:w="881" w:type="dxa"/>
                  <w:vMerge w:val="continue"/>
                  <w:tcBorders>
                    <w:top w:val="nil"/>
                    <w:left w:val="single" w:color="000000" w:sz="8" w:space="0"/>
                    <w:bottom w:val="single" w:color="000000" w:sz="8" w:space="0"/>
                    <w:right w:val="single" w:color="000000" w:sz="8" w:space="0"/>
                  </w:tcBorders>
                  <w:shd w:val="clear" w:color="auto" w:fill="auto"/>
                  <w:vAlign w:val="center"/>
                </w:tcPr>
                <w:p w14:paraId="7F52CBA3">
                  <w:pPr>
                    <w:shd w:val="clear"/>
                    <w:jc w:val="center"/>
                    <w:rPr>
                      <w:rFonts w:hint="default" w:ascii="Times New Roman" w:hAnsi="Times New Roman" w:eastAsia="宋体" w:cs="Times New Roman"/>
                      <w:i w:val="0"/>
                      <w:iCs w:val="0"/>
                      <w:color w:val="auto"/>
                      <w:sz w:val="21"/>
                      <w:szCs w:val="21"/>
                      <w:highlight w:val="none"/>
                      <w:u w:val="none"/>
                    </w:rPr>
                  </w:pPr>
                </w:p>
              </w:tc>
              <w:tc>
                <w:tcPr>
                  <w:tcW w:w="926" w:type="dxa"/>
                  <w:vMerge w:val="continue"/>
                  <w:tcBorders>
                    <w:top w:val="nil"/>
                    <w:left w:val="single" w:color="000000" w:sz="8" w:space="0"/>
                    <w:bottom w:val="single" w:color="000000" w:sz="8" w:space="0"/>
                    <w:right w:val="single" w:color="000000" w:sz="8" w:space="0"/>
                  </w:tcBorders>
                  <w:shd w:val="clear" w:color="auto" w:fill="auto"/>
                  <w:vAlign w:val="center"/>
                </w:tcPr>
                <w:p w14:paraId="0D6BF878">
                  <w:pPr>
                    <w:shd w:val="clear"/>
                    <w:jc w:val="center"/>
                    <w:rPr>
                      <w:rFonts w:hint="default" w:ascii="Times New Roman" w:hAnsi="Times New Roman" w:eastAsia="宋体" w:cs="Times New Roman"/>
                      <w:i w:val="0"/>
                      <w:iCs w:val="0"/>
                      <w:color w:val="auto"/>
                      <w:sz w:val="21"/>
                      <w:szCs w:val="21"/>
                      <w:highlight w:val="none"/>
                      <w:u w:val="none"/>
                    </w:rPr>
                  </w:pPr>
                </w:p>
              </w:tc>
              <w:tc>
                <w:tcPr>
                  <w:tcW w:w="1190" w:type="dxa"/>
                  <w:tcBorders>
                    <w:top w:val="nil"/>
                    <w:left w:val="single" w:color="000000" w:sz="8" w:space="0"/>
                    <w:bottom w:val="single" w:color="000000" w:sz="8" w:space="0"/>
                    <w:right w:val="single" w:color="000000" w:sz="8" w:space="0"/>
                  </w:tcBorders>
                  <w:shd w:val="clear" w:color="auto" w:fill="auto"/>
                  <w:vAlign w:val="center"/>
                </w:tcPr>
                <w:p w14:paraId="6BC259E6">
                  <w:pPr>
                    <w:keepNext w:val="0"/>
                    <w:keepLines w:val="0"/>
                    <w:widowControl/>
                    <w:suppressLineNumbers w:val="0"/>
                    <w:shd w:val="clear"/>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BOD</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5</w:t>
                  </w:r>
                </w:p>
              </w:tc>
              <w:tc>
                <w:tcPr>
                  <w:tcW w:w="1725" w:type="dxa"/>
                  <w:tcBorders>
                    <w:top w:val="nil"/>
                    <w:left w:val="single" w:color="000000" w:sz="8" w:space="0"/>
                    <w:bottom w:val="single" w:color="000000" w:sz="8" w:space="0"/>
                    <w:right w:val="single" w:color="000000" w:sz="8" w:space="0"/>
                  </w:tcBorders>
                  <w:shd w:val="clear" w:color="auto" w:fill="auto"/>
                  <w:vAlign w:val="center"/>
                </w:tcPr>
                <w:p w14:paraId="79FB7E53">
                  <w:pPr>
                    <w:keepNext w:val="0"/>
                    <w:keepLines w:val="0"/>
                    <w:widowControl/>
                    <w:suppressLineNumbers w:val="0"/>
                    <w:shd w:val="clear"/>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300mg/L</w:t>
                  </w:r>
                </w:p>
              </w:tc>
              <w:tc>
                <w:tcPr>
                  <w:tcW w:w="2175" w:type="dxa"/>
                  <w:vMerge w:val="continue"/>
                  <w:tcBorders>
                    <w:left w:val="single" w:color="000000" w:sz="8" w:space="0"/>
                    <w:right w:val="single" w:color="000000" w:sz="8" w:space="0"/>
                  </w:tcBorders>
                  <w:shd w:val="clear" w:color="auto" w:fill="auto"/>
                  <w:vAlign w:val="center"/>
                </w:tcPr>
                <w:p w14:paraId="161F5BAA">
                  <w:pPr>
                    <w:keepNext w:val="0"/>
                    <w:keepLines w:val="0"/>
                    <w:widowControl/>
                    <w:suppressLineNumbers w:val="0"/>
                    <w:shd w:val="clear"/>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r>
            <w:tr w14:paraId="67401CB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jc w:val="center"/>
              </w:trPr>
              <w:tc>
                <w:tcPr>
                  <w:tcW w:w="881" w:type="dxa"/>
                  <w:vMerge w:val="continue"/>
                  <w:tcBorders>
                    <w:top w:val="nil"/>
                    <w:left w:val="single" w:color="000000" w:sz="8" w:space="0"/>
                    <w:bottom w:val="single" w:color="000000" w:sz="8" w:space="0"/>
                    <w:right w:val="single" w:color="000000" w:sz="8" w:space="0"/>
                  </w:tcBorders>
                  <w:shd w:val="clear" w:color="auto" w:fill="auto"/>
                  <w:vAlign w:val="center"/>
                </w:tcPr>
                <w:p w14:paraId="19787010">
                  <w:pPr>
                    <w:shd w:val="clear"/>
                    <w:jc w:val="center"/>
                    <w:rPr>
                      <w:rFonts w:hint="default" w:ascii="Times New Roman" w:hAnsi="Times New Roman" w:eastAsia="宋体" w:cs="Times New Roman"/>
                      <w:i w:val="0"/>
                      <w:iCs w:val="0"/>
                      <w:color w:val="auto"/>
                      <w:sz w:val="21"/>
                      <w:szCs w:val="21"/>
                      <w:highlight w:val="none"/>
                      <w:u w:val="none"/>
                    </w:rPr>
                  </w:pPr>
                </w:p>
              </w:tc>
              <w:tc>
                <w:tcPr>
                  <w:tcW w:w="926" w:type="dxa"/>
                  <w:vMerge w:val="continue"/>
                  <w:tcBorders>
                    <w:top w:val="nil"/>
                    <w:left w:val="single" w:color="000000" w:sz="8" w:space="0"/>
                    <w:bottom w:val="single" w:color="000000" w:sz="8" w:space="0"/>
                    <w:right w:val="single" w:color="000000" w:sz="8" w:space="0"/>
                  </w:tcBorders>
                  <w:shd w:val="clear" w:color="auto" w:fill="auto"/>
                  <w:vAlign w:val="center"/>
                </w:tcPr>
                <w:p w14:paraId="3A2F3594">
                  <w:pPr>
                    <w:shd w:val="clear"/>
                    <w:jc w:val="center"/>
                    <w:rPr>
                      <w:rFonts w:hint="default" w:ascii="Times New Roman" w:hAnsi="Times New Roman" w:eastAsia="宋体" w:cs="Times New Roman"/>
                      <w:i w:val="0"/>
                      <w:iCs w:val="0"/>
                      <w:color w:val="auto"/>
                      <w:sz w:val="21"/>
                      <w:szCs w:val="21"/>
                      <w:highlight w:val="none"/>
                      <w:u w:val="none"/>
                    </w:rPr>
                  </w:pPr>
                </w:p>
              </w:tc>
              <w:tc>
                <w:tcPr>
                  <w:tcW w:w="1190" w:type="dxa"/>
                  <w:tcBorders>
                    <w:top w:val="nil"/>
                    <w:left w:val="single" w:color="000000" w:sz="8" w:space="0"/>
                    <w:bottom w:val="single" w:color="000000" w:sz="8" w:space="0"/>
                    <w:right w:val="single" w:color="000000" w:sz="8" w:space="0"/>
                  </w:tcBorders>
                  <w:shd w:val="clear" w:color="auto" w:fill="auto"/>
                  <w:vAlign w:val="center"/>
                </w:tcPr>
                <w:p w14:paraId="7AA69E1F">
                  <w:pPr>
                    <w:keepNext w:val="0"/>
                    <w:keepLines w:val="0"/>
                    <w:widowControl/>
                    <w:suppressLineNumbers w:val="0"/>
                    <w:shd w:val="clear"/>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SS</w:t>
                  </w:r>
                </w:p>
              </w:tc>
              <w:tc>
                <w:tcPr>
                  <w:tcW w:w="1725" w:type="dxa"/>
                  <w:tcBorders>
                    <w:top w:val="nil"/>
                    <w:left w:val="single" w:color="000000" w:sz="8" w:space="0"/>
                    <w:bottom w:val="single" w:color="000000" w:sz="8" w:space="0"/>
                    <w:right w:val="single" w:color="000000" w:sz="8" w:space="0"/>
                  </w:tcBorders>
                  <w:shd w:val="clear" w:color="auto" w:fill="auto"/>
                  <w:vAlign w:val="center"/>
                </w:tcPr>
                <w:p w14:paraId="2F895F49">
                  <w:pPr>
                    <w:keepNext w:val="0"/>
                    <w:keepLines w:val="0"/>
                    <w:widowControl/>
                    <w:suppressLineNumbers w:val="0"/>
                    <w:shd w:val="clear"/>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400mg/L</w:t>
                  </w:r>
                </w:p>
              </w:tc>
              <w:tc>
                <w:tcPr>
                  <w:tcW w:w="2175" w:type="dxa"/>
                  <w:vMerge w:val="continue"/>
                  <w:tcBorders>
                    <w:left w:val="single" w:color="000000" w:sz="8" w:space="0"/>
                    <w:right w:val="single" w:color="000000" w:sz="8" w:space="0"/>
                  </w:tcBorders>
                  <w:shd w:val="clear" w:color="auto" w:fill="auto"/>
                  <w:vAlign w:val="center"/>
                </w:tcPr>
                <w:p w14:paraId="723593A3">
                  <w:pPr>
                    <w:keepNext w:val="0"/>
                    <w:keepLines w:val="0"/>
                    <w:widowControl/>
                    <w:suppressLineNumbers w:val="0"/>
                    <w:shd w:val="clear"/>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r>
            <w:tr w14:paraId="7856606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5" w:hRule="atLeast"/>
                <w:jc w:val="center"/>
              </w:trPr>
              <w:tc>
                <w:tcPr>
                  <w:tcW w:w="881" w:type="dxa"/>
                  <w:vMerge w:val="continue"/>
                  <w:tcBorders>
                    <w:top w:val="nil"/>
                    <w:left w:val="single" w:color="000000" w:sz="8" w:space="0"/>
                    <w:bottom w:val="single" w:color="000000" w:sz="8" w:space="0"/>
                    <w:right w:val="single" w:color="000000" w:sz="8" w:space="0"/>
                  </w:tcBorders>
                  <w:shd w:val="clear" w:color="auto" w:fill="auto"/>
                  <w:vAlign w:val="center"/>
                </w:tcPr>
                <w:p w14:paraId="48B7DA82">
                  <w:pPr>
                    <w:shd w:val="clear"/>
                    <w:jc w:val="center"/>
                    <w:rPr>
                      <w:rFonts w:hint="default" w:ascii="Times New Roman" w:hAnsi="Times New Roman" w:eastAsia="宋体" w:cs="Times New Roman"/>
                      <w:i w:val="0"/>
                      <w:iCs w:val="0"/>
                      <w:color w:val="auto"/>
                      <w:sz w:val="21"/>
                      <w:szCs w:val="21"/>
                      <w:highlight w:val="none"/>
                      <w:u w:val="none"/>
                    </w:rPr>
                  </w:pPr>
                </w:p>
              </w:tc>
              <w:tc>
                <w:tcPr>
                  <w:tcW w:w="926" w:type="dxa"/>
                  <w:vMerge w:val="continue"/>
                  <w:tcBorders>
                    <w:top w:val="nil"/>
                    <w:left w:val="single" w:color="000000" w:sz="8" w:space="0"/>
                    <w:bottom w:val="single" w:color="000000" w:sz="8" w:space="0"/>
                    <w:right w:val="single" w:color="000000" w:sz="8" w:space="0"/>
                  </w:tcBorders>
                  <w:shd w:val="clear" w:color="auto" w:fill="auto"/>
                  <w:vAlign w:val="center"/>
                </w:tcPr>
                <w:p w14:paraId="55011CE2">
                  <w:pPr>
                    <w:shd w:val="clear"/>
                    <w:jc w:val="center"/>
                    <w:rPr>
                      <w:rFonts w:hint="default" w:ascii="Times New Roman" w:hAnsi="Times New Roman" w:eastAsia="宋体" w:cs="Times New Roman"/>
                      <w:i w:val="0"/>
                      <w:iCs w:val="0"/>
                      <w:color w:val="auto"/>
                      <w:sz w:val="21"/>
                      <w:szCs w:val="21"/>
                      <w:highlight w:val="none"/>
                      <w:u w:val="none"/>
                    </w:rPr>
                  </w:pPr>
                </w:p>
              </w:tc>
              <w:tc>
                <w:tcPr>
                  <w:tcW w:w="1190" w:type="dxa"/>
                  <w:tcBorders>
                    <w:top w:val="nil"/>
                    <w:left w:val="single" w:color="000000" w:sz="8" w:space="0"/>
                    <w:bottom w:val="single" w:color="000000" w:sz="8" w:space="0"/>
                    <w:right w:val="single" w:color="000000" w:sz="8" w:space="0"/>
                  </w:tcBorders>
                  <w:shd w:val="clear" w:color="auto" w:fill="auto"/>
                  <w:vAlign w:val="center"/>
                </w:tcPr>
                <w:p w14:paraId="2916DB68">
                  <w:pPr>
                    <w:keepNext w:val="0"/>
                    <w:keepLines w:val="0"/>
                    <w:widowControl/>
                    <w:suppressLineNumbers w:val="0"/>
                    <w:shd w:val="clear"/>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NH</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3</w:t>
                  </w:r>
                  <w:r>
                    <w:rPr>
                      <w:rFonts w:hint="default" w:ascii="Times New Roman" w:hAnsi="Times New Roman" w:eastAsia="宋体" w:cs="Times New Roman"/>
                      <w:i w:val="0"/>
                      <w:iCs w:val="0"/>
                      <w:color w:val="auto"/>
                      <w:kern w:val="0"/>
                      <w:sz w:val="21"/>
                      <w:szCs w:val="21"/>
                      <w:highlight w:val="none"/>
                      <w:u w:val="none"/>
                      <w:lang w:val="en-US" w:eastAsia="zh-CN" w:bidi="ar"/>
                    </w:rPr>
                    <w:t>-N</w:t>
                  </w:r>
                </w:p>
              </w:tc>
              <w:tc>
                <w:tcPr>
                  <w:tcW w:w="1725" w:type="dxa"/>
                  <w:tcBorders>
                    <w:top w:val="nil"/>
                    <w:left w:val="single" w:color="000000" w:sz="8" w:space="0"/>
                    <w:bottom w:val="single" w:color="000000" w:sz="8" w:space="0"/>
                    <w:right w:val="single" w:color="000000" w:sz="8" w:space="0"/>
                  </w:tcBorders>
                  <w:shd w:val="clear" w:color="auto" w:fill="auto"/>
                  <w:vAlign w:val="center"/>
                </w:tcPr>
                <w:p w14:paraId="7AF91D9A">
                  <w:pPr>
                    <w:keepNext w:val="0"/>
                    <w:keepLines w:val="0"/>
                    <w:widowControl/>
                    <w:suppressLineNumbers w:val="0"/>
                    <w:shd w:val="clear"/>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2175" w:type="dxa"/>
                  <w:vMerge w:val="continue"/>
                  <w:tcBorders>
                    <w:left w:val="single" w:color="000000" w:sz="8" w:space="0"/>
                    <w:bottom w:val="single" w:color="000000" w:sz="8" w:space="0"/>
                    <w:right w:val="single" w:color="000000" w:sz="8" w:space="0"/>
                  </w:tcBorders>
                  <w:shd w:val="clear" w:color="auto" w:fill="auto"/>
                  <w:vAlign w:val="center"/>
                </w:tcPr>
                <w:p w14:paraId="15CE71E0">
                  <w:pPr>
                    <w:keepNext w:val="0"/>
                    <w:keepLines w:val="0"/>
                    <w:widowControl/>
                    <w:suppressLineNumbers w:val="0"/>
                    <w:shd w:val="clear"/>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r>
          </w:tbl>
          <w:p w14:paraId="71C85480">
            <w:pPr>
              <w:pStyle w:val="24"/>
              <w:keepNext w:val="0"/>
              <w:keepLines w:val="0"/>
              <w:pageBreakBefore w:val="0"/>
              <w:widowControl w:val="0"/>
              <w:numPr>
                <w:ilvl w:val="0"/>
                <w:numId w:val="0"/>
              </w:numPr>
              <w:shd w:val="clear"/>
              <w:kinsoku/>
              <w:wordWrap/>
              <w:overflowPunct/>
              <w:topLinePunct w:val="0"/>
              <w:autoSpaceDE/>
              <w:autoSpaceDN/>
              <w:bidi w:val="0"/>
              <w:adjustRightInd/>
              <w:snapToGrid w:val="0"/>
              <w:spacing w:after="0" w:line="360" w:lineRule="auto"/>
              <w:jc w:val="center"/>
              <w:textAlignment w:val="auto"/>
              <w:rPr>
                <w:rFonts w:hint="default" w:ascii="Times New Roman" w:hAnsi="Times New Roman" w:eastAsia="宋体" w:cs="Times New Roman"/>
                <w:b/>
                <w:color w:val="auto"/>
                <w:kern w:val="2"/>
                <w:sz w:val="24"/>
                <w:szCs w:val="24"/>
                <w:highlight w:val="none"/>
                <w:lang w:val="en-US" w:eastAsia="zh-CN" w:bidi="ar-SA"/>
              </w:rPr>
            </w:pPr>
            <w:r>
              <w:rPr>
                <w:rFonts w:hint="default" w:ascii="Times New Roman" w:hAnsi="Times New Roman" w:eastAsia="宋体" w:cs="Times New Roman"/>
                <w:b/>
                <w:color w:val="auto"/>
                <w:kern w:val="2"/>
                <w:sz w:val="24"/>
                <w:szCs w:val="24"/>
                <w:highlight w:val="none"/>
                <w:lang w:val="en-US" w:eastAsia="zh-CN" w:bidi="ar-SA"/>
              </w:rPr>
              <w:t>表3</w:t>
            </w:r>
            <w:r>
              <w:rPr>
                <w:rFonts w:hint="eastAsia" w:cs="Times New Roman"/>
                <w:b/>
                <w:color w:val="auto"/>
                <w:kern w:val="2"/>
                <w:sz w:val="24"/>
                <w:szCs w:val="24"/>
                <w:highlight w:val="none"/>
                <w:lang w:val="en-US" w:eastAsia="zh-CN" w:bidi="ar-SA"/>
              </w:rPr>
              <w:t>8</w:t>
            </w:r>
            <w:r>
              <w:rPr>
                <w:rFonts w:hint="default" w:ascii="Times New Roman" w:hAnsi="Times New Roman" w:eastAsia="宋体" w:cs="Times New Roman"/>
                <w:b/>
                <w:color w:val="auto"/>
                <w:kern w:val="2"/>
                <w:sz w:val="24"/>
                <w:szCs w:val="24"/>
                <w:highlight w:val="none"/>
                <w:lang w:val="en-US" w:eastAsia="zh-CN" w:bidi="ar-SA"/>
              </w:rPr>
              <w:t>废水污染物排放信息表</w:t>
            </w:r>
          </w:p>
          <w:tbl>
            <w:tblPr>
              <w:tblStyle w:val="33"/>
              <w:tblW w:w="6958"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144"/>
              <w:gridCol w:w="1296"/>
              <w:gridCol w:w="1854"/>
              <w:gridCol w:w="1396"/>
              <w:gridCol w:w="1268"/>
            </w:tblGrid>
            <w:tr w14:paraId="15E2D12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jc w:val="center"/>
              </w:trPr>
              <w:tc>
                <w:tcPr>
                  <w:tcW w:w="1144" w:type="dxa"/>
                  <w:vMerge w:val="restart"/>
                  <w:tcBorders>
                    <w:top w:val="single" w:color="000000" w:sz="8" w:space="0"/>
                    <w:left w:val="single" w:color="000000" w:sz="8" w:space="0"/>
                    <w:bottom w:val="single" w:color="000000" w:sz="8" w:space="0"/>
                    <w:right w:val="single" w:color="000000" w:sz="8" w:space="0"/>
                  </w:tcBorders>
                  <w:noWrap w:val="0"/>
                  <w:vAlign w:val="center"/>
                </w:tcPr>
                <w:p w14:paraId="7D9F2BD8">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排放口</w:t>
                  </w:r>
                </w:p>
              </w:tc>
              <w:tc>
                <w:tcPr>
                  <w:tcW w:w="1296" w:type="dxa"/>
                  <w:vMerge w:val="restart"/>
                  <w:tcBorders>
                    <w:top w:val="single" w:color="000000" w:sz="8" w:space="0"/>
                    <w:left w:val="nil"/>
                    <w:bottom w:val="single" w:color="000000" w:sz="8" w:space="0"/>
                    <w:right w:val="single" w:color="000000" w:sz="8" w:space="0"/>
                  </w:tcBorders>
                  <w:noWrap w:val="0"/>
                  <w:vAlign w:val="center"/>
                </w:tcPr>
                <w:p w14:paraId="00432E7A">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污染物种类</w:t>
                  </w:r>
                </w:p>
              </w:tc>
              <w:tc>
                <w:tcPr>
                  <w:tcW w:w="1854" w:type="dxa"/>
                  <w:vMerge w:val="restart"/>
                  <w:tcBorders>
                    <w:top w:val="single" w:color="000000" w:sz="8" w:space="0"/>
                    <w:left w:val="nil"/>
                    <w:bottom w:val="single" w:color="000000" w:sz="8" w:space="0"/>
                    <w:right w:val="single" w:color="000000" w:sz="8" w:space="0"/>
                  </w:tcBorders>
                  <w:noWrap w:val="0"/>
                  <w:vAlign w:val="center"/>
                </w:tcPr>
                <w:p w14:paraId="031C130F">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排放浓度（mg/L）</w:t>
                  </w:r>
                </w:p>
              </w:tc>
              <w:tc>
                <w:tcPr>
                  <w:tcW w:w="1396" w:type="dxa"/>
                  <w:vMerge w:val="restart"/>
                  <w:tcBorders>
                    <w:top w:val="single" w:color="000000" w:sz="8" w:space="0"/>
                    <w:left w:val="nil"/>
                    <w:bottom w:val="single" w:color="000000" w:sz="8" w:space="0"/>
                    <w:right w:val="single" w:color="000000" w:sz="8" w:space="0"/>
                  </w:tcBorders>
                  <w:noWrap w:val="0"/>
                  <w:vAlign w:val="center"/>
                </w:tcPr>
                <w:p w14:paraId="540A9803">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日排放量（t/d）</w:t>
                  </w:r>
                </w:p>
              </w:tc>
              <w:tc>
                <w:tcPr>
                  <w:tcW w:w="1268" w:type="dxa"/>
                  <w:vMerge w:val="restart"/>
                  <w:tcBorders>
                    <w:top w:val="single" w:color="000000" w:sz="8" w:space="0"/>
                    <w:left w:val="nil"/>
                    <w:bottom w:val="single" w:color="000000" w:sz="8" w:space="0"/>
                    <w:right w:val="single" w:color="000000" w:sz="8" w:space="0"/>
                  </w:tcBorders>
                  <w:noWrap w:val="0"/>
                  <w:vAlign w:val="center"/>
                </w:tcPr>
                <w:p w14:paraId="566782E4">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年排放量（t/a）</w:t>
                  </w:r>
                </w:p>
              </w:tc>
            </w:tr>
            <w:tr w14:paraId="4FD0787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1144" w:type="dxa"/>
                  <w:vMerge w:val="continue"/>
                  <w:tcBorders>
                    <w:top w:val="single" w:color="000000" w:sz="8" w:space="0"/>
                    <w:left w:val="single" w:color="000000" w:sz="8" w:space="0"/>
                    <w:bottom w:val="single" w:color="000000" w:sz="8" w:space="0"/>
                    <w:right w:val="single" w:color="000000" w:sz="8" w:space="0"/>
                  </w:tcBorders>
                  <w:noWrap w:val="0"/>
                  <w:vAlign w:val="center"/>
                </w:tcPr>
                <w:p w14:paraId="2610EC4A">
                  <w:pPr>
                    <w:jc w:val="center"/>
                    <w:rPr>
                      <w:rFonts w:hint="default" w:ascii="Times New Roman" w:hAnsi="Times New Roman" w:eastAsia="宋体" w:cs="Times New Roman"/>
                      <w:b/>
                      <w:bCs/>
                      <w:i w:val="0"/>
                      <w:iCs w:val="0"/>
                      <w:color w:val="auto"/>
                      <w:sz w:val="21"/>
                      <w:szCs w:val="21"/>
                      <w:highlight w:val="none"/>
                      <w:u w:val="none"/>
                    </w:rPr>
                  </w:pPr>
                </w:p>
              </w:tc>
              <w:tc>
                <w:tcPr>
                  <w:tcW w:w="1296" w:type="dxa"/>
                  <w:vMerge w:val="continue"/>
                  <w:tcBorders>
                    <w:top w:val="single" w:color="000000" w:sz="8" w:space="0"/>
                    <w:left w:val="nil"/>
                    <w:bottom w:val="single" w:color="000000" w:sz="8" w:space="0"/>
                    <w:right w:val="single" w:color="000000" w:sz="8" w:space="0"/>
                  </w:tcBorders>
                  <w:noWrap w:val="0"/>
                  <w:vAlign w:val="center"/>
                </w:tcPr>
                <w:p w14:paraId="11EB651E">
                  <w:pPr>
                    <w:jc w:val="center"/>
                    <w:rPr>
                      <w:rFonts w:hint="default" w:ascii="Times New Roman" w:hAnsi="Times New Roman" w:eastAsia="宋体" w:cs="Times New Roman"/>
                      <w:b/>
                      <w:bCs/>
                      <w:i w:val="0"/>
                      <w:iCs w:val="0"/>
                      <w:color w:val="auto"/>
                      <w:sz w:val="21"/>
                      <w:szCs w:val="21"/>
                      <w:highlight w:val="none"/>
                      <w:u w:val="none"/>
                    </w:rPr>
                  </w:pPr>
                </w:p>
              </w:tc>
              <w:tc>
                <w:tcPr>
                  <w:tcW w:w="1854" w:type="dxa"/>
                  <w:vMerge w:val="continue"/>
                  <w:tcBorders>
                    <w:top w:val="single" w:color="000000" w:sz="8" w:space="0"/>
                    <w:left w:val="nil"/>
                    <w:bottom w:val="single" w:color="000000" w:sz="8" w:space="0"/>
                    <w:right w:val="single" w:color="000000" w:sz="8" w:space="0"/>
                  </w:tcBorders>
                  <w:noWrap w:val="0"/>
                  <w:vAlign w:val="center"/>
                </w:tcPr>
                <w:p w14:paraId="75D09557">
                  <w:pPr>
                    <w:jc w:val="center"/>
                    <w:rPr>
                      <w:rFonts w:hint="default" w:ascii="Times New Roman" w:hAnsi="Times New Roman" w:eastAsia="宋体" w:cs="Times New Roman"/>
                      <w:b/>
                      <w:bCs/>
                      <w:i w:val="0"/>
                      <w:iCs w:val="0"/>
                      <w:color w:val="auto"/>
                      <w:sz w:val="21"/>
                      <w:szCs w:val="21"/>
                      <w:highlight w:val="none"/>
                      <w:u w:val="none"/>
                    </w:rPr>
                  </w:pPr>
                </w:p>
              </w:tc>
              <w:tc>
                <w:tcPr>
                  <w:tcW w:w="1396" w:type="dxa"/>
                  <w:vMerge w:val="continue"/>
                  <w:tcBorders>
                    <w:top w:val="single" w:color="000000" w:sz="8" w:space="0"/>
                    <w:left w:val="nil"/>
                    <w:bottom w:val="single" w:color="000000" w:sz="8" w:space="0"/>
                    <w:right w:val="single" w:color="000000" w:sz="8" w:space="0"/>
                  </w:tcBorders>
                  <w:noWrap w:val="0"/>
                  <w:vAlign w:val="center"/>
                </w:tcPr>
                <w:p w14:paraId="45D257B3">
                  <w:pPr>
                    <w:jc w:val="center"/>
                    <w:rPr>
                      <w:rFonts w:hint="default" w:ascii="Times New Roman" w:hAnsi="Times New Roman" w:eastAsia="宋体" w:cs="Times New Roman"/>
                      <w:b/>
                      <w:bCs/>
                      <w:i w:val="0"/>
                      <w:iCs w:val="0"/>
                      <w:color w:val="auto"/>
                      <w:sz w:val="21"/>
                      <w:szCs w:val="21"/>
                      <w:highlight w:val="none"/>
                      <w:u w:val="none"/>
                    </w:rPr>
                  </w:pPr>
                </w:p>
              </w:tc>
              <w:tc>
                <w:tcPr>
                  <w:tcW w:w="1268" w:type="dxa"/>
                  <w:vMerge w:val="continue"/>
                  <w:tcBorders>
                    <w:top w:val="single" w:color="000000" w:sz="8" w:space="0"/>
                    <w:left w:val="nil"/>
                    <w:bottom w:val="single" w:color="000000" w:sz="8" w:space="0"/>
                    <w:right w:val="single" w:color="000000" w:sz="8" w:space="0"/>
                  </w:tcBorders>
                  <w:noWrap w:val="0"/>
                  <w:vAlign w:val="center"/>
                </w:tcPr>
                <w:p w14:paraId="3DD5947B">
                  <w:pPr>
                    <w:jc w:val="center"/>
                    <w:rPr>
                      <w:rFonts w:hint="default" w:ascii="Times New Roman" w:hAnsi="Times New Roman" w:eastAsia="宋体" w:cs="Times New Roman"/>
                      <w:b/>
                      <w:bCs/>
                      <w:i w:val="0"/>
                      <w:iCs w:val="0"/>
                      <w:color w:val="auto"/>
                      <w:sz w:val="21"/>
                      <w:szCs w:val="21"/>
                      <w:highlight w:val="none"/>
                      <w:u w:val="none"/>
                    </w:rPr>
                  </w:pPr>
                </w:p>
              </w:tc>
            </w:tr>
            <w:tr w14:paraId="7FD8139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5" w:hRule="atLeast"/>
                <w:jc w:val="center"/>
              </w:trPr>
              <w:tc>
                <w:tcPr>
                  <w:tcW w:w="1144" w:type="dxa"/>
                  <w:vMerge w:val="restart"/>
                  <w:tcBorders>
                    <w:top w:val="nil"/>
                    <w:left w:val="single" w:color="000000" w:sz="8" w:space="0"/>
                    <w:bottom w:val="single" w:color="000000" w:sz="8" w:space="0"/>
                    <w:right w:val="single" w:color="000000" w:sz="8" w:space="0"/>
                  </w:tcBorders>
                  <w:noWrap w:val="0"/>
                  <w:vAlign w:val="center"/>
                </w:tcPr>
                <w:p w14:paraId="76D7E3F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DW001（生活污水）</w:t>
                  </w:r>
                </w:p>
              </w:tc>
              <w:tc>
                <w:tcPr>
                  <w:tcW w:w="1296" w:type="dxa"/>
                  <w:tcBorders>
                    <w:top w:val="nil"/>
                    <w:left w:val="nil"/>
                    <w:bottom w:val="single" w:color="000000" w:sz="8" w:space="0"/>
                    <w:right w:val="single" w:color="000000" w:sz="8" w:space="0"/>
                  </w:tcBorders>
                  <w:noWrap w:val="0"/>
                  <w:vAlign w:val="center"/>
                </w:tcPr>
                <w:p w14:paraId="5768638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流量</w:t>
                  </w:r>
                </w:p>
              </w:tc>
              <w:tc>
                <w:tcPr>
                  <w:tcW w:w="1854" w:type="dxa"/>
                  <w:tcBorders>
                    <w:top w:val="nil"/>
                    <w:left w:val="nil"/>
                    <w:bottom w:val="single" w:color="000000" w:sz="8" w:space="0"/>
                    <w:right w:val="single" w:color="000000" w:sz="8" w:space="0"/>
                  </w:tcBorders>
                  <w:noWrap w:val="0"/>
                  <w:vAlign w:val="center"/>
                </w:tcPr>
                <w:p w14:paraId="2D30145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396" w:type="dxa"/>
                  <w:tcBorders>
                    <w:top w:val="nil"/>
                    <w:left w:val="nil"/>
                    <w:bottom w:val="single" w:color="000000" w:sz="8" w:space="0"/>
                    <w:right w:val="single" w:color="000000" w:sz="8" w:space="0"/>
                  </w:tcBorders>
                  <w:noWrap w:val="0"/>
                  <w:vAlign w:val="center"/>
                </w:tcPr>
                <w:p w14:paraId="40C8ED8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0.3</w:t>
                  </w:r>
                </w:p>
              </w:tc>
              <w:tc>
                <w:tcPr>
                  <w:tcW w:w="1268" w:type="dxa"/>
                  <w:tcBorders>
                    <w:top w:val="nil"/>
                    <w:left w:val="nil"/>
                    <w:bottom w:val="single" w:color="000000" w:sz="8" w:space="0"/>
                    <w:right w:val="single" w:color="000000" w:sz="8" w:space="0"/>
                  </w:tcBorders>
                  <w:noWrap w:val="0"/>
                  <w:vAlign w:val="center"/>
                </w:tcPr>
                <w:p w14:paraId="20F4B6C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cs="Times New Roman"/>
                      <w:i w:val="0"/>
                      <w:iCs w:val="0"/>
                      <w:color w:val="auto"/>
                      <w:kern w:val="0"/>
                      <w:sz w:val="21"/>
                      <w:szCs w:val="21"/>
                      <w:highlight w:val="none"/>
                      <w:u w:val="none"/>
                      <w:lang w:val="en-US" w:eastAsia="zh-CN" w:bidi="ar"/>
                    </w:rPr>
                    <w:t>90</w:t>
                  </w:r>
                </w:p>
              </w:tc>
            </w:tr>
            <w:tr w14:paraId="588E672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1144" w:type="dxa"/>
                  <w:vMerge w:val="continue"/>
                  <w:tcBorders>
                    <w:top w:val="nil"/>
                    <w:left w:val="single" w:color="000000" w:sz="8" w:space="0"/>
                    <w:bottom w:val="single" w:color="000000" w:sz="8" w:space="0"/>
                    <w:right w:val="single" w:color="000000" w:sz="8" w:space="0"/>
                  </w:tcBorders>
                  <w:noWrap w:val="0"/>
                  <w:vAlign w:val="center"/>
                </w:tcPr>
                <w:p w14:paraId="656BD70F">
                  <w:pPr>
                    <w:jc w:val="center"/>
                    <w:rPr>
                      <w:rFonts w:hint="default" w:ascii="Times New Roman" w:hAnsi="Times New Roman" w:eastAsia="宋体" w:cs="Times New Roman"/>
                      <w:i w:val="0"/>
                      <w:iCs w:val="0"/>
                      <w:color w:val="auto"/>
                      <w:sz w:val="21"/>
                      <w:szCs w:val="21"/>
                      <w:highlight w:val="none"/>
                      <w:u w:val="none"/>
                    </w:rPr>
                  </w:pPr>
                </w:p>
              </w:tc>
              <w:tc>
                <w:tcPr>
                  <w:tcW w:w="1296" w:type="dxa"/>
                  <w:tcBorders>
                    <w:top w:val="nil"/>
                    <w:left w:val="nil"/>
                    <w:bottom w:val="single" w:color="000000" w:sz="8" w:space="0"/>
                    <w:right w:val="single" w:color="000000" w:sz="8" w:space="0"/>
                  </w:tcBorders>
                  <w:noWrap w:val="0"/>
                  <w:vAlign w:val="center"/>
                </w:tcPr>
                <w:p w14:paraId="5A0CD65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PH</w:t>
                  </w:r>
                </w:p>
              </w:tc>
              <w:tc>
                <w:tcPr>
                  <w:tcW w:w="4518" w:type="dxa"/>
                  <w:gridSpan w:val="3"/>
                  <w:tcBorders>
                    <w:top w:val="nil"/>
                    <w:left w:val="nil"/>
                    <w:bottom w:val="single" w:color="000000" w:sz="8" w:space="0"/>
                    <w:right w:val="single" w:color="000000" w:sz="8" w:space="0"/>
                  </w:tcBorders>
                  <w:noWrap w:val="0"/>
                  <w:vAlign w:val="center"/>
                </w:tcPr>
                <w:p w14:paraId="65EF4691">
                  <w:pPr>
                    <w:keepNext w:val="0"/>
                    <w:keepLines w:val="0"/>
                    <w:widowControl/>
                    <w:suppressLineNumbers w:val="0"/>
                    <w:jc w:val="center"/>
                    <w:textAlignment w:val="center"/>
                    <w:rPr>
                      <w:rFonts w:hint="eastAsia" w:cs="Times New Roman"/>
                      <w:i w:val="0"/>
                      <w:iCs w:val="0"/>
                      <w:color w:val="auto"/>
                      <w:sz w:val="21"/>
                      <w:szCs w:val="21"/>
                      <w:highlight w:val="none"/>
                      <w:u w:val="none"/>
                      <w:lang w:val="en-US" w:eastAsia="zh-CN"/>
                    </w:rPr>
                  </w:pPr>
                  <w:r>
                    <w:rPr>
                      <w:rFonts w:hint="default" w:ascii="Times New Roman" w:hAnsi="Times New Roman" w:eastAsia="宋体" w:cs="Times New Roman"/>
                      <w:b w:val="0"/>
                      <w:bCs w:val="0"/>
                      <w:color w:val="auto"/>
                      <w:kern w:val="0"/>
                      <w:szCs w:val="21"/>
                      <w:highlight w:val="none"/>
                      <w:lang w:val="en-US" w:eastAsia="zh-CN" w:bidi="ar"/>
                    </w:rPr>
                    <w:t>6-9</w:t>
                  </w:r>
                  <w:r>
                    <w:rPr>
                      <w:rFonts w:hint="eastAsia" w:cs="Times New Roman"/>
                      <w:b w:val="0"/>
                      <w:bCs w:val="0"/>
                      <w:color w:val="auto"/>
                      <w:kern w:val="0"/>
                      <w:szCs w:val="21"/>
                      <w:highlight w:val="none"/>
                      <w:lang w:val="en-US" w:eastAsia="zh-CN" w:bidi="ar"/>
                    </w:rPr>
                    <w:t>（无量纲）</w:t>
                  </w:r>
                </w:p>
              </w:tc>
            </w:tr>
            <w:tr w14:paraId="6882CF3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1144" w:type="dxa"/>
                  <w:vMerge w:val="continue"/>
                  <w:tcBorders>
                    <w:top w:val="nil"/>
                    <w:left w:val="single" w:color="000000" w:sz="8" w:space="0"/>
                    <w:bottom w:val="single" w:color="000000" w:sz="8" w:space="0"/>
                    <w:right w:val="single" w:color="000000" w:sz="8" w:space="0"/>
                  </w:tcBorders>
                  <w:noWrap w:val="0"/>
                  <w:vAlign w:val="center"/>
                </w:tcPr>
                <w:p w14:paraId="2D0B56E2">
                  <w:pPr>
                    <w:jc w:val="center"/>
                    <w:rPr>
                      <w:rFonts w:hint="default" w:ascii="Times New Roman" w:hAnsi="Times New Roman" w:eastAsia="宋体" w:cs="Times New Roman"/>
                      <w:i w:val="0"/>
                      <w:iCs w:val="0"/>
                      <w:color w:val="auto"/>
                      <w:sz w:val="21"/>
                      <w:szCs w:val="21"/>
                      <w:highlight w:val="none"/>
                      <w:u w:val="none"/>
                    </w:rPr>
                  </w:pPr>
                </w:p>
              </w:tc>
              <w:tc>
                <w:tcPr>
                  <w:tcW w:w="1296" w:type="dxa"/>
                  <w:tcBorders>
                    <w:top w:val="nil"/>
                    <w:left w:val="nil"/>
                    <w:bottom w:val="single" w:color="000000" w:sz="8" w:space="0"/>
                    <w:right w:val="single" w:color="000000" w:sz="8" w:space="0"/>
                  </w:tcBorders>
                  <w:noWrap w:val="0"/>
                  <w:vAlign w:val="center"/>
                </w:tcPr>
                <w:p w14:paraId="23D0EE2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COD</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cr</w:t>
                  </w:r>
                </w:p>
              </w:tc>
              <w:tc>
                <w:tcPr>
                  <w:tcW w:w="1854" w:type="dxa"/>
                  <w:tcBorders>
                    <w:top w:val="nil"/>
                    <w:left w:val="nil"/>
                    <w:bottom w:val="single" w:color="000000" w:sz="8" w:space="0"/>
                    <w:right w:val="single" w:color="000000" w:sz="8" w:space="0"/>
                  </w:tcBorders>
                  <w:noWrap w:val="0"/>
                  <w:vAlign w:val="center"/>
                </w:tcPr>
                <w:p w14:paraId="1DAD513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250</w:t>
                  </w:r>
                </w:p>
              </w:tc>
              <w:tc>
                <w:tcPr>
                  <w:tcW w:w="1396" w:type="dxa"/>
                  <w:tcBorders>
                    <w:top w:val="nil"/>
                    <w:left w:val="nil"/>
                    <w:bottom w:val="single" w:color="000000" w:sz="8" w:space="0"/>
                    <w:right w:val="single" w:color="000000" w:sz="8" w:space="0"/>
                  </w:tcBorders>
                  <w:noWrap w:val="0"/>
                  <w:vAlign w:val="center"/>
                </w:tcPr>
                <w:p w14:paraId="07E6B9C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0.000075</w:t>
                  </w:r>
                </w:p>
              </w:tc>
              <w:tc>
                <w:tcPr>
                  <w:tcW w:w="1268" w:type="dxa"/>
                  <w:tcBorders>
                    <w:top w:val="nil"/>
                    <w:left w:val="nil"/>
                    <w:bottom w:val="single" w:color="000000" w:sz="8" w:space="0"/>
                    <w:right w:val="single" w:color="000000" w:sz="8" w:space="0"/>
                  </w:tcBorders>
                  <w:noWrap w:val="0"/>
                  <w:vAlign w:val="center"/>
                </w:tcPr>
                <w:p w14:paraId="3D39A41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0.0225</w:t>
                  </w:r>
                </w:p>
              </w:tc>
            </w:tr>
            <w:tr w14:paraId="743D8D6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jc w:val="center"/>
              </w:trPr>
              <w:tc>
                <w:tcPr>
                  <w:tcW w:w="1144" w:type="dxa"/>
                  <w:vMerge w:val="continue"/>
                  <w:tcBorders>
                    <w:top w:val="nil"/>
                    <w:left w:val="single" w:color="000000" w:sz="8" w:space="0"/>
                    <w:bottom w:val="single" w:color="000000" w:sz="8" w:space="0"/>
                    <w:right w:val="single" w:color="000000" w:sz="8" w:space="0"/>
                  </w:tcBorders>
                  <w:noWrap w:val="0"/>
                  <w:vAlign w:val="center"/>
                </w:tcPr>
                <w:p w14:paraId="2614C018">
                  <w:pPr>
                    <w:jc w:val="center"/>
                    <w:rPr>
                      <w:rFonts w:hint="default" w:ascii="Times New Roman" w:hAnsi="Times New Roman" w:eastAsia="宋体" w:cs="Times New Roman"/>
                      <w:i w:val="0"/>
                      <w:iCs w:val="0"/>
                      <w:color w:val="auto"/>
                      <w:sz w:val="21"/>
                      <w:szCs w:val="21"/>
                      <w:highlight w:val="none"/>
                      <w:u w:val="none"/>
                    </w:rPr>
                  </w:pPr>
                </w:p>
              </w:tc>
              <w:tc>
                <w:tcPr>
                  <w:tcW w:w="1296" w:type="dxa"/>
                  <w:tcBorders>
                    <w:top w:val="nil"/>
                    <w:left w:val="nil"/>
                    <w:bottom w:val="single" w:color="000000" w:sz="8" w:space="0"/>
                    <w:right w:val="single" w:color="000000" w:sz="8" w:space="0"/>
                  </w:tcBorders>
                  <w:noWrap w:val="0"/>
                  <w:vAlign w:val="center"/>
                </w:tcPr>
                <w:p w14:paraId="091675D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BOD</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5</w:t>
                  </w:r>
                </w:p>
              </w:tc>
              <w:tc>
                <w:tcPr>
                  <w:tcW w:w="1854" w:type="dxa"/>
                  <w:tcBorders>
                    <w:top w:val="nil"/>
                    <w:left w:val="nil"/>
                    <w:bottom w:val="single" w:color="000000" w:sz="8" w:space="0"/>
                    <w:right w:val="single" w:color="000000" w:sz="8" w:space="0"/>
                  </w:tcBorders>
                  <w:noWrap w:val="0"/>
                  <w:vAlign w:val="center"/>
                </w:tcPr>
                <w:p w14:paraId="0CEB0D9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150</w:t>
                  </w:r>
                </w:p>
              </w:tc>
              <w:tc>
                <w:tcPr>
                  <w:tcW w:w="1396" w:type="dxa"/>
                  <w:tcBorders>
                    <w:top w:val="nil"/>
                    <w:left w:val="nil"/>
                    <w:bottom w:val="single" w:color="000000" w:sz="8" w:space="0"/>
                    <w:right w:val="single" w:color="000000" w:sz="8" w:space="0"/>
                  </w:tcBorders>
                  <w:noWrap w:val="0"/>
                  <w:vAlign w:val="center"/>
                </w:tcPr>
                <w:p w14:paraId="604126E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0.000045</w:t>
                  </w:r>
                </w:p>
              </w:tc>
              <w:tc>
                <w:tcPr>
                  <w:tcW w:w="1268" w:type="dxa"/>
                  <w:tcBorders>
                    <w:top w:val="nil"/>
                    <w:left w:val="nil"/>
                    <w:bottom w:val="single" w:color="000000" w:sz="8" w:space="0"/>
                    <w:right w:val="single" w:color="000000" w:sz="8" w:space="0"/>
                  </w:tcBorders>
                  <w:noWrap w:val="0"/>
                  <w:vAlign w:val="center"/>
                </w:tcPr>
                <w:p w14:paraId="17638FD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0.0135</w:t>
                  </w:r>
                </w:p>
              </w:tc>
            </w:tr>
            <w:tr w14:paraId="08A630F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1144" w:type="dxa"/>
                  <w:vMerge w:val="continue"/>
                  <w:tcBorders>
                    <w:top w:val="nil"/>
                    <w:left w:val="single" w:color="000000" w:sz="8" w:space="0"/>
                    <w:bottom w:val="single" w:color="000000" w:sz="8" w:space="0"/>
                    <w:right w:val="single" w:color="000000" w:sz="8" w:space="0"/>
                  </w:tcBorders>
                  <w:noWrap w:val="0"/>
                  <w:vAlign w:val="center"/>
                </w:tcPr>
                <w:p w14:paraId="4FAEBA31">
                  <w:pPr>
                    <w:jc w:val="center"/>
                    <w:rPr>
                      <w:rFonts w:hint="default" w:ascii="Times New Roman" w:hAnsi="Times New Roman" w:eastAsia="宋体" w:cs="Times New Roman"/>
                      <w:i w:val="0"/>
                      <w:iCs w:val="0"/>
                      <w:color w:val="auto"/>
                      <w:sz w:val="21"/>
                      <w:szCs w:val="21"/>
                      <w:highlight w:val="none"/>
                      <w:u w:val="none"/>
                    </w:rPr>
                  </w:pPr>
                </w:p>
              </w:tc>
              <w:tc>
                <w:tcPr>
                  <w:tcW w:w="1296" w:type="dxa"/>
                  <w:tcBorders>
                    <w:top w:val="nil"/>
                    <w:left w:val="nil"/>
                    <w:bottom w:val="single" w:color="000000" w:sz="8" w:space="0"/>
                    <w:right w:val="single" w:color="000000" w:sz="8" w:space="0"/>
                  </w:tcBorders>
                  <w:noWrap w:val="0"/>
                  <w:vAlign w:val="center"/>
                </w:tcPr>
                <w:p w14:paraId="5755FE6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SS</w:t>
                  </w:r>
                </w:p>
              </w:tc>
              <w:tc>
                <w:tcPr>
                  <w:tcW w:w="1854" w:type="dxa"/>
                  <w:tcBorders>
                    <w:top w:val="nil"/>
                    <w:left w:val="nil"/>
                    <w:bottom w:val="single" w:color="000000" w:sz="8" w:space="0"/>
                    <w:right w:val="single" w:color="000000" w:sz="8" w:space="0"/>
                  </w:tcBorders>
                  <w:noWrap w:val="0"/>
                  <w:vAlign w:val="center"/>
                </w:tcPr>
                <w:p w14:paraId="62AB903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150</w:t>
                  </w:r>
                </w:p>
              </w:tc>
              <w:tc>
                <w:tcPr>
                  <w:tcW w:w="1396" w:type="dxa"/>
                  <w:tcBorders>
                    <w:top w:val="nil"/>
                    <w:left w:val="nil"/>
                    <w:bottom w:val="single" w:color="000000" w:sz="8" w:space="0"/>
                    <w:right w:val="single" w:color="000000" w:sz="8" w:space="0"/>
                  </w:tcBorders>
                  <w:noWrap w:val="0"/>
                  <w:vAlign w:val="center"/>
                </w:tcPr>
                <w:p w14:paraId="3154423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sz w:val="21"/>
                      <w:szCs w:val="21"/>
                      <w:highlight w:val="none"/>
                      <w:u w:val="none"/>
                      <w:lang w:val="en-US" w:eastAsia="zh-CN"/>
                    </w:rPr>
                    <w:t>0.000045</w:t>
                  </w:r>
                </w:p>
              </w:tc>
              <w:tc>
                <w:tcPr>
                  <w:tcW w:w="1268" w:type="dxa"/>
                  <w:tcBorders>
                    <w:top w:val="nil"/>
                    <w:left w:val="nil"/>
                    <w:bottom w:val="single" w:color="000000" w:sz="8" w:space="0"/>
                    <w:right w:val="single" w:color="000000" w:sz="8" w:space="0"/>
                  </w:tcBorders>
                  <w:noWrap w:val="0"/>
                  <w:vAlign w:val="center"/>
                </w:tcPr>
                <w:p w14:paraId="28876E8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sz w:val="21"/>
                      <w:szCs w:val="21"/>
                      <w:highlight w:val="none"/>
                      <w:u w:val="none"/>
                      <w:lang w:val="en-US" w:eastAsia="zh-CN"/>
                    </w:rPr>
                    <w:t>0.0135</w:t>
                  </w:r>
                </w:p>
              </w:tc>
            </w:tr>
            <w:tr w14:paraId="4748F3E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jc w:val="center"/>
              </w:trPr>
              <w:tc>
                <w:tcPr>
                  <w:tcW w:w="1144" w:type="dxa"/>
                  <w:vMerge w:val="continue"/>
                  <w:tcBorders>
                    <w:top w:val="nil"/>
                    <w:left w:val="single" w:color="000000" w:sz="8" w:space="0"/>
                    <w:bottom w:val="single" w:color="000000" w:sz="8" w:space="0"/>
                    <w:right w:val="single" w:color="000000" w:sz="8" w:space="0"/>
                  </w:tcBorders>
                  <w:noWrap w:val="0"/>
                  <w:vAlign w:val="center"/>
                </w:tcPr>
                <w:p w14:paraId="6D3A0EDA">
                  <w:pPr>
                    <w:jc w:val="center"/>
                    <w:rPr>
                      <w:rFonts w:hint="default" w:ascii="Times New Roman" w:hAnsi="Times New Roman" w:eastAsia="宋体" w:cs="Times New Roman"/>
                      <w:i w:val="0"/>
                      <w:iCs w:val="0"/>
                      <w:color w:val="auto"/>
                      <w:sz w:val="21"/>
                      <w:szCs w:val="21"/>
                      <w:highlight w:val="none"/>
                      <w:u w:val="none"/>
                    </w:rPr>
                  </w:pPr>
                </w:p>
              </w:tc>
              <w:tc>
                <w:tcPr>
                  <w:tcW w:w="1296" w:type="dxa"/>
                  <w:tcBorders>
                    <w:top w:val="nil"/>
                    <w:left w:val="nil"/>
                    <w:bottom w:val="single" w:color="000000" w:sz="8" w:space="0"/>
                    <w:right w:val="single" w:color="000000" w:sz="8" w:space="0"/>
                  </w:tcBorders>
                  <w:noWrap w:val="0"/>
                  <w:vAlign w:val="center"/>
                </w:tcPr>
                <w:p w14:paraId="7647E8A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NH</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3</w:t>
                  </w:r>
                  <w:r>
                    <w:rPr>
                      <w:rFonts w:hint="default" w:ascii="Times New Roman" w:hAnsi="Times New Roman" w:eastAsia="宋体" w:cs="Times New Roman"/>
                      <w:i w:val="0"/>
                      <w:iCs w:val="0"/>
                      <w:color w:val="auto"/>
                      <w:kern w:val="0"/>
                      <w:sz w:val="21"/>
                      <w:szCs w:val="21"/>
                      <w:highlight w:val="none"/>
                      <w:u w:val="none"/>
                      <w:lang w:val="en-US" w:eastAsia="zh-CN" w:bidi="ar"/>
                    </w:rPr>
                    <w:t>-N</w:t>
                  </w:r>
                </w:p>
              </w:tc>
              <w:tc>
                <w:tcPr>
                  <w:tcW w:w="1854" w:type="dxa"/>
                  <w:tcBorders>
                    <w:top w:val="nil"/>
                    <w:left w:val="nil"/>
                    <w:bottom w:val="single" w:color="000000" w:sz="8" w:space="0"/>
                    <w:right w:val="single" w:color="000000" w:sz="8" w:space="0"/>
                  </w:tcBorders>
                  <w:noWrap w:val="0"/>
                  <w:vAlign w:val="center"/>
                </w:tcPr>
                <w:p w14:paraId="471BAFF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30</w:t>
                  </w:r>
                </w:p>
              </w:tc>
              <w:tc>
                <w:tcPr>
                  <w:tcW w:w="1396" w:type="dxa"/>
                  <w:tcBorders>
                    <w:top w:val="nil"/>
                    <w:left w:val="nil"/>
                    <w:bottom w:val="single" w:color="000000" w:sz="8" w:space="0"/>
                    <w:right w:val="single" w:color="000000" w:sz="8" w:space="0"/>
                  </w:tcBorders>
                  <w:noWrap w:val="0"/>
                  <w:vAlign w:val="center"/>
                </w:tcPr>
                <w:p w14:paraId="7A5E875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0.000009</w:t>
                  </w:r>
                </w:p>
              </w:tc>
              <w:tc>
                <w:tcPr>
                  <w:tcW w:w="1268" w:type="dxa"/>
                  <w:tcBorders>
                    <w:top w:val="nil"/>
                    <w:left w:val="nil"/>
                    <w:bottom w:val="single" w:color="000000" w:sz="8" w:space="0"/>
                    <w:right w:val="single" w:color="000000" w:sz="8" w:space="0"/>
                  </w:tcBorders>
                  <w:noWrap w:val="0"/>
                  <w:vAlign w:val="center"/>
                </w:tcPr>
                <w:p w14:paraId="2A262CC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0.0027</w:t>
                  </w:r>
                </w:p>
              </w:tc>
            </w:tr>
            <w:tr w14:paraId="33E02C9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7" w:hRule="atLeast"/>
                <w:jc w:val="center"/>
              </w:trPr>
              <w:tc>
                <w:tcPr>
                  <w:tcW w:w="1144" w:type="dxa"/>
                  <w:vMerge w:val="restart"/>
                  <w:tcBorders>
                    <w:top w:val="nil"/>
                    <w:left w:val="single" w:color="000000" w:sz="8" w:space="0"/>
                    <w:right w:val="single" w:color="000000" w:sz="8" w:space="0"/>
                  </w:tcBorders>
                  <w:noWrap w:val="0"/>
                  <w:vAlign w:val="center"/>
                </w:tcPr>
                <w:p w14:paraId="6262D25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全厂排放口合计</w:t>
                  </w:r>
                </w:p>
              </w:tc>
              <w:tc>
                <w:tcPr>
                  <w:tcW w:w="1296" w:type="dxa"/>
                  <w:tcBorders>
                    <w:top w:val="nil"/>
                    <w:left w:val="nil"/>
                    <w:bottom w:val="single" w:color="000000" w:sz="8" w:space="0"/>
                    <w:right w:val="single" w:color="000000" w:sz="8" w:space="0"/>
                  </w:tcBorders>
                  <w:noWrap w:val="0"/>
                  <w:vAlign w:val="center"/>
                </w:tcPr>
                <w:p w14:paraId="2FBC365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PH</w:t>
                  </w:r>
                </w:p>
              </w:tc>
              <w:tc>
                <w:tcPr>
                  <w:tcW w:w="4518" w:type="dxa"/>
                  <w:gridSpan w:val="3"/>
                  <w:tcBorders>
                    <w:top w:val="nil"/>
                    <w:left w:val="nil"/>
                    <w:bottom w:val="single" w:color="000000" w:sz="8" w:space="0"/>
                    <w:right w:val="single" w:color="000000" w:sz="8" w:space="0"/>
                  </w:tcBorders>
                  <w:noWrap w:val="0"/>
                  <w:vAlign w:val="center"/>
                </w:tcPr>
                <w:p w14:paraId="272893A6">
                  <w:pPr>
                    <w:keepNext w:val="0"/>
                    <w:keepLines w:val="0"/>
                    <w:widowControl/>
                    <w:suppressLineNumbers w:val="0"/>
                    <w:jc w:val="center"/>
                    <w:textAlignment w:val="center"/>
                    <w:rPr>
                      <w:rFonts w:hint="eastAsia" w:cs="Times New Roman"/>
                      <w:i w:val="0"/>
                      <w:iCs w:val="0"/>
                      <w:color w:val="auto"/>
                      <w:sz w:val="21"/>
                      <w:szCs w:val="21"/>
                      <w:highlight w:val="none"/>
                      <w:u w:val="none"/>
                      <w:lang w:val="en-US" w:eastAsia="zh-CN"/>
                    </w:rPr>
                  </w:pPr>
                  <w:r>
                    <w:rPr>
                      <w:rFonts w:hint="default" w:ascii="Times New Roman" w:hAnsi="Times New Roman" w:eastAsia="宋体" w:cs="Times New Roman"/>
                      <w:b w:val="0"/>
                      <w:bCs w:val="0"/>
                      <w:color w:val="auto"/>
                      <w:kern w:val="0"/>
                      <w:szCs w:val="21"/>
                      <w:highlight w:val="none"/>
                      <w:lang w:val="en-US" w:eastAsia="zh-CN" w:bidi="ar"/>
                    </w:rPr>
                    <w:t>6-9</w:t>
                  </w:r>
                  <w:r>
                    <w:rPr>
                      <w:rFonts w:hint="eastAsia" w:cs="Times New Roman"/>
                      <w:b w:val="0"/>
                      <w:bCs w:val="0"/>
                      <w:color w:val="auto"/>
                      <w:kern w:val="0"/>
                      <w:szCs w:val="21"/>
                      <w:highlight w:val="none"/>
                      <w:lang w:val="en-US" w:eastAsia="zh-CN" w:bidi="ar"/>
                    </w:rPr>
                    <w:t>（无量纲）</w:t>
                  </w:r>
                </w:p>
              </w:tc>
            </w:tr>
            <w:tr w14:paraId="10E6111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1" w:hRule="atLeast"/>
                <w:jc w:val="center"/>
              </w:trPr>
              <w:tc>
                <w:tcPr>
                  <w:tcW w:w="1144" w:type="dxa"/>
                  <w:vMerge w:val="continue"/>
                  <w:tcBorders>
                    <w:left w:val="single" w:color="000000" w:sz="8" w:space="0"/>
                    <w:right w:val="single" w:color="000000" w:sz="8" w:space="0"/>
                  </w:tcBorders>
                  <w:noWrap w:val="0"/>
                  <w:vAlign w:val="center"/>
                </w:tcPr>
                <w:p w14:paraId="4F3CA30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p>
              </w:tc>
              <w:tc>
                <w:tcPr>
                  <w:tcW w:w="1296" w:type="dxa"/>
                  <w:tcBorders>
                    <w:top w:val="nil"/>
                    <w:left w:val="nil"/>
                    <w:bottom w:val="single" w:color="000000" w:sz="8" w:space="0"/>
                    <w:right w:val="single" w:color="000000" w:sz="8" w:space="0"/>
                  </w:tcBorders>
                  <w:noWrap w:val="0"/>
                  <w:vAlign w:val="center"/>
                </w:tcPr>
                <w:p w14:paraId="34A0B47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COD</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cr</w:t>
                  </w:r>
                </w:p>
              </w:tc>
              <w:tc>
                <w:tcPr>
                  <w:tcW w:w="1854" w:type="dxa"/>
                  <w:tcBorders>
                    <w:top w:val="nil"/>
                    <w:left w:val="nil"/>
                    <w:bottom w:val="single" w:color="000000" w:sz="8" w:space="0"/>
                    <w:right w:val="single" w:color="000000" w:sz="8" w:space="0"/>
                  </w:tcBorders>
                  <w:noWrap w:val="0"/>
                  <w:vAlign w:val="center"/>
                </w:tcPr>
                <w:p w14:paraId="00BB448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250</w:t>
                  </w:r>
                </w:p>
              </w:tc>
              <w:tc>
                <w:tcPr>
                  <w:tcW w:w="1396" w:type="dxa"/>
                  <w:tcBorders>
                    <w:top w:val="nil"/>
                    <w:left w:val="nil"/>
                    <w:bottom w:val="single" w:color="000000" w:sz="8" w:space="0"/>
                    <w:right w:val="single" w:color="000000" w:sz="8" w:space="0"/>
                  </w:tcBorders>
                  <w:noWrap w:val="0"/>
                  <w:vAlign w:val="center"/>
                </w:tcPr>
                <w:p w14:paraId="70DB6E0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sz w:val="21"/>
                      <w:szCs w:val="21"/>
                      <w:highlight w:val="none"/>
                      <w:u w:val="none"/>
                      <w:lang w:val="en-US" w:eastAsia="zh-CN"/>
                    </w:rPr>
                    <w:t>0.000075</w:t>
                  </w:r>
                </w:p>
              </w:tc>
              <w:tc>
                <w:tcPr>
                  <w:tcW w:w="1268" w:type="dxa"/>
                  <w:tcBorders>
                    <w:top w:val="nil"/>
                    <w:left w:val="nil"/>
                    <w:bottom w:val="single" w:color="000000" w:sz="8" w:space="0"/>
                    <w:right w:val="single" w:color="000000" w:sz="8" w:space="0"/>
                  </w:tcBorders>
                  <w:noWrap w:val="0"/>
                  <w:vAlign w:val="center"/>
                </w:tcPr>
                <w:p w14:paraId="521CE04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cs="Times New Roman"/>
                      <w:i w:val="0"/>
                      <w:iCs w:val="0"/>
                      <w:color w:val="auto"/>
                      <w:sz w:val="21"/>
                      <w:szCs w:val="21"/>
                      <w:highlight w:val="none"/>
                      <w:u w:val="none"/>
                      <w:lang w:val="en-US" w:eastAsia="zh-CN"/>
                    </w:rPr>
                    <w:t>0.0225</w:t>
                  </w:r>
                </w:p>
              </w:tc>
            </w:tr>
            <w:tr w14:paraId="4F3E08B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jc w:val="center"/>
              </w:trPr>
              <w:tc>
                <w:tcPr>
                  <w:tcW w:w="1144" w:type="dxa"/>
                  <w:vMerge w:val="continue"/>
                  <w:tcBorders>
                    <w:left w:val="single" w:color="000000" w:sz="8" w:space="0"/>
                    <w:right w:val="single" w:color="000000" w:sz="8" w:space="0"/>
                  </w:tcBorders>
                  <w:noWrap w:val="0"/>
                  <w:vAlign w:val="center"/>
                </w:tcPr>
                <w:p w14:paraId="44188C4E">
                  <w:pPr>
                    <w:jc w:val="center"/>
                    <w:rPr>
                      <w:rFonts w:hint="default" w:ascii="Times New Roman" w:hAnsi="Times New Roman" w:eastAsia="宋体" w:cs="Times New Roman"/>
                      <w:i w:val="0"/>
                      <w:iCs w:val="0"/>
                      <w:color w:val="auto"/>
                      <w:sz w:val="21"/>
                      <w:szCs w:val="21"/>
                      <w:highlight w:val="none"/>
                      <w:u w:val="none"/>
                    </w:rPr>
                  </w:pPr>
                </w:p>
              </w:tc>
              <w:tc>
                <w:tcPr>
                  <w:tcW w:w="1296" w:type="dxa"/>
                  <w:tcBorders>
                    <w:top w:val="nil"/>
                    <w:left w:val="nil"/>
                    <w:bottom w:val="single" w:color="000000" w:sz="8" w:space="0"/>
                    <w:right w:val="single" w:color="000000" w:sz="8" w:space="0"/>
                  </w:tcBorders>
                  <w:noWrap w:val="0"/>
                  <w:vAlign w:val="center"/>
                </w:tcPr>
                <w:p w14:paraId="102F4B7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BOD</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5</w:t>
                  </w:r>
                </w:p>
              </w:tc>
              <w:tc>
                <w:tcPr>
                  <w:tcW w:w="1854" w:type="dxa"/>
                  <w:tcBorders>
                    <w:top w:val="nil"/>
                    <w:left w:val="nil"/>
                    <w:bottom w:val="single" w:color="000000" w:sz="8" w:space="0"/>
                    <w:right w:val="single" w:color="000000" w:sz="8" w:space="0"/>
                  </w:tcBorders>
                  <w:noWrap w:val="0"/>
                  <w:vAlign w:val="center"/>
                </w:tcPr>
                <w:p w14:paraId="50C6A3C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150</w:t>
                  </w:r>
                </w:p>
              </w:tc>
              <w:tc>
                <w:tcPr>
                  <w:tcW w:w="1396" w:type="dxa"/>
                  <w:tcBorders>
                    <w:top w:val="nil"/>
                    <w:left w:val="nil"/>
                    <w:bottom w:val="single" w:color="000000" w:sz="8" w:space="0"/>
                    <w:right w:val="single" w:color="000000" w:sz="8" w:space="0"/>
                  </w:tcBorders>
                  <w:noWrap w:val="0"/>
                  <w:vAlign w:val="center"/>
                </w:tcPr>
                <w:p w14:paraId="0C245A4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sz w:val="21"/>
                      <w:szCs w:val="21"/>
                      <w:highlight w:val="none"/>
                      <w:u w:val="none"/>
                      <w:lang w:val="en-US" w:eastAsia="zh-CN"/>
                    </w:rPr>
                    <w:t>0.000045</w:t>
                  </w:r>
                </w:p>
              </w:tc>
              <w:tc>
                <w:tcPr>
                  <w:tcW w:w="1268" w:type="dxa"/>
                  <w:tcBorders>
                    <w:top w:val="nil"/>
                    <w:left w:val="nil"/>
                    <w:bottom w:val="single" w:color="000000" w:sz="8" w:space="0"/>
                    <w:right w:val="single" w:color="000000" w:sz="8" w:space="0"/>
                  </w:tcBorders>
                  <w:noWrap w:val="0"/>
                  <w:vAlign w:val="center"/>
                </w:tcPr>
                <w:p w14:paraId="4763395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sz w:val="21"/>
                      <w:szCs w:val="21"/>
                      <w:highlight w:val="none"/>
                      <w:u w:val="none"/>
                      <w:lang w:val="en-US" w:eastAsia="zh-CN"/>
                    </w:rPr>
                    <w:t>0.0135</w:t>
                  </w:r>
                </w:p>
              </w:tc>
            </w:tr>
            <w:tr w14:paraId="35C9A20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jc w:val="center"/>
              </w:trPr>
              <w:tc>
                <w:tcPr>
                  <w:tcW w:w="1144" w:type="dxa"/>
                  <w:vMerge w:val="continue"/>
                  <w:tcBorders>
                    <w:left w:val="single" w:color="000000" w:sz="8" w:space="0"/>
                    <w:right w:val="single" w:color="000000" w:sz="8" w:space="0"/>
                  </w:tcBorders>
                  <w:noWrap w:val="0"/>
                  <w:vAlign w:val="center"/>
                </w:tcPr>
                <w:p w14:paraId="517F8855">
                  <w:pPr>
                    <w:jc w:val="center"/>
                    <w:rPr>
                      <w:rFonts w:hint="default" w:ascii="Times New Roman" w:hAnsi="Times New Roman" w:eastAsia="宋体" w:cs="Times New Roman"/>
                      <w:i w:val="0"/>
                      <w:iCs w:val="0"/>
                      <w:color w:val="auto"/>
                      <w:sz w:val="21"/>
                      <w:szCs w:val="21"/>
                      <w:highlight w:val="none"/>
                      <w:u w:val="none"/>
                    </w:rPr>
                  </w:pPr>
                </w:p>
              </w:tc>
              <w:tc>
                <w:tcPr>
                  <w:tcW w:w="1296" w:type="dxa"/>
                  <w:tcBorders>
                    <w:top w:val="nil"/>
                    <w:left w:val="nil"/>
                    <w:bottom w:val="single" w:color="000000" w:sz="8" w:space="0"/>
                    <w:right w:val="single" w:color="000000" w:sz="8" w:space="0"/>
                  </w:tcBorders>
                  <w:noWrap w:val="0"/>
                  <w:vAlign w:val="center"/>
                </w:tcPr>
                <w:p w14:paraId="5BD6004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SS</w:t>
                  </w:r>
                </w:p>
              </w:tc>
              <w:tc>
                <w:tcPr>
                  <w:tcW w:w="1854" w:type="dxa"/>
                  <w:tcBorders>
                    <w:top w:val="nil"/>
                    <w:left w:val="nil"/>
                    <w:bottom w:val="single" w:color="000000" w:sz="8" w:space="0"/>
                    <w:right w:val="single" w:color="000000" w:sz="8" w:space="0"/>
                  </w:tcBorders>
                  <w:noWrap w:val="0"/>
                  <w:vAlign w:val="center"/>
                </w:tcPr>
                <w:p w14:paraId="54CBDC6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150</w:t>
                  </w:r>
                </w:p>
              </w:tc>
              <w:tc>
                <w:tcPr>
                  <w:tcW w:w="1396" w:type="dxa"/>
                  <w:tcBorders>
                    <w:top w:val="nil"/>
                    <w:left w:val="nil"/>
                    <w:bottom w:val="single" w:color="000000" w:sz="8" w:space="0"/>
                    <w:right w:val="single" w:color="000000" w:sz="8" w:space="0"/>
                  </w:tcBorders>
                  <w:noWrap w:val="0"/>
                  <w:vAlign w:val="center"/>
                </w:tcPr>
                <w:p w14:paraId="57C9B3F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sz w:val="21"/>
                      <w:szCs w:val="21"/>
                      <w:highlight w:val="none"/>
                      <w:u w:val="none"/>
                      <w:lang w:val="en-US" w:eastAsia="zh-CN"/>
                    </w:rPr>
                    <w:t>0.000045</w:t>
                  </w:r>
                </w:p>
              </w:tc>
              <w:tc>
                <w:tcPr>
                  <w:tcW w:w="1268" w:type="dxa"/>
                  <w:tcBorders>
                    <w:top w:val="nil"/>
                    <w:left w:val="nil"/>
                    <w:bottom w:val="single" w:color="000000" w:sz="8" w:space="0"/>
                    <w:right w:val="single" w:color="000000" w:sz="8" w:space="0"/>
                  </w:tcBorders>
                  <w:noWrap w:val="0"/>
                  <w:vAlign w:val="center"/>
                </w:tcPr>
                <w:p w14:paraId="50D5E19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sz w:val="21"/>
                      <w:szCs w:val="21"/>
                      <w:highlight w:val="none"/>
                      <w:u w:val="none"/>
                      <w:lang w:val="en-US" w:eastAsia="zh-CN"/>
                    </w:rPr>
                    <w:t>0.0135</w:t>
                  </w:r>
                </w:p>
              </w:tc>
            </w:tr>
            <w:tr w14:paraId="5FDB81C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1144" w:type="dxa"/>
                  <w:vMerge w:val="continue"/>
                  <w:tcBorders>
                    <w:left w:val="single" w:color="000000" w:sz="8" w:space="0"/>
                    <w:bottom w:val="single" w:color="000000" w:sz="8" w:space="0"/>
                    <w:right w:val="single" w:color="000000" w:sz="8" w:space="0"/>
                  </w:tcBorders>
                  <w:noWrap w:val="0"/>
                  <w:vAlign w:val="center"/>
                </w:tcPr>
                <w:p w14:paraId="51B7DFF7">
                  <w:pPr>
                    <w:jc w:val="center"/>
                    <w:rPr>
                      <w:rFonts w:hint="default" w:ascii="Times New Roman" w:hAnsi="Times New Roman" w:eastAsia="宋体" w:cs="Times New Roman"/>
                      <w:i w:val="0"/>
                      <w:iCs w:val="0"/>
                      <w:color w:val="auto"/>
                      <w:sz w:val="21"/>
                      <w:szCs w:val="21"/>
                      <w:highlight w:val="none"/>
                      <w:u w:val="none"/>
                    </w:rPr>
                  </w:pPr>
                </w:p>
              </w:tc>
              <w:tc>
                <w:tcPr>
                  <w:tcW w:w="1296" w:type="dxa"/>
                  <w:tcBorders>
                    <w:top w:val="nil"/>
                    <w:left w:val="nil"/>
                    <w:bottom w:val="single" w:color="000000" w:sz="8" w:space="0"/>
                    <w:right w:val="single" w:color="000000" w:sz="8" w:space="0"/>
                  </w:tcBorders>
                  <w:noWrap w:val="0"/>
                  <w:vAlign w:val="center"/>
                </w:tcPr>
                <w:p w14:paraId="497ACA1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NH</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3</w:t>
                  </w:r>
                  <w:r>
                    <w:rPr>
                      <w:rFonts w:hint="default" w:ascii="Times New Roman" w:hAnsi="Times New Roman" w:eastAsia="宋体" w:cs="Times New Roman"/>
                      <w:i w:val="0"/>
                      <w:iCs w:val="0"/>
                      <w:color w:val="auto"/>
                      <w:kern w:val="0"/>
                      <w:sz w:val="21"/>
                      <w:szCs w:val="21"/>
                      <w:highlight w:val="none"/>
                      <w:u w:val="none"/>
                      <w:lang w:val="en-US" w:eastAsia="zh-CN" w:bidi="ar"/>
                    </w:rPr>
                    <w:t>-N</w:t>
                  </w:r>
                </w:p>
              </w:tc>
              <w:tc>
                <w:tcPr>
                  <w:tcW w:w="1854" w:type="dxa"/>
                  <w:tcBorders>
                    <w:top w:val="nil"/>
                    <w:left w:val="nil"/>
                    <w:bottom w:val="single" w:color="000000" w:sz="8" w:space="0"/>
                    <w:right w:val="single" w:color="000000" w:sz="8" w:space="0"/>
                  </w:tcBorders>
                  <w:noWrap w:val="0"/>
                  <w:vAlign w:val="center"/>
                </w:tcPr>
                <w:p w14:paraId="7A2B578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30</w:t>
                  </w:r>
                </w:p>
              </w:tc>
              <w:tc>
                <w:tcPr>
                  <w:tcW w:w="1396" w:type="dxa"/>
                  <w:tcBorders>
                    <w:top w:val="nil"/>
                    <w:left w:val="nil"/>
                    <w:bottom w:val="single" w:color="000000" w:sz="8" w:space="0"/>
                    <w:right w:val="single" w:color="000000" w:sz="8" w:space="0"/>
                  </w:tcBorders>
                  <w:noWrap w:val="0"/>
                  <w:vAlign w:val="center"/>
                </w:tcPr>
                <w:p w14:paraId="021BB98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sz w:val="21"/>
                      <w:szCs w:val="21"/>
                      <w:highlight w:val="none"/>
                      <w:u w:val="none"/>
                      <w:lang w:val="en-US" w:eastAsia="zh-CN"/>
                    </w:rPr>
                    <w:t>0.000009</w:t>
                  </w:r>
                </w:p>
              </w:tc>
              <w:tc>
                <w:tcPr>
                  <w:tcW w:w="1268" w:type="dxa"/>
                  <w:tcBorders>
                    <w:top w:val="nil"/>
                    <w:left w:val="nil"/>
                    <w:bottom w:val="single" w:color="000000" w:sz="8" w:space="0"/>
                    <w:right w:val="single" w:color="000000" w:sz="8" w:space="0"/>
                  </w:tcBorders>
                  <w:noWrap w:val="0"/>
                  <w:vAlign w:val="center"/>
                </w:tcPr>
                <w:p w14:paraId="1C39C1D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sz w:val="21"/>
                      <w:szCs w:val="21"/>
                      <w:highlight w:val="none"/>
                      <w:u w:val="none"/>
                      <w:lang w:val="en-US" w:eastAsia="zh-CN"/>
                    </w:rPr>
                    <w:t>0.0027</w:t>
                  </w:r>
                </w:p>
              </w:tc>
            </w:tr>
          </w:tbl>
          <w:p w14:paraId="2F1E53A7">
            <w:pPr>
              <w:snapToGrid w:val="0"/>
              <w:spacing w:line="360" w:lineRule="auto"/>
              <w:ind w:firstLine="420" w:firstLineChars="200"/>
              <w:rPr>
                <w:rFonts w:hint="default" w:ascii="Times New Roman" w:hAnsi="Times New Roman" w:cs="Times New Roman"/>
                <w:color w:val="auto"/>
                <w:szCs w:val="21"/>
                <w:highlight w:val="none"/>
              </w:rPr>
            </w:pPr>
            <w:r>
              <w:rPr>
                <w:rFonts w:hint="default" w:ascii="Times New Roman" w:hAnsi="Times New Roman" w:eastAsia="宋体" w:cs="Times New Roman"/>
                <w:color w:val="auto"/>
                <w:sz w:val="21"/>
                <w:szCs w:val="21"/>
                <w:highlight w:val="none"/>
              </w:rPr>
              <w:t>项目生活污水经三级化粪池预处理达到广东省地方标准《水污染物排放限值》(DB44/26-2001)第二时段三级标准后，经市政污水管道进入</w:t>
            </w:r>
            <w:r>
              <w:rPr>
                <w:rFonts w:hint="eastAsia" w:cs="Times New Roman"/>
                <w:color w:val="auto"/>
                <w:sz w:val="21"/>
                <w:szCs w:val="21"/>
                <w:highlight w:val="none"/>
                <w:lang w:eastAsia="zh-CN"/>
              </w:rPr>
              <w:t>中山市珍家山污水处理有限公司</w:t>
            </w:r>
            <w:r>
              <w:rPr>
                <w:rFonts w:hint="default" w:ascii="Times New Roman" w:hAnsi="Times New Roman" w:eastAsia="宋体" w:cs="Times New Roman"/>
                <w:color w:val="auto"/>
                <w:sz w:val="21"/>
                <w:szCs w:val="21"/>
                <w:highlight w:val="none"/>
              </w:rPr>
              <w:t>深度处理达标后排放；</w:t>
            </w:r>
            <w:r>
              <w:rPr>
                <w:rFonts w:hint="default" w:ascii="Times New Roman" w:hAnsi="Times New Roman" w:cs="Times New Roman"/>
                <w:color w:val="auto"/>
                <w:szCs w:val="21"/>
                <w:highlight w:val="none"/>
                <w:lang w:val="en-US" w:eastAsia="zh-CN"/>
              </w:rPr>
              <w:t>超声波废水、手工清洗废水、水样废水及喷淋废水</w:t>
            </w:r>
            <w:r>
              <w:rPr>
                <w:rFonts w:hint="default" w:ascii="Times New Roman" w:hAnsi="Times New Roman" w:cs="Times New Roman"/>
                <w:color w:val="auto"/>
                <w:szCs w:val="21"/>
                <w:highlight w:val="none"/>
              </w:rPr>
              <w:t>交有废水处理能力的单位转移处理，不设自行监测计划。</w:t>
            </w:r>
          </w:p>
          <w:p w14:paraId="5D3D5E00">
            <w:pPr>
              <w:shd w:val="clear"/>
              <w:spacing w:line="360" w:lineRule="auto"/>
              <w:ind w:firstLine="420" w:firstLineChars="200"/>
              <w:jc w:val="both"/>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综上所述，外排废水对纳污水体及周边水环境影响不大。</w:t>
            </w:r>
          </w:p>
          <w:p w14:paraId="7DD1393E">
            <w:pPr>
              <w:snapToGrid w:val="0"/>
              <w:spacing w:line="360" w:lineRule="auto"/>
              <w:ind w:firstLine="422" w:firstLineChars="200"/>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环境保护措施与监测计划</w:t>
            </w:r>
          </w:p>
          <w:p w14:paraId="5FD117F8">
            <w:pPr>
              <w:snapToGrid w:val="0"/>
              <w:spacing w:line="360" w:lineRule="auto"/>
              <w:ind w:firstLine="420" w:firstLineChars="200"/>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项目主要排水为生活污水</w:t>
            </w:r>
            <w:r>
              <w:rPr>
                <w:rFonts w:hint="default"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lang w:val="en-US" w:eastAsia="zh-CN"/>
              </w:rPr>
              <w:t>超声波废水、手工清洗废水、水样废水及喷淋废水</w:t>
            </w:r>
            <w:r>
              <w:rPr>
                <w:rFonts w:hint="default" w:ascii="Times New Roman" w:hAnsi="Times New Roman" w:eastAsia="宋体" w:cs="Times New Roman"/>
                <w:color w:val="auto"/>
                <w:szCs w:val="21"/>
                <w:highlight w:val="none"/>
              </w:rPr>
              <w:t>。</w:t>
            </w:r>
          </w:p>
          <w:p w14:paraId="7AB3E777">
            <w:pPr>
              <w:snapToGrid w:val="0"/>
              <w:spacing w:line="360" w:lineRule="auto"/>
              <w:ind w:firstLine="420" w:firstLineChars="200"/>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项目生活污水</w:t>
            </w:r>
            <w:r>
              <w:rPr>
                <w:rFonts w:hint="default" w:ascii="Times New Roman" w:hAnsi="Times New Roman" w:eastAsia="宋体" w:cs="Times New Roman"/>
                <w:bCs/>
                <w:color w:val="auto"/>
                <w:sz w:val="21"/>
                <w:szCs w:val="21"/>
                <w:highlight w:val="none"/>
                <w:lang w:val="en-US"/>
              </w:rPr>
              <w:t>交由</w:t>
            </w:r>
            <w:r>
              <w:rPr>
                <w:rFonts w:hint="default" w:ascii="Times New Roman" w:hAnsi="Times New Roman" w:eastAsia="宋体" w:cs="Times New Roman"/>
                <w:color w:val="auto"/>
                <w:spacing w:val="1"/>
                <w:highlight w:val="none"/>
                <w:lang w:val="zh-CN" w:eastAsia="zh-CN"/>
              </w:rPr>
              <w:t>中山市珍家山污水处理有限公司</w:t>
            </w:r>
            <w:r>
              <w:rPr>
                <w:rFonts w:hint="default" w:ascii="Times New Roman" w:hAnsi="Times New Roman" w:eastAsia="宋体" w:cs="Times New Roman"/>
                <w:color w:val="auto"/>
                <w:spacing w:val="1"/>
                <w:highlight w:val="none"/>
                <w:lang w:val="en-US" w:eastAsia="zh-CN"/>
              </w:rPr>
              <w:t>处理后排入</w:t>
            </w:r>
            <w:r>
              <w:rPr>
                <w:rFonts w:hint="eastAsia" w:ascii="Times New Roman" w:hAnsi="Times New Roman" w:eastAsia="宋体" w:cs="Times New Roman"/>
                <w:color w:val="auto"/>
                <w:spacing w:val="1"/>
                <w:highlight w:val="none"/>
                <w:lang w:val="en-US" w:eastAsia="zh-CN"/>
              </w:rPr>
              <w:t>石</w:t>
            </w:r>
            <w:r>
              <w:rPr>
                <w:rFonts w:hint="eastAsia" w:cs="Times New Roman"/>
                <w:color w:val="auto"/>
                <w:spacing w:val="1"/>
                <w:highlight w:val="none"/>
                <w:lang w:val="en-US" w:eastAsia="zh-CN"/>
              </w:rPr>
              <w:t>岐</w:t>
            </w:r>
            <w:r>
              <w:rPr>
                <w:rFonts w:hint="eastAsia" w:ascii="Times New Roman" w:hAnsi="Times New Roman" w:eastAsia="宋体" w:cs="Times New Roman"/>
                <w:color w:val="auto"/>
                <w:spacing w:val="1"/>
                <w:highlight w:val="none"/>
                <w:lang w:val="en-US" w:eastAsia="zh-CN"/>
              </w:rPr>
              <w:t>河</w:t>
            </w:r>
            <w:r>
              <w:rPr>
                <w:rFonts w:hint="default" w:ascii="Times New Roman" w:hAnsi="Times New Roman" w:eastAsia="宋体" w:cs="Times New Roman"/>
                <w:color w:val="auto"/>
                <w:szCs w:val="21"/>
                <w:highlight w:val="none"/>
              </w:rPr>
              <w:t>；生活污水经</w:t>
            </w:r>
            <w:r>
              <w:rPr>
                <w:rFonts w:hint="default" w:ascii="Times New Roman" w:hAnsi="Times New Roman" w:eastAsia="宋体" w:cs="Times New Roman"/>
                <w:color w:val="auto"/>
                <w:szCs w:val="21"/>
                <w:highlight w:val="none"/>
                <w:lang w:eastAsia="zh-CN"/>
              </w:rPr>
              <w:t>三级化粪池</w:t>
            </w:r>
            <w:r>
              <w:rPr>
                <w:rFonts w:hint="default" w:ascii="Times New Roman" w:hAnsi="Times New Roman" w:eastAsia="宋体" w:cs="Times New Roman"/>
                <w:color w:val="auto"/>
                <w:szCs w:val="21"/>
                <w:highlight w:val="none"/>
              </w:rPr>
              <w:t>预处理后，达到广东省地方标准《水污染物排放限值》(DB44/26-2001</w:t>
            </w:r>
            <w:r>
              <w:rPr>
                <w:rFonts w:hint="default"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rPr>
              <w:t>第二时段三级标准经市政管网排入</w:t>
            </w:r>
            <w:r>
              <w:rPr>
                <w:rFonts w:hint="default" w:ascii="Times New Roman" w:hAnsi="Times New Roman" w:eastAsia="宋体" w:cs="Times New Roman"/>
                <w:color w:val="auto"/>
                <w:spacing w:val="1"/>
                <w:highlight w:val="none"/>
                <w:lang w:val="zh-CN" w:eastAsia="zh-CN"/>
              </w:rPr>
              <w:t>中山市珍家山污水处理有限公司</w:t>
            </w:r>
            <w:r>
              <w:rPr>
                <w:rFonts w:hint="default" w:ascii="Times New Roman" w:hAnsi="Times New Roman" w:eastAsia="宋体" w:cs="Times New Roman"/>
                <w:color w:val="auto"/>
                <w:szCs w:val="21"/>
                <w:highlight w:val="none"/>
                <w:lang w:eastAsia="zh-CN"/>
              </w:rPr>
              <w:t>；</w:t>
            </w:r>
            <w:r>
              <w:rPr>
                <w:rFonts w:hint="default" w:ascii="Times New Roman" w:hAnsi="Times New Roman" w:cs="Times New Roman"/>
                <w:b w:val="0"/>
                <w:bCs w:val="0"/>
                <w:color w:val="auto"/>
                <w:sz w:val="21"/>
                <w:szCs w:val="21"/>
                <w:highlight w:val="none"/>
                <w:lang w:val="en-US" w:eastAsia="zh-CN"/>
              </w:rPr>
              <w:t>超声波废水、手工清洗废水、水样废水及喷淋废水</w:t>
            </w:r>
            <w:r>
              <w:rPr>
                <w:rFonts w:hint="default" w:ascii="Times New Roman" w:hAnsi="Times New Roman" w:eastAsia="宋体" w:cs="Times New Roman"/>
                <w:color w:val="auto"/>
                <w:spacing w:val="-1"/>
                <w:highlight w:val="none"/>
                <w:lang w:val="en-US" w:eastAsia="zh-CN"/>
              </w:rPr>
              <w:t>定期交由有废水处理能力的公司处理，</w:t>
            </w:r>
            <w:r>
              <w:rPr>
                <w:rFonts w:hint="default" w:ascii="Times New Roman" w:hAnsi="Times New Roman" w:eastAsia="宋体" w:cs="Times New Roman"/>
                <w:color w:val="auto"/>
                <w:szCs w:val="21"/>
                <w:highlight w:val="none"/>
              </w:rPr>
              <w:t>不设自行监测计划。</w:t>
            </w:r>
          </w:p>
          <w:p w14:paraId="5CBF2C9F">
            <w:pPr>
              <w:snapToGrid w:val="0"/>
              <w:spacing w:line="360" w:lineRule="auto"/>
              <w:ind w:firstLine="416" w:firstLineChars="200"/>
              <w:rPr>
                <w:rFonts w:hint="default" w:ascii="Times New Roman" w:hAnsi="Times New Roman" w:eastAsia="宋体" w:cs="Times New Roman"/>
                <w:color w:val="auto"/>
                <w:spacing w:val="-1"/>
                <w:highlight w:val="none"/>
                <w:lang w:val="en-US" w:eastAsia="zh-CN"/>
              </w:rPr>
            </w:pPr>
            <w:r>
              <w:rPr>
                <w:rFonts w:hint="default" w:ascii="Times New Roman" w:hAnsi="Times New Roman" w:eastAsia="宋体" w:cs="Times New Roman"/>
                <w:color w:val="auto"/>
                <w:spacing w:val="-1"/>
                <w:highlight w:val="none"/>
                <w:lang w:val="en-US" w:eastAsia="zh-CN"/>
              </w:rPr>
              <w:t>（3）与《中山市零散工业废水管理工作指引》的相符性分析</w:t>
            </w:r>
          </w:p>
          <w:p w14:paraId="613A31A4">
            <w:pPr>
              <w:widowControl/>
              <w:numPr>
                <w:ilvl w:val="0"/>
                <w:numId w:val="0"/>
              </w:numPr>
              <w:spacing w:line="360" w:lineRule="auto"/>
              <w:contextualSpacing/>
              <w:jc w:val="center"/>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表3</w:t>
            </w:r>
            <w:r>
              <w:rPr>
                <w:rFonts w:hint="eastAsia" w:cs="Times New Roman"/>
                <w:b/>
                <w:bCs/>
                <w:color w:val="auto"/>
                <w:sz w:val="24"/>
                <w:szCs w:val="24"/>
                <w:highlight w:val="none"/>
                <w:lang w:val="en-US" w:eastAsia="zh-CN"/>
              </w:rPr>
              <w:t>9</w:t>
            </w:r>
            <w:r>
              <w:rPr>
                <w:rFonts w:hint="default" w:ascii="Times New Roman" w:hAnsi="Times New Roman" w:eastAsia="宋体" w:cs="Times New Roman"/>
                <w:b/>
                <w:bCs/>
                <w:color w:val="auto"/>
                <w:sz w:val="24"/>
                <w:szCs w:val="24"/>
                <w:highlight w:val="none"/>
                <w:lang w:val="en-US" w:eastAsia="zh-CN"/>
              </w:rPr>
              <w:t>与《中山市零散工业废水管理工作指引》的相符性分析一览表</w:t>
            </w:r>
          </w:p>
          <w:tbl>
            <w:tblPr>
              <w:tblStyle w:val="34"/>
              <w:tblW w:w="794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56"/>
              <w:gridCol w:w="3558"/>
              <w:gridCol w:w="2613"/>
              <w:gridCol w:w="719"/>
            </w:tblGrid>
            <w:tr w14:paraId="753950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56" w:type="dxa"/>
                  <w:noWrap w:val="0"/>
                  <w:vAlign w:val="center"/>
                </w:tcPr>
                <w:p w14:paraId="408193E7">
                  <w:pPr>
                    <w:pStyle w:val="74"/>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b/>
                      <w:bCs/>
                      <w:color w:val="auto"/>
                      <w:sz w:val="21"/>
                      <w:szCs w:val="21"/>
                      <w:highlight w:val="none"/>
                      <w:vertAlign w:val="baseline"/>
                    </w:rPr>
                  </w:pPr>
                  <w:r>
                    <w:rPr>
                      <w:rFonts w:hint="default" w:ascii="Times New Roman" w:hAnsi="Times New Roman" w:eastAsia="宋体" w:cs="Times New Roman"/>
                      <w:b/>
                      <w:bCs/>
                      <w:color w:val="auto"/>
                      <w:spacing w:val="4"/>
                      <w:sz w:val="21"/>
                      <w:szCs w:val="21"/>
                      <w:highlight w:val="none"/>
                    </w:rPr>
                    <w:t>项目</w:t>
                  </w:r>
                </w:p>
              </w:tc>
              <w:tc>
                <w:tcPr>
                  <w:tcW w:w="3558" w:type="dxa"/>
                  <w:noWrap w:val="0"/>
                  <w:vAlign w:val="center"/>
                </w:tcPr>
                <w:p w14:paraId="594300EA">
                  <w:pPr>
                    <w:pStyle w:val="74"/>
                    <w:keepNext w:val="0"/>
                    <w:keepLines w:val="0"/>
                    <w:pageBreakBefore w:val="0"/>
                    <w:widowControl w:val="0"/>
                    <w:kinsoku/>
                    <w:wordWrap/>
                    <w:overflowPunct/>
                    <w:topLinePunct w:val="0"/>
                    <w:autoSpaceDE/>
                    <w:autoSpaceDN/>
                    <w:bidi w:val="0"/>
                    <w:adjustRightInd/>
                    <w:snapToGrid/>
                    <w:spacing w:line="228" w:lineRule="auto"/>
                    <w:ind w:left="0"/>
                    <w:jc w:val="center"/>
                    <w:textAlignment w:val="auto"/>
                    <w:rPr>
                      <w:rFonts w:hint="default" w:ascii="Times New Roman" w:hAnsi="Times New Roman" w:eastAsia="宋体" w:cs="Times New Roman"/>
                      <w:b/>
                      <w:bCs/>
                      <w:color w:val="auto"/>
                      <w:sz w:val="21"/>
                      <w:szCs w:val="21"/>
                      <w:highlight w:val="none"/>
                      <w:vertAlign w:val="baseline"/>
                    </w:rPr>
                  </w:pPr>
                  <w:r>
                    <w:rPr>
                      <w:rFonts w:hint="default" w:ascii="Times New Roman" w:hAnsi="Times New Roman" w:eastAsia="宋体" w:cs="Times New Roman"/>
                      <w:b/>
                      <w:bCs/>
                      <w:color w:val="auto"/>
                      <w:spacing w:val="-7"/>
                      <w:sz w:val="21"/>
                      <w:szCs w:val="21"/>
                      <w:highlight w:val="none"/>
                    </w:rPr>
                    <w:t>内容</w:t>
                  </w:r>
                </w:p>
              </w:tc>
              <w:tc>
                <w:tcPr>
                  <w:tcW w:w="2613" w:type="dxa"/>
                  <w:noWrap w:val="0"/>
                  <w:vAlign w:val="center"/>
                </w:tcPr>
                <w:p w14:paraId="737E9D4C">
                  <w:pPr>
                    <w:pStyle w:val="74"/>
                    <w:keepNext w:val="0"/>
                    <w:keepLines w:val="0"/>
                    <w:pageBreakBefore w:val="0"/>
                    <w:widowControl w:val="0"/>
                    <w:kinsoku/>
                    <w:wordWrap/>
                    <w:overflowPunct/>
                    <w:topLinePunct w:val="0"/>
                    <w:autoSpaceDE/>
                    <w:autoSpaceDN/>
                    <w:bidi w:val="0"/>
                    <w:adjustRightInd/>
                    <w:snapToGrid/>
                    <w:spacing w:line="227" w:lineRule="auto"/>
                    <w:ind w:left="0" w:leftChars="0"/>
                    <w:jc w:val="center"/>
                    <w:textAlignment w:val="auto"/>
                    <w:rPr>
                      <w:rFonts w:hint="default" w:ascii="Times New Roman" w:hAnsi="Times New Roman" w:eastAsia="宋体" w:cs="Times New Roman"/>
                      <w:b/>
                      <w:bCs/>
                      <w:color w:val="auto"/>
                      <w:sz w:val="21"/>
                      <w:szCs w:val="21"/>
                      <w:highlight w:val="none"/>
                      <w:vertAlign w:val="baseline"/>
                    </w:rPr>
                  </w:pPr>
                  <w:r>
                    <w:rPr>
                      <w:rFonts w:hint="default" w:ascii="Times New Roman" w:hAnsi="Times New Roman" w:eastAsia="宋体" w:cs="Times New Roman"/>
                      <w:b/>
                      <w:bCs/>
                      <w:color w:val="auto"/>
                      <w:spacing w:val="7"/>
                      <w:sz w:val="21"/>
                      <w:szCs w:val="21"/>
                      <w:highlight w:val="none"/>
                    </w:rPr>
                    <w:t>本项目</w:t>
                  </w:r>
                </w:p>
              </w:tc>
              <w:tc>
                <w:tcPr>
                  <w:tcW w:w="719" w:type="dxa"/>
                  <w:noWrap w:val="0"/>
                  <w:vAlign w:val="center"/>
                </w:tcPr>
                <w:p w14:paraId="1B86B9F4">
                  <w:pPr>
                    <w:pStyle w:val="74"/>
                    <w:keepNext w:val="0"/>
                    <w:keepLines w:val="0"/>
                    <w:pageBreakBefore w:val="0"/>
                    <w:widowControl w:val="0"/>
                    <w:kinsoku/>
                    <w:wordWrap/>
                    <w:overflowPunct/>
                    <w:topLinePunct w:val="0"/>
                    <w:autoSpaceDE/>
                    <w:autoSpaceDN/>
                    <w:bidi w:val="0"/>
                    <w:adjustRightInd/>
                    <w:snapToGrid/>
                    <w:spacing w:line="228" w:lineRule="auto"/>
                    <w:ind w:left="0"/>
                    <w:jc w:val="center"/>
                    <w:textAlignment w:val="auto"/>
                    <w:rPr>
                      <w:rFonts w:hint="default" w:ascii="Times New Roman" w:hAnsi="Times New Roman" w:eastAsia="宋体" w:cs="Times New Roman"/>
                      <w:b/>
                      <w:bCs/>
                      <w:color w:val="auto"/>
                      <w:sz w:val="21"/>
                      <w:szCs w:val="21"/>
                      <w:highlight w:val="none"/>
                      <w:vertAlign w:val="baseline"/>
                    </w:rPr>
                  </w:pPr>
                  <w:r>
                    <w:rPr>
                      <w:rFonts w:hint="default" w:ascii="Times New Roman" w:hAnsi="Times New Roman" w:eastAsia="宋体" w:cs="Times New Roman"/>
                      <w:b/>
                      <w:bCs/>
                      <w:color w:val="auto"/>
                      <w:spacing w:val="7"/>
                      <w:sz w:val="21"/>
                      <w:szCs w:val="21"/>
                      <w:highlight w:val="none"/>
                    </w:rPr>
                    <w:t>相符性</w:t>
                  </w:r>
                </w:p>
              </w:tc>
            </w:tr>
            <w:tr w14:paraId="3A21EA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56" w:type="dxa"/>
                  <w:vMerge w:val="restart"/>
                  <w:noWrap w:val="0"/>
                  <w:vAlign w:val="center"/>
                </w:tcPr>
                <w:p w14:paraId="6F64B7D2">
                  <w:pPr>
                    <w:keepNext w:val="0"/>
                    <w:keepLines w:val="0"/>
                    <w:widowControl/>
                    <w:suppressLineNumbers w:val="0"/>
                    <w:jc w:val="center"/>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kern w:val="0"/>
                      <w:sz w:val="21"/>
                      <w:szCs w:val="21"/>
                      <w:highlight w:val="none"/>
                      <w:lang w:val="en-US" w:eastAsia="zh-CN" w:bidi="ar"/>
                    </w:rPr>
                    <w:t>生态环境局关于印发《中山市零散工业废水管理工作指引》的函（中环函【2023】141号）</w:t>
                  </w:r>
                </w:p>
              </w:tc>
              <w:tc>
                <w:tcPr>
                  <w:tcW w:w="3558" w:type="dxa"/>
                  <w:noWrap w:val="0"/>
                  <w:vAlign w:val="center"/>
                </w:tcPr>
                <w:p w14:paraId="1D95E78F">
                  <w:pPr>
                    <w:keepNext w:val="0"/>
                    <w:keepLines w:val="0"/>
                    <w:widowControl/>
                    <w:suppressLineNumbers w:val="0"/>
                    <w:jc w:val="center"/>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kern w:val="0"/>
                      <w:sz w:val="21"/>
                      <w:szCs w:val="21"/>
                      <w:highlight w:val="none"/>
                      <w:lang w:val="en-US" w:eastAsia="zh-CN" w:bidi="ar"/>
                    </w:rPr>
                    <w:t>管道、储存设施建设要求：零散工业废水的储存设施的建造位置应当便于转移运输和观察水位，设施底部和外围及四周应当做好防渗漏、防溢出措施，储存容积原则上不得小于满负荷生产时连续5日的废水产生量；废水道应当以明管的形式与零散工业废水储存设施直接连通；若部分零散工业废水需回用的，应另行设置回用水暂存设施，不得与零散工业废水储存设施连通。</w:t>
                  </w:r>
                </w:p>
              </w:tc>
              <w:tc>
                <w:tcPr>
                  <w:tcW w:w="2613" w:type="dxa"/>
                  <w:noWrap w:val="0"/>
                  <w:vAlign w:val="center"/>
                </w:tcPr>
                <w:p w14:paraId="3EF19460">
                  <w:pPr>
                    <w:keepNext w:val="0"/>
                    <w:keepLines w:val="0"/>
                    <w:widowControl/>
                    <w:suppressLineNumbers w:val="0"/>
                    <w:jc w:val="center"/>
                    <w:rPr>
                      <w:rFonts w:hint="default"/>
                      <w:color w:val="auto"/>
                      <w:highlight w:val="none"/>
                      <w:lang w:val="en-US" w:eastAsia="zh-CN"/>
                    </w:rPr>
                  </w:pPr>
                  <w:r>
                    <w:rPr>
                      <w:rFonts w:hint="default" w:ascii="Times New Roman" w:hAnsi="Times New Roman" w:eastAsia="宋体" w:cs="Times New Roman"/>
                      <w:color w:val="auto"/>
                      <w:kern w:val="0"/>
                      <w:sz w:val="21"/>
                      <w:szCs w:val="21"/>
                      <w:highlight w:val="none"/>
                      <w:lang w:val="en-US" w:eastAsia="zh-CN" w:bidi="ar"/>
                    </w:rPr>
                    <w:t>企业生产废水委托给</w:t>
                  </w:r>
                  <w:r>
                    <w:rPr>
                      <w:rFonts w:hint="default" w:ascii="Times New Roman" w:hAnsi="Times New Roman" w:eastAsia="宋体" w:cs="Times New Roman"/>
                      <w:color w:val="auto"/>
                      <w:sz w:val="21"/>
                      <w:szCs w:val="21"/>
                      <w:highlight w:val="none"/>
                    </w:rPr>
                    <w:t>有处理能力的废水处理机构</w:t>
                  </w:r>
                  <w:r>
                    <w:rPr>
                      <w:rFonts w:hint="default" w:ascii="Times New Roman" w:hAnsi="Times New Roman" w:eastAsia="宋体" w:cs="Times New Roman"/>
                      <w:color w:val="auto"/>
                      <w:sz w:val="21"/>
                      <w:szCs w:val="21"/>
                      <w:highlight w:val="none"/>
                      <w:lang w:val="en-US" w:eastAsia="zh-CN"/>
                    </w:rPr>
                    <w:t>处</w:t>
                  </w:r>
                  <w:r>
                    <w:rPr>
                      <w:rFonts w:hint="default" w:ascii="Times New Roman" w:hAnsi="Times New Roman" w:eastAsia="宋体" w:cs="Times New Roman"/>
                      <w:color w:val="auto"/>
                      <w:kern w:val="0"/>
                      <w:sz w:val="21"/>
                      <w:szCs w:val="21"/>
                      <w:highlight w:val="none"/>
                      <w:lang w:val="en-US" w:eastAsia="zh-CN" w:bidi="ar"/>
                    </w:rPr>
                    <w:t>理，生产废水暂存于暂存池内，不涉及废水回用。</w:t>
                  </w:r>
                </w:p>
              </w:tc>
              <w:tc>
                <w:tcPr>
                  <w:tcW w:w="719" w:type="dxa"/>
                  <w:noWrap w:val="0"/>
                  <w:vAlign w:val="center"/>
                </w:tcPr>
                <w:p w14:paraId="56A71A9E">
                  <w:pPr>
                    <w:pStyle w:val="4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相符</w:t>
                  </w:r>
                </w:p>
              </w:tc>
            </w:tr>
            <w:tr w14:paraId="4EF938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56" w:type="dxa"/>
                  <w:vMerge w:val="continue"/>
                  <w:noWrap w:val="0"/>
                  <w:vAlign w:val="center"/>
                </w:tcPr>
                <w:p w14:paraId="09A4E542">
                  <w:pPr>
                    <w:pStyle w:val="40"/>
                    <w:jc w:val="center"/>
                    <w:rPr>
                      <w:rFonts w:hint="default" w:ascii="Times New Roman" w:hAnsi="Times New Roman" w:eastAsia="宋体" w:cs="Times New Roman"/>
                      <w:color w:val="auto"/>
                      <w:sz w:val="21"/>
                      <w:szCs w:val="21"/>
                      <w:highlight w:val="none"/>
                      <w:vertAlign w:val="baseline"/>
                    </w:rPr>
                  </w:pPr>
                </w:p>
              </w:tc>
              <w:tc>
                <w:tcPr>
                  <w:tcW w:w="3558" w:type="dxa"/>
                  <w:noWrap w:val="0"/>
                  <w:vAlign w:val="center"/>
                </w:tcPr>
                <w:p w14:paraId="3109E9CB">
                  <w:pPr>
                    <w:keepNext w:val="0"/>
                    <w:keepLines w:val="0"/>
                    <w:widowControl/>
                    <w:suppressLineNumbers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废水储存管理要求：</w:t>
                  </w:r>
                </w:p>
                <w:p w14:paraId="464CA52C">
                  <w:pPr>
                    <w:keepNext w:val="0"/>
                    <w:keepLines w:val="0"/>
                    <w:widowControl/>
                    <w:suppressLineNumbers w:val="0"/>
                    <w:jc w:val="center"/>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kern w:val="0"/>
                      <w:sz w:val="21"/>
                      <w:szCs w:val="21"/>
                      <w:highlight w:val="none"/>
                      <w:lang w:val="en-US" w:eastAsia="zh-CN" w:bidi="ar"/>
                    </w:rPr>
                    <w:t>零散工业废水产生单位应定期观察储存设施的水位情况，当储存水量超过最大容积量80%或剩余储存量不足2天正常生产产水量时，需及时联系零散工业废水接收单位转移。如遇零散工业废水接收单位无故拒绝收运的，应及时向属地生态环境部门反馈。</w:t>
                  </w:r>
                </w:p>
              </w:tc>
              <w:tc>
                <w:tcPr>
                  <w:tcW w:w="2613" w:type="dxa"/>
                  <w:noWrap w:val="0"/>
                  <w:vAlign w:val="center"/>
                </w:tcPr>
                <w:p w14:paraId="189F1685">
                  <w:pPr>
                    <w:pStyle w:val="32"/>
                    <w:spacing w:after="0"/>
                    <w:ind w:left="0" w:leftChars="0" w:firstLine="0" w:firstLineChars="0"/>
                    <w:jc w:val="center"/>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b w:val="0"/>
                      <w:bCs w:val="0"/>
                      <w:color w:val="auto"/>
                      <w:kern w:val="2"/>
                      <w:sz w:val="21"/>
                      <w:szCs w:val="21"/>
                      <w:highlight w:val="none"/>
                      <w:lang w:val="en-US" w:eastAsia="zh-CN" w:bidi="ar-SA"/>
                    </w:rPr>
                    <w:t>项目设有废水暂存设施约</w:t>
                  </w:r>
                  <w:r>
                    <w:rPr>
                      <w:rFonts w:hint="eastAsia" w:ascii="Times New Roman" w:hAnsi="Times New Roman" w:cs="Times New Roman"/>
                      <w:b w:val="0"/>
                      <w:bCs w:val="0"/>
                      <w:color w:val="auto"/>
                      <w:kern w:val="2"/>
                      <w:sz w:val="21"/>
                      <w:szCs w:val="21"/>
                      <w:highlight w:val="none"/>
                      <w:lang w:val="en-US" w:eastAsia="zh-CN" w:bidi="ar-SA"/>
                    </w:rPr>
                    <w:t>5</w:t>
                  </w:r>
                  <w:r>
                    <w:rPr>
                      <w:rFonts w:hint="default" w:ascii="Times New Roman" w:hAnsi="Times New Roman" w:eastAsia="宋体" w:cs="Times New Roman"/>
                      <w:b w:val="0"/>
                      <w:bCs w:val="0"/>
                      <w:color w:val="auto"/>
                      <w:kern w:val="2"/>
                      <w:sz w:val="21"/>
                      <w:szCs w:val="21"/>
                      <w:highlight w:val="none"/>
                      <w:lang w:val="en-US" w:eastAsia="zh-CN" w:bidi="ar-SA"/>
                    </w:rPr>
                    <w:t>立方米，项目</w:t>
                  </w:r>
                  <w:r>
                    <w:rPr>
                      <w:rFonts w:hint="default" w:ascii="Times New Roman" w:hAnsi="Times New Roman" w:cs="Times New Roman"/>
                      <w:b w:val="0"/>
                      <w:bCs w:val="0"/>
                      <w:color w:val="auto"/>
                      <w:sz w:val="21"/>
                      <w:szCs w:val="21"/>
                      <w:highlight w:val="none"/>
                      <w:lang w:val="en-US" w:eastAsia="zh-CN"/>
                    </w:rPr>
                    <w:t>生产废水产生量</w:t>
                  </w:r>
                  <w:r>
                    <w:rPr>
                      <w:rFonts w:hint="eastAsia" w:ascii="Times New Roman" w:hAnsi="Times New Roman" w:cs="Times New Roman"/>
                      <w:b w:val="0"/>
                      <w:bCs w:val="0"/>
                      <w:color w:val="auto"/>
                      <w:sz w:val="21"/>
                      <w:szCs w:val="21"/>
                      <w:highlight w:val="none"/>
                      <w:lang w:val="en-US" w:eastAsia="zh-CN"/>
                    </w:rPr>
                    <w:t>约</w:t>
                  </w:r>
                  <w:r>
                    <w:rPr>
                      <w:rFonts w:hint="default" w:ascii="Times New Roman" w:hAnsi="Times New Roman" w:cs="Times New Roman"/>
                      <w:b w:val="0"/>
                      <w:bCs w:val="0"/>
                      <w:color w:val="auto"/>
                      <w:sz w:val="21"/>
                      <w:szCs w:val="21"/>
                      <w:highlight w:val="none"/>
                      <w:lang w:val="en-US" w:eastAsia="zh-CN"/>
                    </w:rPr>
                    <w:t>为</w:t>
                  </w:r>
                  <w:r>
                    <w:rPr>
                      <w:rFonts w:hint="eastAsia" w:ascii="Times New Roman" w:hAnsi="Times New Roman" w:cs="Times New Roman"/>
                      <w:b w:val="0"/>
                      <w:bCs w:val="0"/>
                      <w:color w:val="auto"/>
                      <w:kern w:val="2"/>
                      <w:sz w:val="21"/>
                      <w:szCs w:val="21"/>
                      <w:highlight w:val="none"/>
                      <w:lang w:val="en-US" w:eastAsia="zh-CN" w:bidi="ar-SA"/>
                    </w:rPr>
                    <w:t>0.053t/d</w:t>
                  </w:r>
                  <w:r>
                    <w:rPr>
                      <w:rFonts w:hint="default" w:ascii="Times New Roman" w:hAnsi="Times New Roman" w:eastAsia="宋体" w:cs="Times New Roman"/>
                      <w:b w:val="0"/>
                      <w:bCs w:val="0"/>
                      <w:color w:val="auto"/>
                      <w:kern w:val="2"/>
                      <w:sz w:val="21"/>
                      <w:szCs w:val="21"/>
                      <w:highlight w:val="none"/>
                      <w:lang w:val="en-US" w:eastAsia="zh-CN" w:bidi="ar-SA"/>
                    </w:rPr>
                    <w:t>（每</w:t>
                  </w:r>
                  <w:r>
                    <w:rPr>
                      <w:rFonts w:hint="eastAsia" w:ascii="Times New Roman" w:hAnsi="Times New Roman" w:cs="Times New Roman"/>
                      <w:b w:val="0"/>
                      <w:bCs w:val="0"/>
                      <w:color w:val="auto"/>
                      <w:kern w:val="2"/>
                      <w:sz w:val="21"/>
                      <w:szCs w:val="21"/>
                      <w:highlight w:val="none"/>
                      <w:lang w:val="en-US" w:eastAsia="zh-CN" w:bidi="ar-SA"/>
                    </w:rPr>
                    <w:t>两个</w:t>
                  </w:r>
                  <w:r>
                    <w:rPr>
                      <w:rFonts w:hint="default" w:ascii="Times New Roman" w:hAnsi="Times New Roman" w:eastAsia="宋体" w:cs="Times New Roman"/>
                      <w:b w:val="0"/>
                      <w:bCs w:val="0"/>
                      <w:color w:val="auto"/>
                      <w:kern w:val="2"/>
                      <w:sz w:val="21"/>
                      <w:szCs w:val="21"/>
                      <w:highlight w:val="none"/>
                      <w:lang w:val="en-US" w:eastAsia="zh-CN" w:bidi="ar-SA"/>
                    </w:rPr>
                    <w:t>月更换一次）</w:t>
                  </w:r>
                  <w:r>
                    <w:rPr>
                      <w:rFonts w:hint="eastAsia" w:ascii="Times New Roman" w:hAnsi="Times New Roman" w:eastAsia="宋体" w:cs="Times New Roman"/>
                      <w:b w:val="0"/>
                      <w:bCs w:val="0"/>
                      <w:color w:val="auto"/>
                      <w:kern w:val="2"/>
                      <w:sz w:val="21"/>
                      <w:szCs w:val="21"/>
                      <w:highlight w:val="none"/>
                      <w:lang w:val="en-US" w:eastAsia="zh-CN" w:bidi="ar-SA"/>
                    </w:rPr>
                    <w:t>。</w:t>
                  </w:r>
                  <w:r>
                    <w:rPr>
                      <w:rFonts w:hint="default" w:ascii="Times New Roman" w:hAnsi="Times New Roman" w:eastAsia="宋体" w:cs="Times New Roman"/>
                      <w:b w:val="0"/>
                      <w:bCs w:val="0"/>
                      <w:color w:val="auto"/>
                      <w:kern w:val="2"/>
                      <w:sz w:val="21"/>
                      <w:szCs w:val="21"/>
                      <w:highlight w:val="none"/>
                      <w:lang w:val="en-US" w:eastAsia="zh-CN" w:bidi="ar-SA"/>
                    </w:rPr>
                    <w:t>废水桶带有刻度线，方便观察废水桶内废水储存量，地面防渗，并在废水桶周边设备围堰，定期对废水桶进行检查，防止废水滴、漏、渗、溢。</w:t>
                  </w:r>
                  <w:r>
                    <w:rPr>
                      <w:rFonts w:hint="default" w:ascii="Times New Roman" w:hAnsi="Times New Roman" w:eastAsia="宋体" w:cs="Times New Roman"/>
                      <w:color w:val="auto"/>
                      <w:kern w:val="0"/>
                      <w:sz w:val="21"/>
                      <w:szCs w:val="21"/>
                      <w:highlight w:val="none"/>
                      <w:lang w:val="en-US" w:eastAsia="zh-CN" w:bidi="ar"/>
                    </w:rPr>
                    <w:t>生产废水（</w:t>
                  </w:r>
                  <w:r>
                    <w:rPr>
                      <w:rFonts w:hint="default" w:ascii="Times New Roman" w:hAnsi="Times New Roman" w:cs="Times New Roman"/>
                      <w:b w:val="0"/>
                      <w:bCs w:val="0"/>
                      <w:color w:val="auto"/>
                      <w:sz w:val="21"/>
                      <w:szCs w:val="21"/>
                      <w:highlight w:val="none"/>
                      <w:lang w:val="en-US" w:eastAsia="zh-CN"/>
                    </w:rPr>
                    <w:t>超声波废水、手工清洗废水、水样废水及喷淋废水</w:t>
                  </w:r>
                  <w:r>
                    <w:rPr>
                      <w:rFonts w:hint="default" w:ascii="Times New Roman" w:hAnsi="Times New Roman" w:eastAsia="宋体" w:cs="Times New Roman"/>
                      <w:color w:val="auto"/>
                      <w:kern w:val="0"/>
                      <w:sz w:val="21"/>
                      <w:szCs w:val="21"/>
                      <w:highlight w:val="none"/>
                      <w:lang w:val="en-US" w:eastAsia="zh-CN" w:bidi="ar"/>
                    </w:rPr>
                    <w:t>）委托</w:t>
                  </w:r>
                  <w:r>
                    <w:rPr>
                      <w:rFonts w:hint="default" w:ascii="Times New Roman" w:hAnsi="Times New Roman" w:eastAsia="宋体" w:cs="Times New Roman"/>
                      <w:color w:val="auto"/>
                      <w:sz w:val="21"/>
                      <w:szCs w:val="21"/>
                      <w:highlight w:val="none"/>
                    </w:rPr>
                    <w:t>给有处理能力的废水处理机构</w:t>
                  </w:r>
                  <w:r>
                    <w:rPr>
                      <w:rFonts w:hint="eastAsia" w:ascii="Times New Roman" w:hAnsi="Times New Roman" w:cs="Times New Roman"/>
                      <w:color w:val="auto"/>
                      <w:sz w:val="21"/>
                      <w:szCs w:val="21"/>
                      <w:highlight w:val="none"/>
                      <w:lang w:eastAsia="zh-CN"/>
                    </w:rPr>
                    <w:t>，</w:t>
                  </w:r>
                  <w:r>
                    <w:rPr>
                      <w:rFonts w:hint="default" w:ascii="Times New Roman" w:hAnsi="Times New Roman" w:eastAsia="宋体" w:cs="Times New Roman"/>
                      <w:color w:val="auto"/>
                      <w:kern w:val="0"/>
                      <w:sz w:val="21"/>
                      <w:szCs w:val="21"/>
                      <w:highlight w:val="none"/>
                      <w:lang w:val="en-US" w:eastAsia="zh-CN" w:bidi="ar"/>
                    </w:rPr>
                    <w:t>设置专人负责废水转运事宜</w:t>
                  </w:r>
                  <w:r>
                    <w:rPr>
                      <w:rFonts w:hint="eastAsia" w:ascii="Times New Roman" w:hAnsi="Times New Roman" w:cs="Times New Roman"/>
                      <w:color w:val="auto"/>
                      <w:kern w:val="0"/>
                      <w:sz w:val="21"/>
                      <w:szCs w:val="21"/>
                      <w:highlight w:val="none"/>
                      <w:lang w:val="en-US" w:eastAsia="zh-CN" w:bidi="ar"/>
                    </w:rPr>
                    <w:t>。</w:t>
                  </w:r>
                </w:p>
              </w:tc>
              <w:tc>
                <w:tcPr>
                  <w:tcW w:w="719" w:type="dxa"/>
                  <w:noWrap w:val="0"/>
                  <w:vAlign w:val="center"/>
                </w:tcPr>
                <w:p w14:paraId="4607F7E0">
                  <w:pPr>
                    <w:pStyle w:val="40"/>
                    <w:jc w:val="center"/>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vertAlign w:val="baseline"/>
                      <w:lang w:val="en-US" w:eastAsia="zh-CN"/>
                    </w:rPr>
                    <w:t>相符</w:t>
                  </w:r>
                </w:p>
              </w:tc>
            </w:tr>
            <w:tr w14:paraId="6B749F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56" w:type="dxa"/>
                  <w:vMerge w:val="continue"/>
                  <w:noWrap w:val="0"/>
                  <w:vAlign w:val="center"/>
                </w:tcPr>
                <w:p w14:paraId="40A414B6">
                  <w:pPr>
                    <w:pStyle w:val="40"/>
                    <w:jc w:val="center"/>
                    <w:rPr>
                      <w:rFonts w:hint="default" w:ascii="Times New Roman" w:hAnsi="Times New Roman" w:eastAsia="宋体" w:cs="Times New Roman"/>
                      <w:color w:val="auto"/>
                      <w:sz w:val="21"/>
                      <w:szCs w:val="21"/>
                      <w:highlight w:val="none"/>
                      <w:vertAlign w:val="baseline"/>
                    </w:rPr>
                  </w:pPr>
                </w:p>
              </w:tc>
              <w:tc>
                <w:tcPr>
                  <w:tcW w:w="3558" w:type="dxa"/>
                  <w:noWrap w:val="0"/>
                  <w:vAlign w:val="center"/>
                </w:tcPr>
                <w:p w14:paraId="02910D24">
                  <w:pPr>
                    <w:keepNext w:val="0"/>
                    <w:keepLines w:val="0"/>
                    <w:widowControl/>
                    <w:suppressLineNumbers w:val="0"/>
                    <w:jc w:val="center"/>
                    <w:rPr>
                      <w:rFonts w:hint="default" w:ascii="Times New Roman" w:hAnsi="Times New Roman"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转移联单管理要求：</w:t>
                  </w:r>
                </w:p>
                <w:p w14:paraId="2F49D9EC">
                  <w:pPr>
                    <w:keepNext w:val="0"/>
                    <w:keepLines w:val="0"/>
                    <w:widowControl/>
                    <w:suppressLineNumbers w:val="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b w:val="0"/>
                      <w:bCs w:val="0"/>
                      <w:color w:val="auto"/>
                      <w:sz w:val="21"/>
                      <w:szCs w:val="21"/>
                      <w:highlight w:val="none"/>
                      <w:vertAlign w:val="baseline"/>
                      <w:lang w:val="en-US" w:eastAsia="zh-CN"/>
                    </w:rPr>
                    <w:t>零散工业废水接收单位和产生单位应建立转移联单管理制度。零散工业废水接收单位根据联单模板制作《零散工业废水转移联单》（详见附件2），原件一式两份，在接收零散工业废水时，与零散工业废水产生单位核对转移量、转移时间等，填写转移联单。转移联单第一联和第二联副联由零散工业废水产生单位和接收单位分别自留存档</w:t>
                  </w:r>
                </w:p>
              </w:tc>
              <w:tc>
                <w:tcPr>
                  <w:tcW w:w="2613" w:type="dxa"/>
                  <w:noWrap w:val="0"/>
                  <w:vAlign w:val="center"/>
                </w:tcPr>
                <w:p w14:paraId="18A52ABF">
                  <w:pPr>
                    <w:keepNext w:val="0"/>
                    <w:keepLines w:val="0"/>
                    <w:widowControl/>
                    <w:suppressLineNumbers w:val="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b w:val="0"/>
                      <w:bCs w:val="0"/>
                      <w:color w:val="auto"/>
                      <w:sz w:val="21"/>
                      <w:szCs w:val="21"/>
                      <w:highlight w:val="none"/>
                      <w:vertAlign w:val="baseline"/>
                      <w:lang w:val="en-US" w:eastAsia="zh-CN"/>
                    </w:rPr>
                    <w:t>废水转移单位在转移废水时根据要求出具《零散工业废水转移联单》</w:t>
                  </w:r>
                  <w:r>
                    <w:rPr>
                      <w:rFonts w:hint="eastAsia" w:ascii="Times New Roman" w:hAnsi="Times New Roman" w:cs="Times New Roman"/>
                      <w:b w:val="0"/>
                      <w:bCs w:val="0"/>
                      <w:color w:val="auto"/>
                      <w:sz w:val="21"/>
                      <w:szCs w:val="21"/>
                      <w:highlight w:val="none"/>
                      <w:vertAlign w:val="baseline"/>
                      <w:lang w:val="en-US" w:eastAsia="zh-CN"/>
                    </w:rPr>
                    <w:t>，</w:t>
                  </w:r>
                  <w:r>
                    <w:rPr>
                      <w:rFonts w:hint="default" w:ascii="Times New Roman" w:hAnsi="Times New Roman" w:cs="Times New Roman"/>
                      <w:b w:val="0"/>
                      <w:bCs w:val="0"/>
                      <w:color w:val="auto"/>
                      <w:sz w:val="21"/>
                      <w:szCs w:val="21"/>
                      <w:highlight w:val="none"/>
                      <w:vertAlign w:val="baseline"/>
                      <w:lang w:val="en-US" w:eastAsia="zh-CN"/>
                    </w:rPr>
                    <w:t>并按要求填写相关信息，一式两份，企业和转移单位各自保留存档</w:t>
                  </w:r>
                  <w:r>
                    <w:rPr>
                      <w:rFonts w:hint="eastAsia" w:cs="Times New Roman"/>
                      <w:b w:val="0"/>
                      <w:bCs w:val="0"/>
                      <w:color w:val="auto"/>
                      <w:sz w:val="21"/>
                      <w:szCs w:val="21"/>
                      <w:highlight w:val="none"/>
                      <w:vertAlign w:val="baseline"/>
                      <w:lang w:val="en-US" w:eastAsia="zh-CN"/>
                    </w:rPr>
                    <w:t>。</w:t>
                  </w:r>
                </w:p>
              </w:tc>
              <w:tc>
                <w:tcPr>
                  <w:tcW w:w="719" w:type="dxa"/>
                  <w:noWrap w:val="0"/>
                  <w:vAlign w:val="center"/>
                </w:tcPr>
                <w:p w14:paraId="180D2181">
                  <w:pPr>
                    <w:pStyle w:val="40"/>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cs="Times New Roman"/>
                      <w:color w:val="auto"/>
                      <w:sz w:val="21"/>
                      <w:szCs w:val="21"/>
                      <w:highlight w:val="none"/>
                      <w:vertAlign w:val="baseline"/>
                      <w:lang w:val="en-US" w:eastAsia="zh-CN"/>
                    </w:rPr>
                    <w:t>相符</w:t>
                  </w:r>
                </w:p>
              </w:tc>
            </w:tr>
            <w:tr w14:paraId="7D3547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56" w:type="dxa"/>
                  <w:vMerge w:val="continue"/>
                  <w:noWrap w:val="0"/>
                  <w:vAlign w:val="center"/>
                </w:tcPr>
                <w:p w14:paraId="50C485CA">
                  <w:pPr>
                    <w:pStyle w:val="40"/>
                    <w:jc w:val="center"/>
                    <w:rPr>
                      <w:rFonts w:hint="default" w:ascii="Times New Roman" w:hAnsi="Times New Roman" w:eastAsia="宋体" w:cs="Times New Roman"/>
                      <w:color w:val="auto"/>
                      <w:sz w:val="21"/>
                      <w:szCs w:val="21"/>
                      <w:highlight w:val="none"/>
                      <w:vertAlign w:val="baseline"/>
                    </w:rPr>
                  </w:pPr>
                </w:p>
              </w:tc>
              <w:tc>
                <w:tcPr>
                  <w:tcW w:w="3558" w:type="dxa"/>
                  <w:noWrap w:val="0"/>
                  <w:vAlign w:val="center"/>
                </w:tcPr>
                <w:p w14:paraId="126A6098">
                  <w:pPr>
                    <w:pStyle w:val="74"/>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color w:val="auto"/>
                      <w:sz w:val="21"/>
                      <w:szCs w:val="21"/>
                      <w:highlight w:val="none"/>
                      <w:vertAlign w:val="baseline"/>
                      <w:lang w:val="en-US" w:eastAsia="zh-CN"/>
                    </w:rPr>
                  </w:pPr>
                  <w:r>
                    <w:rPr>
                      <w:rFonts w:hint="default" w:ascii="Times New Roman" w:hAnsi="Times New Roman" w:cs="Times New Roman"/>
                      <w:b w:val="0"/>
                      <w:bCs w:val="0"/>
                      <w:color w:val="auto"/>
                      <w:sz w:val="21"/>
                      <w:szCs w:val="21"/>
                      <w:highlight w:val="none"/>
                      <w:vertAlign w:val="baseline"/>
                      <w:lang w:val="en-US" w:eastAsia="zh-CN"/>
                    </w:rPr>
                    <w:t>废水管理台账</w:t>
                  </w:r>
                  <w:r>
                    <w:rPr>
                      <w:rFonts w:hint="eastAsia" w:ascii="Times New Roman" w:hAnsi="Times New Roman" w:cs="Times New Roman"/>
                      <w:b w:val="0"/>
                      <w:bCs w:val="0"/>
                      <w:color w:val="auto"/>
                      <w:sz w:val="21"/>
                      <w:szCs w:val="21"/>
                      <w:highlight w:val="none"/>
                      <w:vertAlign w:val="baseline"/>
                      <w:lang w:val="en-US" w:eastAsia="zh-CN"/>
                    </w:rPr>
                    <w:t>：</w:t>
                  </w:r>
                </w:p>
                <w:p w14:paraId="3DD01271">
                  <w:pPr>
                    <w:pStyle w:val="74"/>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b w:val="0"/>
                      <w:bCs w:val="0"/>
                      <w:color w:val="auto"/>
                      <w:sz w:val="21"/>
                      <w:szCs w:val="21"/>
                      <w:highlight w:val="none"/>
                      <w:vertAlign w:val="baseline"/>
                      <w:lang w:val="en-US" w:eastAsia="zh-CN"/>
                    </w:rPr>
                    <w:t>零散工业废水接收单位和产生单位应建立零散工业废水管理台账。其中，接收单位应建立零散工业废水管理台账，如实、完整、准确记录废水产生单位名称、废水类型、收运人员、收运水量、运输车辆等台账信息，并每月汇总情况填写《零散工业废水接收单位废水接收台账月报表》（详见附件3）；产生单位应建立零散工业废水管理台账，如实记录日生产用水量、日废水产生量、日存储废水量与转移量和转移时间等台账信息，并每月汇总情况填写《零散工业废水产生单位废水产生转移台账月报表》</w:t>
                  </w:r>
                </w:p>
              </w:tc>
              <w:tc>
                <w:tcPr>
                  <w:tcW w:w="2613" w:type="dxa"/>
                  <w:noWrap w:val="0"/>
                  <w:vAlign w:val="center"/>
                </w:tcPr>
                <w:p w14:paraId="685D2F1A">
                  <w:pPr>
                    <w:keepNext w:val="0"/>
                    <w:keepLines w:val="0"/>
                    <w:widowControl/>
                    <w:suppressLineNumbers w:val="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b w:val="0"/>
                      <w:bCs w:val="0"/>
                      <w:color w:val="auto"/>
                      <w:sz w:val="21"/>
                      <w:szCs w:val="21"/>
                      <w:highlight w:val="none"/>
                      <w:vertAlign w:val="baseline"/>
                      <w:lang w:val="en-US" w:eastAsia="zh-CN"/>
                    </w:rPr>
                    <w:t>企业建立生产废水管理台账，对每天生产用水量、废水产生量、废水储存量和转移量、转移时间进行记录，并每月填写《零散工业废水接收单位废水接收台账月报表》，报表企业存档保留。</w:t>
                  </w:r>
                </w:p>
              </w:tc>
              <w:tc>
                <w:tcPr>
                  <w:tcW w:w="719" w:type="dxa"/>
                  <w:noWrap w:val="0"/>
                  <w:vAlign w:val="center"/>
                </w:tcPr>
                <w:p w14:paraId="76422241">
                  <w:pPr>
                    <w:pStyle w:val="40"/>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cs="Times New Roman"/>
                      <w:color w:val="auto"/>
                      <w:sz w:val="21"/>
                      <w:szCs w:val="21"/>
                      <w:highlight w:val="none"/>
                      <w:vertAlign w:val="baseline"/>
                      <w:lang w:val="en-US" w:eastAsia="zh-CN"/>
                    </w:rPr>
                    <w:t>相符</w:t>
                  </w:r>
                </w:p>
              </w:tc>
            </w:tr>
            <w:tr w14:paraId="090557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56" w:type="dxa"/>
                  <w:vMerge w:val="continue"/>
                  <w:noWrap w:val="0"/>
                  <w:vAlign w:val="center"/>
                </w:tcPr>
                <w:p w14:paraId="23AB8A78">
                  <w:pPr>
                    <w:pStyle w:val="40"/>
                    <w:jc w:val="center"/>
                    <w:rPr>
                      <w:rFonts w:hint="default" w:ascii="Times New Roman" w:hAnsi="Times New Roman" w:eastAsia="宋体" w:cs="Times New Roman"/>
                      <w:color w:val="auto"/>
                      <w:sz w:val="21"/>
                      <w:szCs w:val="21"/>
                      <w:highlight w:val="none"/>
                      <w:vertAlign w:val="baseline"/>
                    </w:rPr>
                  </w:pPr>
                </w:p>
              </w:tc>
              <w:tc>
                <w:tcPr>
                  <w:tcW w:w="3558" w:type="dxa"/>
                  <w:noWrap w:val="0"/>
                  <w:vAlign w:val="center"/>
                </w:tcPr>
                <w:p w14:paraId="2CBC508D">
                  <w:pPr>
                    <w:pStyle w:val="74"/>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color w:val="auto"/>
                      <w:sz w:val="21"/>
                      <w:szCs w:val="21"/>
                      <w:highlight w:val="none"/>
                      <w:vertAlign w:val="baseline"/>
                      <w:lang w:val="en-US" w:eastAsia="zh-CN"/>
                    </w:rPr>
                  </w:pPr>
                  <w:r>
                    <w:rPr>
                      <w:rFonts w:hint="default" w:ascii="Times New Roman" w:hAnsi="Times New Roman" w:cs="Times New Roman"/>
                      <w:b w:val="0"/>
                      <w:bCs w:val="0"/>
                      <w:color w:val="auto"/>
                      <w:sz w:val="21"/>
                      <w:szCs w:val="21"/>
                      <w:highlight w:val="none"/>
                      <w:vertAlign w:val="baseline"/>
                      <w:lang w:val="en-US" w:eastAsia="zh-CN"/>
                    </w:rPr>
                    <w:t>应急管理</w:t>
                  </w:r>
                  <w:r>
                    <w:rPr>
                      <w:rFonts w:hint="eastAsia" w:ascii="Times New Roman" w:hAnsi="Times New Roman" w:cs="Times New Roman"/>
                      <w:b w:val="0"/>
                      <w:bCs w:val="0"/>
                      <w:color w:val="auto"/>
                      <w:sz w:val="21"/>
                      <w:szCs w:val="21"/>
                      <w:highlight w:val="none"/>
                      <w:vertAlign w:val="baseline"/>
                      <w:lang w:val="en-US" w:eastAsia="zh-CN"/>
                    </w:rPr>
                    <w:t>：</w:t>
                  </w:r>
                </w:p>
                <w:p w14:paraId="55C8F234">
                  <w:pPr>
                    <w:pStyle w:val="74"/>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color w:val="auto"/>
                      <w:sz w:val="21"/>
                      <w:szCs w:val="21"/>
                      <w:highlight w:val="none"/>
                      <w:vertAlign w:val="baseline"/>
                      <w:lang w:val="en-US" w:eastAsia="zh-CN"/>
                    </w:rPr>
                  </w:pPr>
                  <w:r>
                    <w:rPr>
                      <w:rFonts w:hint="default" w:ascii="Times New Roman" w:hAnsi="Times New Roman" w:cs="Times New Roman"/>
                      <w:b w:val="0"/>
                      <w:bCs w:val="0"/>
                      <w:color w:val="auto"/>
                      <w:sz w:val="21"/>
                      <w:szCs w:val="21"/>
                      <w:highlight w:val="none"/>
                      <w:vertAlign w:val="baseline"/>
                      <w:lang w:val="en-US" w:eastAsia="zh-CN"/>
                    </w:rPr>
                    <w:t>零散工业废水接收单位应编制、备案突发环境事件应急预案，建立环境风险隐患排查制度，落实环境风险防范措施，建立完善的生产管理体系，做好零散工业废水收集处理的运营、应急和安全等管理工作。</w:t>
                  </w:r>
                </w:p>
                <w:p w14:paraId="4C51DB5F">
                  <w:pPr>
                    <w:pStyle w:val="74"/>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b w:val="0"/>
                      <w:bCs w:val="0"/>
                      <w:color w:val="auto"/>
                      <w:sz w:val="21"/>
                      <w:szCs w:val="21"/>
                      <w:highlight w:val="none"/>
                      <w:vertAlign w:val="baseline"/>
                      <w:lang w:val="en-US" w:eastAsia="zh-CN"/>
                    </w:rPr>
                    <w:t>零散工业废水产生单位应将零散工业废水收集、储存的运营、应急和安全等管理工作纳入企业突发环境事件应急预案，建立环境风险隐患排查制度，落实环境风险防范措施，建立完善的生产管理体系</w:t>
                  </w:r>
                </w:p>
              </w:tc>
              <w:tc>
                <w:tcPr>
                  <w:tcW w:w="2613" w:type="dxa"/>
                  <w:noWrap w:val="0"/>
                  <w:vAlign w:val="center"/>
                </w:tcPr>
                <w:p w14:paraId="3EF1611B">
                  <w:pPr>
                    <w:keepNext w:val="0"/>
                    <w:keepLines w:val="0"/>
                    <w:widowControl/>
                    <w:suppressLineNumbers w:val="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b w:val="0"/>
                      <w:bCs w:val="0"/>
                      <w:color w:val="auto"/>
                      <w:sz w:val="21"/>
                      <w:szCs w:val="21"/>
                      <w:highlight w:val="none"/>
                      <w:vertAlign w:val="baseline"/>
                      <w:lang w:val="en-US" w:eastAsia="zh-CN"/>
                    </w:rPr>
                    <w:t>企业建立生产废水泄漏环境风险隐患排查制度，落实环境风险防范措施，建立完善的生产管理体系。</w:t>
                  </w:r>
                </w:p>
              </w:tc>
              <w:tc>
                <w:tcPr>
                  <w:tcW w:w="719" w:type="dxa"/>
                  <w:noWrap w:val="0"/>
                  <w:vAlign w:val="center"/>
                </w:tcPr>
                <w:p w14:paraId="6A629BFD">
                  <w:pPr>
                    <w:pStyle w:val="40"/>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cs="Times New Roman"/>
                      <w:color w:val="auto"/>
                      <w:sz w:val="21"/>
                      <w:szCs w:val="21"/>
                      <w:highlight w:val="none"/>
                      <w:vertAlign w:val="baseline"/>
                      <w:lang w:val="en-US" w:eastAsia="zh-CN"/>
                    </w:rPr>
                    <w:t>相符</w:t>
                  </w:r>
                </w:p>
              </w:tc>
            </w:tr>
            <w:tr w14:paraId="0FD959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56" w:type="dxa"/>
                  <w:vMerge w:val="continue"/>
                  <w:noWrap w:val="0"/>
                  <w:vAlign w:val="center"/>
                </w:tcPr>
                <w:p w14:paraId="7198ABB3">
                  <w:pPr>
                    <w:pStyle w:val="40"/>
                    <w:jc w:val="center"/>
                    <w:rPr>
                      <w:rFonts w:hint="default" w:ascii="Times New Roman" w:hAnsi="Times New Roman" w:eastAsia="宋体" w:cs="Times New Roman"/>
                      <w:color w:val="auto"/>
                      <w:sz w:val="21"/>
                      <w:szCs w:val="21"/>
                      <w:highlight w:val="none"/>
                      <w:vertAlign w:val="baseline"/>
                    </w:rPr>
                  </w:pPr>
                </w:p>
              </w:tc>
              <w:tc>
                <w:tcPr>
                  <w:tcW w:w="3558" w:type="dxa"/>
                  <w:noWrap w:val="0"/>
                  <w:vAlign w:val="center"/>
                </w:tcPr>
                <w:p w14:paraId="553B4A63">
                  <w:pPr>
                    <w:pStyle w:val="74"/>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color w:val="auto"/>
                      <w:sz w:val="21"/>
                      <w:szCs w:val="21"/>
                      <w:highlight w:val="none"/>
                      <w:vertAlign w:val="baseline"/>
                      <w:lang w:val="en-US" w:eastAsia="zh-CN"/>
                    </w:rPr>
                  </w:pPr>
                  <w:r>
                    <w:rPr>
                      <w:rFonts w:hint="default" w:ascii="Times New Roman" w:hAnsi="Times New Roman" w:cs="Times New Roman"/>
                      <w:b w:val="0"/>
                      <w:bCs w:val="0"/>
                      <w:color w:val="auto"/>
                      <w:sz w:val="21"/>
                      <w:szCs w:val="21"/>
                      <w:highlight w:val="none"/>
                      <w:vertAlign w:val="baseline"/>
                      <w:lang w:val="en-US" w:eastAsia="zh-CN"/>
                    </w:rPr>
                    <w:t>信息报送：</w:t>
                  </w:r>
                </w:p>
                <w:p w14:paraId="0C4BE2E2">
                  <w:pPr>
                    <w:pStyle w:val="74"/>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color w:val="auto"/>
                      <w:sz w:val="21"/>
                      <w:szCs w:val="21"/>
                      <w:highlight w:val="none"/>
                      <w:vertAlign w:val="baseline"/>
                      <w:lang w:val="en-US" w:eastAsia="zh-CN"/>
                    </w:rPr>
                  </w:pPr>
                  <w:r>
                    <w:rPr>
                      <w:rFonts w:hint="default" w:ascii="Times New Roman" w:hAnsi="Times New Roman" w:cs="Times New Roman"/>
                      <w:b w:val="0"/>
                      <w:bCs w:val="0"/>
                      <w:color w:val="auto"/>
                      <w:sz w:val="21"/>
                      <w:szCs w:val="21"/>
                      <w:highlight w:val="none"/>
                      <w:vertAlign w:val="baseline"/>
                      <w:lang w:val="en-US" w:eastAsia="zh-CN"/>
                    </w:rPr>
                    <w:t>零散工业废水产生单位每月10日前将上月的《零散工业废水产生单位废水产生转移台账月报表》报送所在镇街生态环境部门。零散工业废水接收单位每月10日前将上月的《零散工业废水接收单位废水接收台账月报表》报送所在镇街生态环境部门，并抄报市生态环境局。市生态环境局按信息化建设要求推进零散工业废水监管平台的建设，待监管平台建成启用后，相应信息报送要求按照平台管理要求进行</w:t>
                  </w:r>
                  <w:r>
                    <w:rPr>
                      <w:rFonts w:hint="eastAsia" w:ascii="Times New Roman" w:hAnsi="Times New Roman" w:cs="Times New Roman"/>
                      <w:b w:val="0"/>
                      <w:bCs w:val="0"/>
                      <w:color w:val="auto"/>
                      <w:sz w:val="21"/>
                      <w:szCs w:val="21"/>
                      <w:highlight w:val="none"/>
                      <w:vertAlign w:val="baseline"/>
                      <w:lang w:val="en-US" w:eastAsia="zh-CN"/>
                    </w:rPr>
                    <w:t>。</w:t>
                  </w:r>
                </w:p>
              </w:tc>
              <w:tc>
                <w:tcPr>
                  <w:tcW w:w="2613" w:type="dxa"/>
                  <w:noWrap w:val="0"/>
                  <w:vAlign w:val="center"/>
                </w:tcPr>
                <w:p w14:paraId="7AC66DCA">
                  <w:pPr>
                    <w:keepNext w:val="0"/>
                    <w:keepLines w:val="0"/>
                    <w:widowControl/>
                    <w:suppressLineNumbers w:val="0"/>
                    <w:jc w:val="center"/>
                    <w:rPr>
                      <w:rFonts w:hint="default" w:ascii="Times New Roman" w:hAnsi="Times New Roman" w:cs="Times New Roman"/>
                      <w:b w:val="0"/>
                      <w:bCs w:val="0"/>
                      <w:color w:val="auto"/>
                      <w:sz w:val="21"/>
                      <w:szCs w:val="21"/>
                      <w:highlight w:val="none"/>
                      <w:vertAlign w:val="baseline"/>
                      <w:lang w:val="en-US" w:eastAsia="zh-CN"/>
                    </w:rPr>
                  </w:pPr>
                  <w:r>
                    <w:rPr>
                      <w:rFonts w:hint="default" w:ascii="Times New Roman" w:hAnsi="Times New Roman" w:cs="Times New Roman"/>
                      <w:b w:val="0"/>
                      <w:bCs w:val="0"/>
                      <w:color w:val="auto"/>
                      <w:sz w:val="21"/>
                      <w:szCs w:val="21"/>
                      <w:highlight w:val="none"/>
                      <w:vertAlign w:val="baseline"/>
                      <w:lang w:val="en-US" w:eastAsia="zh-CN"/>
                    </w:rPr>
                    <w:t>企业每月10日前将上月的《零散工业废水产生单位废水产生转移台账月报表》报送所在镇街生态环境部门。</w:t>
                  </w:r>
                </w:p>
              </w:tc>
              <w:tc>
                <w:tcPr>
                  <w:tcW w:w="719" w:type="dxa"/>
                  <w:noWrap w:val="0"/>
                  <w:vAlign w:val="center"/>
                </w:tcPr>
                <w:p w14:paraId="5CEDA9BB">
                  <w:pPr>
                    <w:pStyle w:val="40"/>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cs="Times New Roman"/>
                      <w:color w:val="auto"/>
                      <w:sz w:val="21"/>
                      <w:szCs w:val="21"/>
                      <w:highlight w:val="none"/>
                      <w:vertAlign w:val="baseline"/>
                      <w:lang w:val="en-US" w:eastAsia="zh-CN"/>
                    </w:rPr>
                    <w:t>相符</w:t>
                  </w:r>
                </w:p>
              </w:tc>
            </w:tr>
          </w:tbl>
          <w:p w14:paraId="303D060B">
            <w:pPr>
              <w:shd w:val="clear"/>
              <w:spacing w:line="360" w:lineRule="auto"/>
              <w:ind w:firstLine="442" w:firstLineChars="200"/>
              <w:jc w:val="both"/>
              <w:rPr>
                <w:rFonts w:hint="default" w:ascii="Times New Roman" w:hAnsi="Times New Roman" w:eastAsia="宋体" w:cs="Times New Roman"/>
                <w:bCs/>
                <w:color w:val="auto"/>
                <w:sz w:val="24"/>
                <w:szCs w:val="24"/>
                <w:highlight w:val="none"/>
              </w:rPr>
            </w:pPr>
            <w:r>
              <w:rPr>
                <w:rFonts w:hint="default" w:ascii="Times New Roman" w:hAnsi="Times New Roman" w:eastAsia="宋体" w:cs="Times New Roman"/>
                <w:b/>
                <w:bCs w:val="0"/>
                <w:color w:val="auto"/>
                <w:spacing w:val="-10"/>
                <w:kern w:val="2"/>
                <w:sz w:val="24"/>
                <w:szCs w:val="24"/>
                <w:highlight w:val="none"/>
                <w:lang w:val="en-US" w:eastAsia="zh-CN" w:bidi="ar-SA"/>
              </w:rPr>
              <w:t>三、噪声</w:t>
            </w:r>
            <w:r>
              <w:rPr>
                <w:rFonts w:hint="default" w:ascii="Times New Roman" w:hAnsi="Times New Roman" w:eastAsia="宋体" w:cs="Times New Roman"/>
                <w:b/>
                <w:bCs w:val="0"/>
                <w:color w:val="auto"/>
                <w:spacing w:val="-10"/>
                <w:sz w:val="24"/>
                <w:szCs w:val="24"/>
                <w:highlight w:val="none"/>
                <w:lang w:val="en-US" w:eastAsia="zh-CN"/>
              </w:rPr>
              <w:t>影响分析</w:t>
            </w:r>
          </w:p>
          <w:p w14:paraId="7FD1D922">
            <w:pPr>
              <w:shd w:val="clear"/>
              <w:spacing w:line="360" w:lineRule="auto"/>
              <w:ind w:firstLine="420" w:firstLineChars="200"/>
              <w:jc w:val="both"/>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sz w:val="21"/>
                <w:szCs w:val="21"/>
                <w:highlight w:val="none"/>
              </w:rPr>
              <w:t>项目的主要噪声为：</w:t>
            </w:r>
            <w:r>
              <w:rPr>
                <w:rFonts w:hint="default" w:ascii="Times New Roman" w:hAnsi="Times New Roman" w:eastAsia="宋体" w:cs="Times New Roman"/>
                <w:color w:val="auto"/>
                <w:sz w:val="21"/>
                <w:szCs w:val="21"/>
                <w:highlight w:val="none"/>
              </w:rPr>
              <w:t>项目生产设备运行时产生的噪声约</w:t>
            </w:r>
            <w:r>
              <w:rPr>
                <w:rFonts w:hint="eastAsia" w:cs="Times New Roman"/>
                <w:color w:val="auto"/>
                <w:spacing w:val="-1"/>
                <w:sz w:val="21"/>
                <w:szCs w:val="21"/>
                <w:highlight w:val="none"/>
                <w:lang w:val="en-US" w:eastAsia="zh-CN"/>
              </w:rPr>
              <w:t>65</w:t>
            </w:r>
            <w:r>
              <w:rPr>
                <w:rFonts w:hint="default" w:ascii="Times New Roman" w:hAnsi="Times New Roman" w:eastAsia="宋体" w:cs="Times New Roman"/>
                <w:color w:val="auto"/>
                <w:spacing w:val="-1"/>
                <w:sz w:val="21"/>
                <w:szCs w:val="21"/>
                <w:highlight w:val="none"/>
              </w:rPr>
              <w:t>-</w:t>
            </w:r>
            <w:r>
              <w:rPr>
                <w:rFonts w:hint="default" w:ascii="Times New Roman" w:hAnsi="Times New Roman" w:eastAsia="宋体" w:cs="Times New Roman"/>
                <w:color w:val="auto"/>
                <w:spacing w:val="-1"/>
                <w:sz w:val="21"/>
                <w:szCs w:val="21"/>
                <w:highlight w:val="none"/>
                <w:lang w:val="en-US" w:eastAsia="zh-CN"/>
              </w:rPr>
              <w:t>85</w:t>
            </w:r>
            <w:r>
              <w:rPr>
                <w:rFonts w:hint="default" w:ascii="Times New Roman" w:hAnsi="Times New Roman" w:eastAsia="宋体" w:cs="Times New Roman"/>
                <w:color w:val="auto"/>
                <w:spacing w:val="-1"/>
                <w:sz w:val="21"/>
                <w:szCs w:val="21"/>
                <w:highlight w:val="none"/>
              </w:rPr>
              <w:t>dB</w:t>
            </w:r>
            <w:r>
              <w:rPr>
                <w:rFonts w:hint="default" w:ascii="Times New Roman" w:hAnsi="Times New Roman" w:eastAsia="宋体" w:cs="Times New Roman"/>
                <w:color w:val="auto"/>
                <w:sz w:val="21"/>
                <w:szCs w:val="21"/>
                <w:highlight w:val="none"/>
              </w:rPr>
              <w:t>(A)；</w:t>
            </w:r>
          </w:p>
          <w:p w14:paraId="51ECF694">
            <w:pPr>
              <w:shd w:val="clear"/>
              <w:spacing w:line="360" w:lineRule="auto"/>
              <w:ind w:firstLine="420" w:firstLineChars="200"/>
              <w:jc w:val="both"/>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原料和成品的搬运过程中会产生约65-75dB(A)之间的交通噪声。</w:t>
            </w:r>
          </w:p>
          <w:p w14:paraId="7F6328AE">
            <w:pPr>
              <w:widowControl/>
              <w:numPr>
                <w:ilvl w:val="0"/>
                <w:numId w:val="0"/>
              </w:numPr>
              <w:shd w:val="clear"/>
              <w:spacing w:line="360" w:lineRule="auto"/>
              <w:ind w:left="0" w:leftChars="0" w:firstLine="0" w:firstLineChars="0"/>
              <w:contextualSpacing/>
              <w:jc w:val="center"/>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kern w:val="2"/>
                <w:sz w:val="24"/>
                <w:szCs w:val="24"/>
                <w:highlight w:val="none"/>
                <w:lang w:val="en-US" w:eastAsia="zh-CN" w:bidi="ar-SA"/>
              </w:rPr>
              <w:t>表</w:t>
            </w:r>
            <w:r>
              <w:rPr>
                <w:rFonts w:hint="eastAsia" w:cs="Times New Roman"/>
                <w:b/>
                <w:bCs/>
                <w:color w:val="auto"/>
                <w:kern w:val="2"/>
                <w:sz w:val="24"/>
                <w:szCs w:val="24"/>
                <w:highlight w:val="none"/>
                <w:lang w:val="en-US" w:eastAsia="zh-CN" w:bidi="ar-SA"/>
              </w:rPr>
              <w:t>40</w:t>
            </w:r>
            <w:r>
              <w:rPr>
                <w:rFonts w:hint="default" w:ascii="Times New Roman" w:hAnsi="Times New Roman" w:eastAsia="宋体" w:cs="Times New Roman"/>
                <w:b/>
                <w:bCs/>
                <w:color w:val="auto"/>
                <w:sz w:val="24"/>
                <w:szCs w:val="24"/>
                <w:highlight w:val="none"/>
              </w:rPr>
              <w:t>项目主要产噪设备源强一览表</w:t>
            </w:r>
          </w:p>
          <w:tbl>
            <w:tblPr>
              <w:tblStyle w:val="33"/>
              <w:tblW w:w="467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92"/>
              <w:gridCol w:w="1582"/>
              <w:gridCol w:w="2587"/>
              <w:gridCol w:w="1368"/>
            </w:tblGrid>
            <w:tr w14:paraId="7C54CA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08" w:type="pct"/>
                  <w:noWrap w:val="0"/>
                  <w:vAlign w:val="center"/>
                </w:tcPr>
                <w:p w14:paraId="3838E810">
                  <w:pPr>
                    <w:pStyle w:val="32"/>
                    <w:shd w:val="clear"/>
                    <w:tabs>
                      <w:tab w:val="left" w:pos="437"/>
                    </w:tabs>
                    <w:spacing w:after="0" w:line="240" w:lineRule="auto"/>
                    <w:ind w:left="0" w:leftChars="0"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设备名称</w:t>
                  </w:r>
                </w:p>
              </w:tc>
              <w:tc>
                <w:tcPr>
                  <w:tcW w:w="997" w:type="pct"/>
                  <w:noWrap w:val="0"/>
                  <w:vAlign w:val="center"/>
                </w:tcPr>
                <w:p w14:paraId="74D32CCC">
                  <w:pPr>
                    <w:pStyle w:val="32"/>
                    <w:shd w:val="clear"/>
                    <w:tabs>
                      <w:tab w:val="left" w:pos="437"/>
                    </w:tabs>
                    <w:spacing w:after="0" w:line="240" w:lineRule="auto"/>
                    <w:ind w:left="0" w:leftChars="0" w:firstLine="0" w:firstLineChars="0"/>
                    <w:jc w:val="center"/>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cs="Times New Roman"/>
                      <w:b/>
                      <w:bCs/>
                      <w:color w:val="auto"/>
                      <w:sz w:val="21"/>
                      <w:szCs w:val="21"/>
                      <w:highlight w:val="none"/>
                      <w:lang w:val="en-US" w:eastAsia="zh-CN"/>
                    </w:rPr>
                    <w:t>设备数量（台）</w:t>
                  </w:r>
                </w:p>
              </w:tc>
              <w:tc>
                <w:tcPr>
                  <w:tcW w:w="1631" w:type="pct"/>
                  <w:noWrap w:val="0"/>
                  <w:vAlign w:val="center"/>
                </w:tcPr>
                <w:p w14:paraId="08CF0E11">
                  <w:pPr>
                    <w:pStyle w:val="32"/>
                    <w:shd w:val="clear"/>
                    <w:tabs>
                      <w:tab w:val="left" w:pos="437"/>
                    </w:tabs>
                    <w:spacing w:after="0" w:line="240" w:lineRule="auto"/>
                    <w:ind w:left="0" w:leftChars="0"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单台设备噪声源强dB（A）</w:t>
                  </w:r>
                </w:p>
              </w:tc>
              <w:tc>
                <w:tcPr>
                  <w:tcW w:w="862" w:type="pct"/>
                  <w:noWrap w:val="0"/>
                  <w:vAlign w:val="center"/>
                </w:tcPr>
                <w:p w14:paraId="29488117">
                  <w:pPr>
                    <w:pStyle w:val="32"/>
                    <w:shd w:val="clear"/>
                    <w:tabs>
                      <w:tab w:val="left" w:pos="437"/>
                    </w:tabs>
                    <w:spacing w:after="0" w:line="240" w:lineRule="auto"/>
                    <w:ind w:left="0" w:leftChars="0" w:firstLine="0" w:firstLineChars="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备注</w:t>
                  </w:r>
                </w:p>
              </w:tc>
            </w:tr>
            <w:tr w14:paraId="1BE6DE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7" w:hRule="atLeast"/>
                <w:jc w:val="center"/>
              </w:trPr>
              <w:tc>
                <w:tcPr>
                  <w:tcW w:w="1508" w:type="pct"/>
                  <w:noWrap w:val="0"/>
                  <w:vAlign w:val="center"/>
                </w:tcPr>
                <w:p w14:paraId="06F7CE8E">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电热恒温水浴锅</w:t>
                  </w:r>
                </w:p>
              </w:tc>
              <w:tc>
                <w:tcPr>
                  <w:tcW w:w="997" w:type="pct"/>
                  <w:noWrap w:val="0"/>
                  <w:vAlign w:val="center"/>
                </w:tcPr>
                <w:p w14:paraId="5BEAA8B1">
                  <w:pPr>
                    <w:jc w:val="center"/>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1</w:t>
                  </w:r>
                </w:p>
              </w:tc>
              <w:tc>
                <w:tcPr>
                  <w:tcW w:w="1631" w:type="pct"/>
                  <w:noWrap w:val="0"/>
                  <w:vAlign w:val="center"/>
                </w:tcPr>
                <w:p w14:paraId="249BB8B4">
                  <w:pPr>
                    <w:jc w:val="center"/>
                    <w:rPr>
                      <w:rFonts w:hint="eastAsia"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75</w:t>
                  </w:r>
                </w:p>
              </w:tc>
              <w:tc>
                <w:tcPr>
                  <w:tcW w:w="862" w:type="pct"/>
                  <w:vMerge w:val="restart"/>
                  <w:noWrap w:val="0"/>
                  <w:vAlign w:val="center"/>
                </w:tcPr>
                <w:p w14:paraId="65EE658B">
                  <w:pPr>
                    <w:shd w:val="clear"/>
                    <w:tabs>
                      <w:tab w:val="left" w:pos="1443"/>
                    </w:tabs>
                    <w:spacing w:line="240" w:lineRule="auto"/>
                    <w:jc w:val="center"/>
                    <w:rPr>
                      <w:rFonts w:hint="default" w:ascii="Times New Roman" w:hAnsi="Times New Roman" w:eastAsia="宋体" w:cs="Times New Roman"/>
                      <w:color w:val="auto"/>
                      <w:kern w:val="0"/>
                      <w:szCs w:val="21"/>
                      <w:highlight w:val="none"/>
                      <w:lang w:val="en-US" w:eastAsia="zh-CN"/>
                    </w:rPr>
                  </w:pPr>
                  <w:r>
                    <w:rPr>
                      <w:rFonts w:hint="eastAsia" w:cs="Times New Roman"/>
                      <w:color w:val="auto"/>
                      <w:kern w:val="0"/>
                      <w:szCs w:val="21"/>
                      <w:highlight w:val="none"/>
                      <w:lang w:val="en-US" w:eastAsia="zh-CN"/>
                    </w:rPr>
                    <w:t>室内</w:t>
                  </w:r>
                </w:p>
              </w:tc>
            </w:tr>
            <w:tr w14:paraId="1A5322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4" w:hRule="atLeast"/>
                <w:jc w:val="center"/>
              </w:trPr>
              <w:tc>
                <w:tcPr>
                  <w:tcW w:w="1508" w:type="pct"/>
                  <w:noWrap w:val="0"/>
                  <w:vAlign w:val="center"/>
                </w:tcPr>
                <w:p w14:paraId="512F2728">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总磷测定仪</w:t>
                  </w:r>
                </w:p>
              </w:tc>
              <w:tc>
                <w:tcPr>
                  <w:tcW w:w="997" w:type="pct"/>
                  <w:noWrap w:val="0"/>
                  <w:vAlign w:val="center"/>
                </w:tcPr>
                <w:p w14:paraId="7D8A38DE">
                  <w:pPr>
                    <w:jc w:val="center"/>
                    <w:rPr>
                      <w:rFonts w:hint="eastAsia"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1</w:t>
                  </w:r>
                </w:p>
              </w:tc>
              <w:tc>
                <w:tcPr>
                  <w:tcW w:w="1631" w:type="pct"/>
                  <w:noWrap w:val="0"/>
                  <w:vAlign w:val="center"/>
                </w:tcPr>
                <w:p w14:paraId="711B3FF5">
                  <w:pPr>
                    <w:jc w:val="center"/>
                    <w:rPr>
                      <w:rFonts w:hint="eastAsia"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70</w:t>
                  </w:r>
                </w:p>
              </w:tc>
              <w:tc>
                <w:tcPr>
                  <w:tcW w:w="862" w:type="pct"/>
                  <w:vMerge w:val="continue"/>
                  <w:noWrap w:val="0"/>
                  <w:vAlign w:val="center"/>
                </w:tcPr>
                <w:p w14:paraId="3D4DF75C">
                  <w:pPr>
                    <w:shd w:val="clear"/>
                    <w:tabs>
                      <w:tab w:val="left" w:pos="1443"/>
                    </w:tabs>
                    <w:spacing w:line="240" w:lineRule="auto"/>
                    <w:jc w:val="center"/>
                    <w:rPr>
                      <w:rFonts w:hint="eastAsia" w:cs="Times New Roman"/>
                      <w:color w:val="auto"/>
                      <w:kern w:val="0"/>
                      <w:szCs w:val="21"/>
                      <w:highlight w:val="none"/>
                      <w:lang w:val="en-US" w:eastAsia="zh-CN"/>
                    </w:rPr>
                  </w:pPr>
                </w:p>
              </w:tc>
            </w:tr>
            <w:tr w14:paraId="7F0F68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7" w:hRule="atLeast"/>
                <w:jc w:val="center"/>
              </w:trPr>
              <w:tc>
                <w:tcPr>
                  <w:tcW w:w="1508" w:type="pct"/>
                  <w:noWrap w:val="0"/>
                  <w:vAlign w:val="center"/>
                </w:tcPr>
                <w:p w14:paraId="0F4E8D58">
                  <w:pPr>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color w:val="auto"/>
                      <w:szCs w:val="21"/>
                      <w:highlight w:val="none"/>
                    </w:rPr>
                    <w:t>溶解氧测量系统</w:t>
                  </w:r>
                </w:p>
              </w:tc>
              <w:tc>
                <w:tcPr>
                  <w:tcW w:w="997" w:type="pct"/>
                  <w:noWrap w:val="0"/>
                  <w:vAlign w:val="center"/>
                </w:tcPr>
                <w:p w14:paraId="60A5271E">
                  <w:pPr>
                    <w:jc w:val="center"/>
                    <w:rPr>
                      <w:rFonts w:hint="eastAsia"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1</w:t>
                  </w:r>
                </w:p>
              </w:tc>
              <w:tc>
                <w:tcPr>
                  <w:tcW w:w="1631" w:type="pct"/>
                  <w:noWrap w:val="0"/>
                  <w:vAlign w:val="center"/>
                </w:tcPr>
                <w:p w14:paraId="4FA80CAF">
                  <w:pPr>
                    <w:jc w:val="center"/>
                    <w:rPr>
                      <w:rFonts w:hint="default" w:ascii="Times New Roman" w:hAnsi="Times New Roman" w:eastAsia="宋体" w:cs="Times New Roman"/>
                      <w:color w:val="auto"/>
                      <w:kern w:val="0"/>
                      <w:szCs w:val="21"/>
                      <w:highlight w:val="none"/>
                      <w:lang w:val="en-US" w:eastAsia="zh-CN"/>
                    </w:rPr>
                  </w:pPr>
                  <w:r>
                    <w:rPr>
                      <w:rFonts w:hint="eastAsia" w:ascii="Times New Roman" w:hAnsi="Times New Roman" w:cs="Times New Roman"/>
                      <w:color w:val="auto"/>
                      <w:szCs w:val="21"/>
                      <w:highlight w:val="none"/>
                      <w:lang w:val="en-US" w:eastAsia="zh-CN"/>
                    </w:rPr>
                    <w:t>65</w:t>
                  </w:r>
                </w:p>
              </w:tc>
              <w:tc>
                <w:tcPr>
                  <w:tcW w:w="862" w:type="pct"/>
                  <w:vMerge w:val="continue"/>
                  <w:noWrap w:val="0"/>
                  <w:vAlign w:val="center"/>
                </w:tcPr>
                <w:p w14:paraId="224AB599">
                  <w:pPr>
                    <w:shd w:val="clear"/>
                    <w:tabs>
                      <w:tab w:val="left" w:pos="1443"/>
                    </w:tabs>
                    <w:spacing w:line="240" w:lineRule="auto"/>
                    <w:jc w:val="center"/>
                    <w:rPr>
                      <w:rFonts w:hint="default" w:ascii="Times New Roman" w:hAnsi="Times New Roman" w:eastAsia="宋体" w:cs="Times New Roman"/>
                      <w:color w:val="auto"/>
                      <w:kern w:val="0"/>
                      <w:szCs w:val="21"/>
                      <w:highlight w:val="none"/>
                      <w:lang w:val="en-US" w:eastAsia="zh-CN"/>
                    </w:rPr>
                  </w:pPr>
                </w:p>
              </w:tc>
            </w:tr>
            <w:tr w14:paraId="2EAD26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08" w:type="pct"/>
                  <w:noWrap w:val="0"/>
                  <w:vAlign w:val="center"/>
                </w:tcPr>
                <w:p w14:paraId="6ED2E35F">
                  <w:pPr>
                    <w:jc w:val="center"/>
                    <w:rPr>
                      <w:rFonts w:hint="default" w:ascii="Times New Roman" w:hAnsi="Times New Roman" w:eastAsia="宋体" w:cs="Times New Roman"/>
                      <w:color w:val="auto"/>
                      <w:kern w:val="0"/>
                      <w:szCs w:val="21"/>
                      <w:highlight w:val="none"/>
                    </w:rPr>
                  </w:pPr>
                  <w:r>
                    <w:rPr>
                      <w:rFonts w:hint="default" w:ascii="Times New Roman" w:hAnsi="Times New Roman" w:cs="Times New Roman"/>
                      <w:color w:val="auto"/>
                      <w:szCs w:val="21"/>
                      <w:highlight w:val="none"/>
                    </w:rPr>
                    <w:t>BOD分析仪</w:t>
                  </w:r>
                </w:p>
              </w:tc>
              <w:tc>
                <w:tcPr>
                  <w:tcW w:w="997" w:type="pct"/>
                  <w:noWrap w:val="0"/>
                  <w:vAlign w:val="center"/>
                </w:tcPr>
                <w:p w14:paraId="5E7803AB">
                  <w:pPr>
                    <w:jc w:val="center"/>
                    <w:rPr>
                      <w:rFonts w:hint="eastAsia"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1</w:t>
                  </w:r>
                </w:p>
              </w:tc>
              <w:tc>
                <w:tcPr>
                  <w:tcW w:w="1631" w:type="pct"/>
                  <w:noWrap w:val="0"/>
                  <w:vAlign w:val="center"/>
                </w:tcPr>
                <w:p w14:paraId="50021910">
                  <w:pPr>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65</w:t>
                  </w:r>
                </w:p>
              </w:tc>
              <w:tc>
                <w:tcPr>
                  <w:tcW w:w="862" w:type="pct"/>
                  <w:vMerge w:val="continue"/>
                  <w:noWrap w:val="0"/>
                  <w:vAlign w:val="center"/>
                </w:tcPr>
                <w:p w14:paraId="01020B90">
                  <w:pPr>
                    <w:shd w:val="clear"/>
                    <w:tabs>
                      <w:tab w:val="left" w:pos="1443"/>
                    </w:tabs>
                    <w:spacing w:line="240" w:lineRule="auto"/>
                    <w:jc w:val="center"/>
                    <w:rPr>
                      <w:rFonts w:hint="default" w:ascii="Times New Roman" w:hAnsi="Times New Roman" w:eastAsia="宋体" w:cs="Times New Roman"/>
                      <w:color w:val="auto"/>
                      <w:szCs w:val="21"/>
                      <w:highlight w:val="none"/>
                      <w:lang w:val="en-US" w:eastAsia="zh-CN"/>
                    </w:rPr>
                  </w:pPr>
                </w:p>
              </w:tc>
            </w:tr>
            <w:tr w14:paraId="6B989D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08" w:type="pct"/>
                  <w:noWrap w:val="0"/>
                  <w:vAlign w:val="center"/>
                </w:tcPr>
                <w:p w14:paraId="45A0C678">
                  <w:pPr>
                    <w:jc w:val="center"/>
                    <w:rPr>
                      <w:rFonts w:hint="default" w:ascii="Times New Roman" w:hAnsi="Times New Roman" w:eastAsia="宋体" w:cs="Times New Roman"/>
                      <w:color w:val="auto"/>
                      <w:kern w:val="0"/>
                      <w:szCs w:val="21"/>
                      <w:highlight w:val="none"/>
                    </w:rPr>
                  </w:pPr>
                  <w:r>
                    <w:rPr>
                      <w:rFonts w:hint="default" w:ascii="Times New Roman" w:hAnsi="Times New Roman" w:cs="Times New Roman"/>
                      <w:color w:val="auto"/>
                      <w:szCs w:val="21"/>
                      <w:highlight w:val="none"/>
                    </w:rPr>
                    <w:t>PH计</w:t>
                  </w:r>
                </w:p>
              </w:tc>
              <w:tc>
                <w:tcPr>
                  <w:tcW w:w="997" w:type="pct"/>
                  <w:noWrap w:val="0"/>
                  <w:vAlign w:val="center"/>
                </w:tcPr>
                <w:p w14:paraId="1CBF9B12">
                  <w:pPr>
                    <w:jc w:val="center"/>
                    <w:rPr>
                      <w:rFonts w:hint="eastAsia"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1</w:t>
                  </w:r>
                </w:p>
              </w:tc>
              <w:tc>
                <w:tcPr>
                  <w:tcW w:w="1631" w:type="pct"/>
                  <w:noWrap w:val="0"/>
                  <w:vAlign w:val="center"/>
                </w:tcPr>
                <w:p w14:paraId="1B0213C4">
                  <w:pPr>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65</w:t>
                  </w:r>
                </w:p>
              </w:tc>
              <w:tc>
                <w:tcPr>
                  <w:tcW w:w="862" w:type="pct"/>
                  <w:vMerge w:val="continue"/>
                  <w:noWrap w:val="0"/>
                  <w:vAlign w:val="center"/>
                </w:tcPr>
                <w:p w14:paraId="70D95606">
                  <w:pPr>
                    <w:shd w:val="clear"/>
                    <w:tabs>
                      <w:tab w:val="left" w:pos="1443"/>
                    </w:tabs>
                    <w:spacing w:line="240" w:lineRule="auto"/>
                    <w:jc w:val="center"/>
                    <w:rPr>
                      <w:rFonts w:hint="default" w:ascii="Times New Roman" w:hAnsi="Times New Roman" w:eastAsia="宋体" w:cs="Times New Roman"/>
                      <w:color w:val="auto"/>
                      <w:szCs w:val="21"/>
                      <w:highlight w:val="none"/>
                      <w:lang w:val="en-US" w:eastAsia="zh-CN"/>
                    </w:rPr>
                  </w:pPr>
                </w:p>
              </w:tc>
            </w:tr>
            <w:tr w14:paraId="4CB92A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08" w:type="pct"/>
                  <w:noWrap w:val="0"/>
                  <w:vAlign w:val="center"/>
                </w:tcPr>
                <w:p w14:paraId="50B06F34">
                  <w:pPr>
                    <w:jc w:val="center"/>
                    <w:rPr>
                      <w:rFonts w:hint="default" w:ascii="Times New Roman" w:hAnsi="Times New Roman" w:eastAsia="宋体" w:cs="Times New Roman"/>
                      <w:color w:val="auto"/>
                      <w:kern w:val="0"/>
                      <w:szCs w:val="21"/>
                      <w:highlight w:val="none"/>
                    </w:rPr>
                  </w:pPr>
                  <w:r>
                    <w:rPr>
                      <w:rFonts w:hint="default" w:ascii="Times New Roman" w:hAnsi="Times New Roman" w:cs="Times New Roman"/>
                      <w:color w:val="auto"/>
                      <w:szCs w:val="21"/>
                      <w:highlight w:val="none"/>
                    </w:rPr>
                    <w:t>电导率仪</w:t>
                  </w:r>
                </w:p>
              </w:tc>
              <w:tc>
                <w:tcPr>
                  <w:tcW w:w="997" w:type="pct"/>
                  <w:noWrap w:val="0"/>
                  <w:vAlign w:val="center"/>
                </w:tcPr>
                <w:p w14:paraId="40FE2D7A">
                  <w:pPr>
                    <w:jc w:val="center"/>
                    <w:rPr>
                      <w:rFonts w:hint="eastAsia"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1</w:t>
                  </w:r>
                </w:p>
              </w:tc>
              <w:tc>
                <w:tcPr>
                  <w:tcW w:w="1631" w:type="pct"/>
                  <w:noWrap w:val="0"/>
                  <w:vAlign w:val="center"/>
                </w:tcPr>
                <w:p w14:paraId="721C9E7A">
                  <w:pPr>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65</w:t>
                  </w:r>
                </w:p>
              </w:tc>
              <w:tc>
                <w:tcPr>
                  <w:tcW w:w="862" w:type="pct"/>
                  <w:vMerge w:val="continue"/>
                  <w:noWrap w:val="0"/>
                  <w:vAlign w:val="center"/>
                </w:tcPr>
                <w:p w14:paraId="15853658">
                  <w:pPr>
                    <w:shd w:val="clear"/>
                    <w:tabs>
                      <w:tab w:val="left" w:pos="1443"/>
                    </w:tabs>
                    <w:spacing w:line="240" w:lineRule="auto"/>
                    <w:jc w:val="center"/>
                    <w:rPr>
                      <w:rFonts w:hint="default" w:ascii="Times New Roman" w:hAnsi="Times New Roman" w:eastAsia="宋体" w:cs="Times New Roman"/>
                      <w:color w:val="auto"/>
                      <w:szCs w:val="21"/>
                      <w:highlight w:val="none"/>
                      <w:lang w:val="en-US" w:eastAsia="zh-CN"/>
                    </w:rPr>
                  </w:pPr>
                </w:p>
              </w:tc>
            </w:tr>
            <w:tr w14:paraId="5ED96D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08" w:type="pct"/>
                  <w:noWrap w:val="0"/>
                  <w:vAlign w:val="center"/>
                </w:tcPr>
                <w:p w14:paraId="3F915F74">
                  <w:pPr>
                    <w:jc w:val="center"/>
                    <w:rPr>
                      <w:rFonts w:hint="default" w:ascii="Times New Roman" w:hAnsi="Times New Roman" w:eastAsia="宋体" w:cs="Times New Roman"/>
                      <w:color w:val="auto"/>
                      <w:kern w:val="0"/>
                      <w:szCs w:val="21"/>
                      <w:highlight w:val="none"/>
                    </w:rPr>
                  </w:pPr>
                  <w:r>
                    <w:rPr>
                      <w:rFonts w:hint="default" w:ascii="Times New Roman" w:hAnsi="Times New Roman" w:cs="Times New Roman"/>
                      <w:color w:val="auto"/>
                      <w:szCs w:val="21"/>
                      <w:highlight w:val="none"/>
                    </w:rPr>
                    <w:t>移液器</w:t>
                  </w:r>
                </w:p>
              </w:tc>
              <w:tc>
                <w:tcPr>
                  <w:tcW w:w="997" w:type="pct"/>
                  <w:noWrap w:val="0"/>
                  <w:vAlign w:val="center"/>
                </w:tcPr>
                <w:p w14:paraId="6BA238B9">
                  <w:pPr>
                    <w:jc w:val="center"/>
                    <w:rPr>
                      <w:rFonts w:hint="eastAsia"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1</w:t>
                  </w:r>
                </w:p>
              </w:tc>
              <w:tc>
                <w:tcPr>
                  <w:tcW w:w="1631" w:type="pct"/>
                  <w:noWrap w:val="0"/>
                  <w:vAlign w:val="center"/>
                </w:tcPr>
                <w:p w14:paraId="35EA5688">
                  <w:pPr>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65</w:t>
                  </w:r>
                </w:p>
              </w:tc>
              <w:tc>
                <w:tcPr>
                  <w:tcW w:w="862" w:type="pct"/>
                  <w:vMerge w:val="continue"/>
                  <w:noWrap w:val="0"/>
                  <w:vAlign w:val="center"/>
                </w:tcPr>
                <w:p w14:paraId="3BF0C505">
                  <w:pPr>
                    <w:shd w:val="clear"/>
                    <w:tabs>
                      <w:tab w:val="left" w:pos="1443"/>
                    </w:tabs>
                    <w:spacing w:line="240" w:lineRule="auto"/>
                    <w:jc w:val="center"/>
                    <w:rPr>
                      <w:rFonts w:hint="default" w:ascii="Times New Roman" w:hAnsi="Times New Roman" w:eastAsia="宋体" w:cs="Times New Roman"/>
                      <w:color w:val="auto"/>
                      <w:szCs w:val="21"/>
                      <w:highlight w:val="none"/>
                      <w:lang w:val="en-US" w:eastAsia="zh-CN"/>
                    </w:rPr>
                  </w:pPr>
                </w:p>
              </w:tc>
            </w:tr>
            <w:tr w14:paraId="1F2172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08" w:type="pct"/>
                  <w:noWrap w:val="0"/>
                  <w:vAlign w:val="center"/>
                </w:tcPr>
                <w:p w14:paraId="10D808C7">
                  <w:pPr>
                    <w:jc w:val="center"/>
                    <w:rPr>
                      <w:rFonts w:hint="default" w:ascii="Times New Roman" w:hAnsi="Times New Roman" w:eastAsia="宋体" w:cs="Times New Roman"/>
                      <w:color w:val="auto"/>
                      <w:kern w:val="0"/>
                      <w:szCs w:val="21"/>
                      <w:highlight w:val="none"/>
                    </w:rPr>
                  </w:pPr>
                  <w:r>
                    <w:rPr>
                      <w:rFonts w:hint="default" w:ascii="Times New Roman" w:hAnsi="Times New Roman" w:cs="Times New Roman"/>
                      <w:color w:val="auto"/>
                      <w:szCs w:val="21"/>
                      <w:highlight w:val="none"/>
                    </w:rPr>
                    <w:t>移液器</w:t>
                  </w:r>
                </w:p>
              </w:tc>
              <w:tc>
                <w:tcPr>
                  <w:tcW w:w="997" w:type="pct"/>
                  <w:noWrap w:val="0"/>
                  <w:vAlign w:val="center"/>
                </w:tcPr>
                <w:p w14:paraId="097DECD0">
                  <w:pPr>
                    <w:jc w:val="center"/>
                    <w:rPr>
                      <w:rFonts w:hint="eastAsia"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1</w:t>
                  </w:r>
                </w:p>
              </w:tc>
              <w:tc>
                <w:tcPr>
                  <w:tcW w:w="1631" w:type="pct"/>
                  <w:noWrap w:val="0"/>
                  <w:vAlign w:val="center"/>
                </w:tcPr>
                <w:p w14:paraId="6C7608EA">
                  <w:pPr>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65</w:t>
                  </w:r>
                </w:p>
              </w:tc>
              <w:tc>
                <w:tcPr>
                  <w:tcW w:w="862" w:type="pct"/>
                  <w:vMerge w:val="continue"/>
                  <w:noWrap w:val="0"/>
                  <w:vAlign w:val="center"/>
                </w:tcPr>
                <w:p w14:paraId="0230B03A">
                  <w:pPr>
                    <w:shd w:val="clear"/>
                    <w:tabs>
                      <w:tab w:val="left" w:pos="1443"/>
                    </w:tabs>
                    <w:spacing w:line="240" w:lineRule="auto"/>
                    <w:jc w:val="center"/>
                    <w:rPr>
                      <w:rFonts w:hint="default" w:ascii="Times New Roman" w:hAnsi="Times New Roman" w:eastAsia="宋体" w:cs="Times New Roman"/>
                      <w:color w:val="auto"/>
                      <w:szCs w:val="21"/>
                      <w:highlight w:val="none"/>
                      <w:lang w:val="en-US" w:eastAsia="zh-CN"/>
                    </w:rPr>
                  </w:pPr>
                </w:p>
              </w:tc>
            </w:tr>
            <w:tr w14:paraId="07C486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08" w:type="pct"/>
                  <w:noWrap w:val="0"/>
                  <w:vAlign w:val="center"/>
                </w:tcPr>
                <w:p w14:paraId="1FABE9B8">
                  <w:pPr>
                    <w:jc w:val="center"/>
                    <w:rPr>
                      <w:rFonts w:hint="default" w:ascii="Times New Roman" w:hAnsi="Times New Roman" w:eastAsia="宋体" w:cs="Times New Roman"/>
                      <w:color w:val="auto"/>
                      <w:kern w:val="0"/>
                      <w:szCs w:val="21"/>
                      <w:highlight w:val="none"/>
                    </w:rPr>
                  </w:pPr>
                  <w:r>
                    <w:rPr>
                      <w:rFonts w:hint="default" w:ascii="Times New Roman" w:hAnsi="Times New Roman" w:cs="Times New Roman"/>
                      <w:color w:val="auto"/>
                      <w:szCs w:val="21"/>
                      <w:highlight w:val="none"/>
                    </w:rPr>
                    <w:t>移液器</w:t>
                  </w:r>
                </w:p>
              </w:tc>
              <w:tc>
                <w:tcPr>
                  <w:tcW w:w="997" w:type="pct"/>
                  <w:noWrap w:val="0"/>
                  <w:vAlign w:val="center"/>
                </w:tcPr>
                <w:p w14:paraId="07FFADC6">
                  <w:pPr>
                    <w:jc w:val="center"/>
                    <w:rPr>
                      <w:rFonts w:hint="eastAsia"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1</w:t>
                  </w:r>
                </w:p>
              </w:tc>
              <w:tc>
                <w:tcPr>
                  <w:tcW w:w="1631" w:type="pct"/>
                  <w:noWrap w:val="0"/>
                  <w:vAlign w:val="center"/>
                </w:tcPr>
                <w:p w14:paraId="3D5D24F9">
                  <w:pPr>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65</w:t>
                  </w:r>
                </w:p>
              </w:tc>
              <w:tc>
                <w:tcPr>
                  <w:tcW w:w="862" w:type="pct"/>
                  <w:vMerge w:val="continue"/>
                  <w:noWrap w:val="0"/>
                  <w:vAlign w:val="center"/>
                </w:tcPr>
                <w:p w14:paraId="670449DD">
                  <w:pPr>
                    <w:shd w:val="clear"/>
                    <w:tabs>
                      <w:tab w:val="left" w:pos="1443"/>
                    </w:tabs>
                    <w:spacing w:line="240" w:lineRule="auto"/>
                    <w:jc w:val="center"/>
                    <w:rPr>
                      <w:rFonts w:hint="default" w:ascii="Times New Roman" w:hAnsi="Times New Roman" w:eastAsia="宋体" w:cs="Times New Roman"/>
                      <w:color w:val="auto"/>
                      <w:szCs w:val="21"/>
                      <w:highlight w:val="none"/>
                      <w:lang w:val="en-US" w:eastAsia="zh-CN"/>
                    </w:rPr>
                  </w:pPr>
                </w:p>
              </w:tc>
            </w:tr>
            <w:tr w14:paraId="54FD7B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08" w:type="pct"/>
                  <w:noWrap w:val="0"/>
                  <w:vAlign w:val="center"/>
                </w:tcPr>
                <w:p w14:paraId="30E0A99B">
                  <w:pPr>
                    <w:jc w:val="center"/>
                    <w:rPr>
                      <w:rFonts w:hint="default" w:ascii="Times New Roman" w:hAnsi="Times New Roman" w:eastAsia="宋体" w:cs="Times New Roman"/>
                      <w:color w:val="auto"/>
                      <w:kern w:val="0"/>
                      <w:szCs w:val="21"/>
                      <w:highlight w:val="none"/>
                    </w:rPr>
                  </w:pPr>
                  <w:r>
                    <w:rPr>
                      <w:rFonts w:hint="default" w:ascii="Times New Roman" w:hAnsi="Times New Roman" w:cs="Times New Roman"/>
                      <w:color w:val="auto"/>
                      <w:szCs w:val="21"/>
                      <w:highlight w:val="none"/>
                    </w:rPr>
                    <w:t>凯氏定氮仪</w:t>
                  </w:r>
                </w:p>
              </w:tc>
              <w:tc>
                <w:tcPr>
                  <w:tcW w:w="997" w:type="pct"/>
                  <w:noWrap w:val="0"/>
                  <w:vAlign w:val="center"/>
                </w:tcPr>
                <w:p w14:paraId="593FD14C">
                  <w:pPr>
                    <w:jc w:val="center"/>
                    <w:rPr>
                      <w:rFonts w:hint="eastAsia"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1</w:t>
                  </w:r>
                </w:p>
              </w:tc>
              <w:tc>
                <w:tcPr>
                  <w:tcW w:w="1631" w:type="pct"/>
                  <w:noWrap w:val="0"/>
                  <w:vAlign w:val="center"/>
                </w:tcPr>
                <w:p w14:paraId="0F95F83F">
                  <w:pPr>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70</w:t>
                  </w:r>
                </w:p>
              </w:tc>
              <w:tc>
                <w:tcPr>
                  <w:tcW w:w="862" w:type="pct"/>
                  <w:vMerge w:val="continue"/>
                  <w:noWrap w:val="0"/>
                  <w:vAlign w:val="center"/>
                </w:tcPr>
                <w:p w14:paraId="15596644">
                  <w:pPr>
                    <w:shd w:val="clear"/>
                    <w:tabs>
                      <w:tab w:val="left" w:pos="1443"/>
                    </w:tabs>
                    <w:spacing w:line="240" w:lineRule="auto"/>
                    <w:jc w:val="center"/>
                    <w:rPr>
                      <w:rFonts w:hint="default" w:ascii="Times New Roman" w:hAnsi="Times New Roman" w:eastAsia="宋体" w:cs="Times New Roman"/>
                      <w:color w:val="auto"/>
                      <w:szCs w:val="21"/>
                      <w:highlight w:val="none"/>
                      <w:lang w:val="en-US" w:eastAsia="zh-CN"/>
                    </w:rPr>
                  </w:pPr>
                </w:p>
              </w:tc>
            </w:tr>
            <w:tr w14:paraId="4ADD27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08" w:type="pct"/>
                  <w:noWrap w:val="0"/>
                  <w:vAlign w:val="center"/>
                </w:tcPr>
                <w:p w14:paraId="2C862087">
                  <w:pPr>
                    <w:jc w:val="center"/>
                    <w:rPr>
                      <w:rFonts w:hint="default" w:ascii="Times New Roman" w:hAnsi="Times New Roman" w:eastAsia="宋体" w:cs="Times New Roman"/>
                      <w:color w:val="auto"/>
                      <w:kern w:val="0"/>
                      <w:szCs w:val="21"/>
                      <w:highlight w:val="none"/>
                    </w:rPr>
                  </w:pPr>
                  <w:r>
                    <w:rPr>
                      <w:rFonts w:hint="default" w:ascii="Times New Roman" w:hAnsi="Times New Roman" w:cs="Times New Roman"/>
                      <w:color w:val="auto"/>
                      <w:szCs w:val="21"/>
                      <w:highlight w:val="none"/>
                    </w:rPr>
                    <w:t>原子吸收火焰光度计</w:t>
                  </w:r>
                </w:p>
              </w:tc>
              <w:tc>
                <w:tcPr>
                  <w:tcW w:w="997" w:type="pct"/>
                  <w:noWrap w:val="0"/>
                  <w:vAlign w:val="center"/>
                </w:tcPr>
                <w:p w14:paraId="1D65748B">
                  <w:pPr>
                    <w:jc w:val="center"/>
                    <w:rPr>
                      <w:rFonts w:hint="eastAsia"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1</w:t>
                  </w:r>
                </w:p>
              </w:tc>
              <w:tc>
                <w:tcPr>
                  <w:tcW w:w="1631" w:type="pct"/>
                  <w:noWrap w:val="0"/>
                  <w:vAlign w:val="center"/>
                </w:tcPr>
                <w:p w14:paraId="01D60222">
                  <w:pPr>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75</w:t>
                  </w:r>
                </w:p>
              </w:tc>
              <w:tc>
                <w:tcPr>
                  <w:tcW w:w="862" w:type="pct"/>
                  <w:vMerge w:val="continue"/>
                  <w:noWrap w:val="0"/>
                  <w:vAlign w:val="center"/>
                </w:tcPr>
                <w:p w14:paraId="7931BEB0">
                  <w:pPr>
                    <w:shd w:val="clear"/>
                    <w:tabs>
                      <w:tab w:val="left" w:pos="1443"/>
                    </w:tabs>
                    <w:spacing w:line="240" w:lineRule="auto"/>
                    <w:jc w:val="center"/>
                    <w:rPr>
                      <w:rFonts w:hint="default" w:ascii="Times New Roman" w:hAnsi="Times New Roman" w:eastAsia="宋体" w:cs="Times New Roman"/>
                      <w:color w:val="auto"/>
                      <w:szCs w:val="21"/>
                      <w:highlight w:val="none"/>
                      <w:lang w:val="en-US" w:eastAsia="zh-CN"/>
                    </w:rPr>
                  </w:pPr>
                </w:p>
              </w:tc>
            </w:tr>
            <w:tr w14:paraId="6B3FB5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08" w:type="pct"/>
                  <w:noWrap w:val="0"/>
                  <w:vAlign w:val="center"/>
                </w:tcPr>
                <w:p w14:paraId="05464E18">
                  <w:pPr>
                    <w:jc w:val="center"/>
                    <w:rPr>
                      <w:rFonts w:hint="default" w:ascii="Times New Roman" w:hAnsi="Times New Roman" w:eastAsia="宋体" w:cs="Times New Roman"/>
                      <w:color w:val="auto"/>
                      <w:kern w:val="0"/>
                      <w:szCs w:val="21"/>
                      <w:highlight w:val="none"/>
                    </w:rPr>
                  </w:pPr>
                  <w:r>
                    <w:rPr>
                      <w:rFonts w:hint="default" w:ascii="Times New Roman" w:hAnsi="Times New Roman" w:cs="Times New Roman"/>
                      <w:color w:val="auto"/>
                      <w:szCs w:val="21"/>
                      <w:highlight w:val="none"/>
                    </w:rPr>
                    <w:t>石墨炉原子分光光度计</w:t>
                  </w:r>
                </w:p>
              </w:tc>
              <w:tc>
                <w:tcPr>
                  <w:tcW w:w="997" w:type="pct"/>
                  <w:noWrap w:val="0"/>
                  <w:vAlign w:val="center"/>
                </w:tcPr>
                <w:p w14:paraId="45FFAAC0">
                  <w:pPr>
                    <w:jc w:val="center"/>
                    <w:rPr>
                      <w:rFonts w:hint="eastAsia"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1</w:t>
                  </w:r>
                </w:p>
              </w:tc>
              <w:tc>
                <w:tcPr>
                  <w:tcW w:w="1631" w:type="pct"/>
                  <w:noWrap w:val="0"/>
                  <w:vAlign w:val="center"/>
                </w:tcPr>
                <w:p w14:paraId="5A2E8A9D">
                  <w:pPr>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75</w:t>
                  </w:r>
                </w:p>
              </w:tc>
              <w:tc>
                <w:tcPr>
                  <w:tcW w:w="862" w:type="pct"/>
                  <w:vMerge w:val="continue"/>
                  <w:noWrap w:val="0"/>
                  <w:vAlign w:val="center"/>
                </w:tcPr>
                <w:p w14:paraId="1A57A3DB">
                  <w:pPr>
                    <w:shd w:val="clear"/>
                    <w:tabs>
                      <w:tab w:val="left" w:pos="1443"/>
                    </w:tabs>
                    <w:spacing w:line="240" w:lineRule="auto"/>
                    <w:jc w:val="center"/>
                    <w:rPr>
                      <w:rFonts w:hint="default" w:ascii="Times New Roman" w:hAnsi="Times New Roman" w:eastAsia="宋体" w:cs="Times New Roman"/>
                      <w:color w:val="auto"/>
                      <w:szCs w:val="21"/>
                      <w:highlight w:val="none"/>
                      <w:lang w:val="en-US" w:eastAsia="zh-CN"/>
                    </w:rPr>
                  </w:pPr>
                </w:p>
              </w:tc>
            </w:tr>
            <w:tr w14:paraId="27A0C1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08" w:type="pct"/>
                  <w:noWrap w:val="0"/>
                  <w:vAlign w:val="center"/>
                </w:tcPr>
                <w:p w14:paraId="3080018D">
                  <w:pPr>
                    <w:jc w:val="center"/>
                    <w:rPr>
                      <w:rFonts w:hint="default" w:ascii="Times New Roman" w:hAnsi="Times New Roman" w:eastAsia="宋体" w:cs="Times New Roman"/>
                      <w:color w:val="auto"/>
                      <w:kern w:val="0"/>
                      <w:szCs w:val="21"/>
                      <w:highlight w:val="none"/>
                    </w:rPr>
                  </w:pPr>
                  <w:r>
                    <w:rPr>
                      <w:rFonts w:hint="default" w:ascii="Times New Roman" w:hAnsi="Times New Roman" w:cs="Times New Roman"/>
                      <w:color w:val="auto"/>
                      <w:szCs w:val="21"/>
                      <w:highlight w:val="none"/>
                    </w:rPr>
                    <w:t>电子天平百分之一</w:t>
                  </w:r>
                </w:p>
              </w:tc>
              <w:tc>
                <w:tcPr>
                  <w:tcW w:w="997" w:type="pct"/>
                  <w:noWrap w:val="0"/>
                  <w:vAlign w:val="center"/>
                </w:tcPr>
                <w:p w14:paraId="3E160612">
                  <w:pPr>
                    <w:jc w:val="center"/>
                    <w:rPr>
                      <w:rFonts w:hint="eastAsia"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1</w:t>
                  </w:r>
                </w:p>
              </w:tc>
              <w:tc>
                <w:tcPr>
                  <w:tcW w:w="1631" w:type="pct"/>
                  <w:noWrap w:val="0"/>
                  <w:vAlign w:val="center"/>
                </w:tcPr>
                <w:p w14:paraId="512B461D">
                  <w:pPr>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65</w:t>
                  </w:r>
                </w:p>
              </w:tc>
              <w:tc>
                <w:tcPr>
                  <w:tcW w:w="862" w:type="pct"/>
                  <w:vMerge w:val="continue"/>
                  <w:noWrap w:val="0"/>
                  <w:vAlign w:val="center"/>
                </w:tcPr>
                <w:p w14:paraId="66F750BF">
                  <w:pPr>
                    <w:shd w:val="clear"/>
                    <w:tabs>
                      <w:tab w:val="left" w:pos="1443"/>
                    </w:tabs>
                    <w:spacing w:line="240" w:lineRule="auto"/>
                    <w:jc w:val="center"/>
                    <w:rPr>
                      <w:rFonts w:hint="default" w:ascii="Times New Roman" w:hAnsi="Times New Roman" w:eastAsia="宋体" w:cs="Times New Roman"/>
                      <w:color w:val="auto"/>
                      <w:szCs w:val="21"/>
                      <w:highlight w:val="none"/>
                      <w:lang w:val="en-US" w:eastAsia="zh-CN"/>
                    </w:rPr>
                  </w:pPr>
                </w:p>
              </w:tc>
            </w:tr>
            <w:tr w14:paraId="01EE53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08" w:type="pct"/>
                  <w:noWrap w:val="0"/>
                  <w:vAlign w:val="center"/>
                </w:tcPr>
                <w:p w14:paraId="4FECF6D1">
                  <w:pPr>
                    <w:jc w:val="center"/>
                    <w:rPr>
                      <w:rFonts w:hint="default" w:ascii="Times New Roman" w:hAnsi="Times New Roman" w:eastAsia="宋体" w:cs="Times New Roman"/>
                      <w:color w:val="auto"/>
                      <w:kern w:val="0"/>
                      <w:szCs w:val="21"/>
                      <w:highlight w:val="none"/>
                    </w:rPr>
                  </w:pPr>
                  <w:r>
                    <w:rPr>
                      <w:rFonts w:hint="default" w:ascii="Times New Roman" w:hAnsi="Times New Roman" w:cs="Times New Roman"/>
                      <w:color w:val="auto"/>
                      <w:szCs w:val="21"/>
                      <w:highlight w:val="none"/>
                    </w:rPr>
                    <w:t>电子天平万分之一</w:t>
                  </w:r>
                </w:p>
              </w:tc>
              <w:tc>
                <w:tcPr>
                  <w:tcW w:w="997" w:type="pct"/>
                  <w:noWrap w:val="0"/>
                  <w:vAlign w:val="center"/>
                </w:tcPr>
                <w:p w14:paraId="1CE9E3FD">
                  <w:pPr>
                    <w:jc w:val="center"/>
                    <w:rPr>
                      <w:rFonts w:hint="eastAsia"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1</w:t>
                  </w:r>
                </w:p>
              </w:tc>
              <w:tc>
                <w:tcPr>
                  <w:tcW w:w="1631" w:type="pct"/>
                  <w:noWrap w:val="0"/>
                  <w:vAlign w:val="center"/>
                </w:tcPr>
                <w:p w14:paraId="1C4C635D">
                  <w:pPr>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65</w:t>
                  </w:r>
                </w:p>
              </w:tc>
              <w:tc>
                <w:tcPr>
                  <w:tcW w:w="862" w:type="pct"/>
                  <w:vMerge w:val="continue"/>
                  <w:noWrap w:val="0"/>
                  <w:vAlign w:val="center"/>
                </w:tcPr>
                <w:p w14:paraId="6A8D52F4">
                  <w:pPr>
                    <w:shd w:val="clear"/>
                    <w:tabs>
                      <w:tab w:val="left" w:pos="1443"/>
                    </w:tabs>
                    <w:spacing w:line="240" w:lineRule="auto"/>
                    <w:jc w:val="center"/>
                    <w:rPr>
                      <w:rFonts w:hint="default" w:ascii="Times New Roman" w:hAnsi="Times New Roman" w:eastAsia="宋体" w:cs="Times New Roman"/>
                      <w:color w:val="auto"/>
                      <w:szCs w:val="21"/>
                      <w:highlight w:val="none"/>
                      <w:lang w:val="en-US" w:eastAsia="zh-CN"/>
                    </w:rPr>
                  </w:pPr>
                </w:p>
              </w:tc>
            </w:tr>
            <w:tr w14:paraId="5D8138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08" w:type="pct"/>
                  <w:noWrap w:val="0"/>
                  <w:vAlign w:val="center"/>
                </w:tcPr>
                <w:p w14:paraId="2AB15172">
                  <w:pPr>
                    <w:jc w:val="center"/>
                    <w:rPr>
                      <w:rFonts w:hint="default" w:ascii="Times New Roman" w:hAnsi="Times New Roman" w:eastAsia="宋体" w:cs="Times New Roman"/>
                      <w:color w:val="auto"/>
                      <w:kern w:val="0"/>
                      <w:szCs w:val="21"/>
                      <w:highlight w:val="none"/>
                    </w:rPr>
                  </w:pPr>
                  <w:r>
                    <w:rPr>
                      <w:rFonts w:hint="default" w:ascii="Times New Roman" w:hAnsi="Times New Roman" w:cs="Times New Roman"/>
                      <w:color w:val="auto"/>
                      <w:szCs w:val="21"/>
                      <w:highlight w:val="none"/>
                    </w:rPr>
                    <w:t>分光光度计</w:t>
                  </w:r>
                </w:p>
              </w:tc>
              <w:tc>
                <w:tcPr>
                  <w:tcW w:w="997" w:type="pct"/>
                  <w:noWrap w:val="0"/>
                  <w:vAlign w:val="center"/>
                </w:tcPr>
                <w:p w14:paraId="693B3791">
                  <w:pPr>
                    <w:jc w:val="center"/>
                    <w:rPr>
                      <w:rFonts w:hint="eastAsia"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1</w:t>
                  </w:r>
                </w:p>
              </w:tc>
              <w:tc>
                <w:tcPr>
                  <w:tcW w:w="1631" w:type="pct"/>
                  <w:noWrap w:val="0"/>
                  <w:vAlign w:val="center"/>
                </w:tcPr>
                <w:p w14:paraId="298BFDD4">
                  <w:pPr>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65</w:t>
                  </w:r>
                </w:p>
              </w:tc>
              <w:tc>
                <w:tcPr>
                  <w:tcW w:w="862" w:type="pct"/>
                  <w:vMerge w:val="continue"/>
                  <w:noWrap w:val="0"/>
                  <w:vAlign w:val="center"/>
                </w:tcPr>
                <w:p w14:paraId="462E11EC">
                  <w:pPr>
                    <w:shd w:val="clear"/>
                    <w:tabs>
                      <w:tab w:val="left" w:pos="1443"/>
                    </w:tabs>
                    <w:spacing w:line="240" w:lineRule="auto"/>
                    <w:jc w:val="center"/>
                    <w:rPr>
                      <w:rFonts w:hint="default" w:ascii="Times New Roman" w:hAnsi="Times New Roman" w:eastAsia="宋体" w:cs="Times New Roman"/>
                      <w:color w:val="auto"/>
                      <w:szCs w:val="21"/>
                      <w:highlight w:val="none"/>
                      <w:lang w:val="en-US" w:eastAsia="zh-CN"/>
                    </w:rPr>
                  </w:pPr>
                </w:p>
              </w:tc>
            </w:tr>
            <w:tr w14:paraId="0E6AE1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08" w:type="pct"/>
                  <w:noWrap w:val="0"/>
                  <w:vAlign w:val="center"/>
                </w:tcPr>
                <w:p w14:paraId="773C5839">
                  <w:pPr>
                    <w:jc w:val="center"/>
                    <w:rPr>
                      <w:rFonts w:hint="default" w:ascii="Times New Roman" w:hAnsi="Times New Roman" w:cs="Times New Roman"/>
                      <w:b w:val="0"/>
                      <w:bCs w:val="0"/>
                      <w:snapToGrid w:val="0"/>
                      <w:color w:val="auto"/>
                      <w:kern w:val="2"/>
                      <w:sz w:val="21"/>
                      <w:szCs w:val="21"/>
                      <w:highlight w:val="none"/>
                      <w:vertAlign w:val="baseline"/>
                      <w:lang w:val="en-US" w:eastAsia="zh-CN" w:bidi="ar-SA"/>
                    </w:rPr>
                  </w:pPr>
                  <w:r>
                    <w:rPr>
                      <w:rFonts w:hint="default" w:ascii="Times New Roman" w:hAnsi="Times New Roman" w:cs="Times New Roman"/>
                      <w:color w:val="auto"/>
                      <w:szCs w:val="21"/>
                      <w:highlight w:val="none"/>
                    </w:rPr>
                    <w:t>紫外可见分光光度计</w:t>
                  </w:r>
                </w:p>
              </w:tc>
              <w:tc>
                <w:tcPr>
                  <w:tcW w:w="997" w:type="pct"/>
                  <w:noWrap w:val="0"/>
                  <w:vAlign w:val="center"/>
                </w:tcPr>
                <w:p w14:paraId="36CA8654">
                  <w:pPr>
                    <w:jc w:val="center"/>
                    <w:rPr>
                      <w:rFonts w:hint="eastAsia"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1</w:t>
                  </w:r>
                </w:p>
              </w:tc>
              <w:tc>
                <w:tcPr>
                  <w:tcW w:w="1631" w:type="pct"/>
                  <w:noWrap w:val="0"/>
                  <w:vAlign w:val="center"/>
                </w:tcPr>
                <w:p w14:paraId="4C55159D">
                  <w:pPr>
                    <w:jc w:val="center"/>
                    <w:rPr>
                      <w:rFonts w:hint="default"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70</w:t>
                  </w:r>
                </w:p>
              </w:tc>
              <w:tc>
                <w:tcPr>
                  <w:tcW w:w="862" w:type="pct"/>
                  <w:vMerge w:val="continue"/>
                  <w:noWrap w:val="0"/>
                  <w:vAlign w:val="center"/>
                </w:tcPr>
                <w:p w14:paraId="558D3F61">
                  <w:pPr>
                    <w:shd w:val="clear"/>
                    <w:spacing w:line="240" w:lineRule="auto"/>
                    <w:jc w:val="center"/>
                    <w:rPr>
                      <w:rFonts w:hint="default" w:ascii="Times New Roman" w:hAnsi="Times New Roman" w:cs="Times New Roman"/>
                      <w:color w:val="auto"/>
                      <w:szCs w:val="21"/>
                      <w:highlight w:val="none"/>
                      <w:lang w:val="en-US" w:eastAsia="zh-CN"/>
                    </w:rPr>
                  </w:pPr>
                </w:p>
              </w:tc>
            </w:tr>
            <w:tr w14:paraId="2B23D7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08" w:type="pct"/>
                  <w:noWrap w:val="0"/>
                  <w:vAlign w:val="center"/>
                </w:tcPr>
                <w:p w14:paraId="1DC5D83B">
                  <w:pPr>
                    <w:jc w:val="center"/>
                    <w:rPr>
                      <w:rFonts w:hint="default" w:cs="Times New Roman"/>
                      <w:b w:val="0"/>
                      <w:bCs w:val="0"/>
                      <w:snapToGrid w:val="0"/>
                      <w:color w:val="auto"/>
                      <w:kern w:val="2"/>
                      <w:sz w:val="21"/>
                      <w:szCs w:val="21"/>
                      <w:highlight w:val="none"/>
                      <w:vertAlign w:val="baseline"/>
                      <w:lang w:val="en-US" w:eastAsia="zh-CN" w:bidi="ar-SA"/>
                    </w:rPr>
                  </w:pPr>
                  <w:r>
                    <w:rPr>
                      <w:rFonts w:hint="default" w:ascii="Times New Roman" w:hAnsi="Times New Roman" w:cs="Times New Roman"/>
                      <w:color w:val="auto"/>
                      <w:szCs w:val="21"/>
                      <w:highlight w:val="none"/>
                    </w:rPr>
                    <w:t>离心机</w:t>
                  </w:r>
                </w:p>
              </w:tc>
              <w:tc>
                <w:tcPr>
                  <w:tcW w:w="997" w:type="pct"/>
                  <w:noWrap w:val="0"/>
                  <w:vAlign w:val="center"/>
                </w:tcPr>
                <w:p w14:paraId="7A4BCA16">
                  <w:pPr>
                    <w:jc w:val="center"/>
                    <w:rPr>
                      <w:rFonts w:hint="eastAsia"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1</w:t>
                  </w:r>
                </w:p>
              </w:tc>
              <w:tc>
                <w:tcPr>
                  <w:tcW w:w="1631" w:type="pct"/>
                  <w:noWrap w:val="0"/>
                  <w:vAlign w:val="center"/>
                </w:tcPr>
                <w:p w14:paraId="53525330">
                  <w:pPr>
                    <w:jc w:val="center"/>
                    <w:rPr>
                      <w:rFonts w:hint="default"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75</w:t>
                  </w:r>
                </w:p>
              </w:tc>
              <w:tc>
                <w:tcPr>
                  <w:tcW w:w="862" w:type="pct"/>
                  <w:vMerge w:val="continue"/>
                  <w:noWrap w:val="0"/>
                  <w:vAlign w:val="center"/>
                </w:tcPr>
                <w:p w14:paraId="199000B5">
                  <w:pPr>
                    <w:shd w:val="clear"/>
                    <w:spacing w:line="240" w:lineRule="auto"/>
                    <w:jc w:val="center"/>
                    <w:rPr>
                      <w:rFonts w:hint="default" w:ascii="Times New Roman" w:hAnsi="Times New Roman" w:cs="Times New Roman"/>
                      <w:color w:val="auto"/>
                      <w:szCs w:val="21"/>
                      <w:highlight w:val="none"/>
                      <w:lang w:val="en-US" w:eastAsia="zh-CN"/>
                    </w:rPr>
                  </w:pPr>
                </w:p>
              </w:tc>
            </w:tr>
            <w:tr w14:paraId="0F2C78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08" w:type="pct"/>
                  <w:noWrap w:val="0"/>
                  <w:vAlign w:val="center"/>
                </w:tcPr>
                <w:p w14:paraId="05AE3F61">
                  <w:pPr>
                    <w:jc w:val="center"/>
                    <w:rPr>
                      <w:rFonts w:hint="default" w:cs="Times New Roman"/>
                      <w:b w:val="0"/>
                      <w:bCs w:val="0"/>
                      <w:snapToGrid w:val="0"/>
                      <w:color w:val="auto"/>
                      <w:kern w:val="2"/>
                      <w:sz w:val="21"/>
                      <w:szCs w:val="21"/>
                      <w:highlight w:val="none"/>
                      <w:vertAlign w:val="baseline"/>
                      <w:lang w:val="en-US" w:eastAsia="zh-CN" w:bidi="ar-SA"/>
                    </w:rPr>
                  </w:pPr>
                  <w:r>
                    <w:rPr>
                      <w:rFonts w:hint="default" w:ascii="Times New Roman" w:hAnsi="Times New Roman" w:cs="Times New Roman"/>
                      <w:color w:val="auto"/>
                      <w:szCs w:val="21"/>
                      <w:highlight w:val="none"/>
                    </w:rPr>
                    <w:t>磁力搅拌器</w:t>
                  </w:r>
                </w:p>
              </w:tc>
              <w:tc>
                <w:tcPr>
                  <w:tcW w:w="997" w:type="pct"/>
                  <w:noWrap w:val="0"/>
                  <w:vAlign w:val="center"/>
                </w:tcPr>
                <w:p w14:paraId="40F6E30D">
                  <w:pPr>
                    <w:jc w:val="center"/>
                    <w:rPr>
                      <w:rFonts w:hint="eastAsia"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1</w:t>
                  </w:r>
                </w:p>
              </w:tc>
              <w:tc>
                <w:tcPr>
                  <w:tcW w:w="1631" w:type="pct"/>
                  <w:noWrap w:val="0"/>
                  <w:vAlign w:val="center"/>
                </w:tcPr>
                <w:p w14:paraId="36DAB460">
                  <w:pPr>
                    <w:jc w:val="center"/>
                    <w:rPr>
                      <w:rFonts w:hint="default"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70</w:t>
                  </w:r>
                </w:p>
              </w:tc>
              <w:tc>
                <w:tcPr>
                  <w:tcW w:w="862" w:type="pct"/>
                  <w:vMerge w:val="continue"/>
                  <w:noWrap w:val="0"/>
                  <w:vAlign w:val="center"/>
                </w:tcPr>
                <w:p w14:paraId="4C65E245">
                  <w:pPr>
                    <w:shd w:val="clear"/>
                    <w:spacing w:line="240" w:lineRule="auto"/>
                    <w:jc w:val="center"/>
                    <w:rPr>
                      <w:rFonts w:hint="default" w:ascii="Times New Roman" w:hAnsi="Times New Roman" w:cs="Times New Roman"/>
                      <w:color w:val="auto"/>
                      <w:szCs w:val="21"/>
                      <w:highlight w:val="none"/>
                      <w:lang w:val="en-US" w:eastAsia="zh-CN"/>
                    </w:rPr>
                  </w:pPr>
                </w:p>
              </w:tc>
            </w:tr>
            <w:tr w14:paraId="798D6A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08" w:type="pct"/>
                  <w:noWrap w:val="0"/>
                  <w:vAlign w:val="center"/>
                </w:tcPr>
                <w:p w14:paraId="0CDCBF19">
                  <w:pPr>
                    <w:jc w:val="center"/>
                    <w:rPr>
                      <w:rFonts w:hint="eastAsia" w:cs="Times New Roman"/>
                      <w:b w:val="0"/>
                      <w:bCs w:val="0"/>
                      <w:snapToGrid w:val="0"/>
                      <w:color w:val="auto"/>
                      <w:kern w:val="2"/>
                      <w:sz w:val="21"/>
                      <w:szCs w:val="21"/>
                      <w:highlight w:val="none"/>
                      <w:vertAlign w:val="baseline"/>
                      <w:lang w:val="en-US" w:eastAsia="zh-CN" w:bidi="ar-SA"/>
                    </w:rPr>
                  </w:pPr>
                  <w:r>
                    <w:rPr>
                      <w:rFonts w:hint="default" w:ascii="Times New Roman" w:hAnsi="Times New Roman" w:cs="Times New Roman"/>
                      <w:color w:val="auto"/>
                      <w:szCs w:val="21"/>
                      <w:highlight w:val="none"/>
                    </w:rPr>
                    <w:t>高温电炉（马弗炉）</w:t>
                  </w:r>
                </w:p>
              </w:tc>
              <w:tc>
                <w:tcPr>
                  <w:tcW w:w="997" w:type="pct"/>
                  <w:noWrap w:val="0"/>
                  <w:vAlign w:val="center"/>
                </w:tcPr>
                <w:p w14:paraId="06766D28">
                  <w:pPr>
                    <w:jc w:val="center"/>
                    <w:rPr>
                      <w:rFonts w:hint="eastAsia"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1</w:t>
                  </w:r>
                </w:p>
              </w:tc>
              <w:tc>
                <w:tcPr>
                  <w:tcW w:w="1631" w:type="pct"/>
                  <w:noWrap w:val="0"/>
                  <w:vAlign w:val="center"/>
                </w:tcPr>
                <w:p w14:paraId="528D61DD">
                  <w:pPr>
                    <w:jc w:val="center"/>
                    <w:rPr>
                      <w:rFonts w:hint="eastAsia"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65</w:t>
                  </w:r>
                </w:p>
              </w:tc>
              <w:tc>
                <w:tcPr>
                  <w:tcW w:w="862" w:type="pct"/>
                  <w:vMerge w:val="continue"/>
                  <w:noWrap w:val="0"/>
                  <w:vAlign w:val="center"/>
                </w:tcPr>
                <w:p w14:paraId="089F931B">
                  <w:pPr>
                    <w:shd w:val="clear"/>
                    <w:spacing w:line="240" w:lineRule="auto"/>
                    <w:jc w:val="center"/>
                    <w:rPr>
                      <w:rFonts w:hint="default" w:ascii="Times New Roman" w:hAnsi="Times New Roman" w:cs="Times New Roman"/>
                      <w:color w:val="auto"/>
                      <w:szCs w:val="21"/>
                      <w:highlight w:val="none"/>
                      <w:lang w:val="en-US" w:eastAsia="zh-CN"/>
                    </w:rPr>
                  </w:pPr>
                </w:p>
              </w:tc>
            </w:tr>
            <w:tr w14:paraId="726A46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08" w:type="pct"/>
                  <w:noWrap w:val="0"/>
                  <w:vAlign w:val="center"/>
                </w:tcPr>
                <w:p w14:paraId="399077AA">
                  <w:pPr>
                    <w:jc w:val="center"/>
                    <w:rPr>
                      <w:rFonts w:hint="eastAsia" w:cs="Times New Roman"/>
                      <w:b w:val="0"/>
                      <w:bCs w:val="0"/>
                      <w:snapToGrid w:val="0"/>
                      <w:color w:val="auto"/>
                      <w:kern w:val="2"/>
                      <w:sz w:val="21"/>
                      <w:szCs w:val="21"/>
                      <w:highlight w:val="none"/>
                      <w:vertAlign w:val="baseline"/>
                      <w:lang w:val="en-US" w:eastAsia="zh-CN" w:bidi="ar-SA"/>
                    </w:rPr>
                  </w:pPr>
                  <w:r>
                    <w:rPr>
                      <w:rFonts w:hint="default" w:ascii="Times New Roman" w:hAnsi="Times New Roman" w:cs="Times New Roman"/>
                      <w:color w:val="auto"/>
                      <w:szCs w:val="21"/>
                      <w:highlight w:val="none"/>
                    </w:rPr>
                    <w:t>土壤筛</w:t>
                  </w:r>
                </w:p>
              </w:tc>
              <w:tc>
                <w:tcPr>
                  <w:tcW w:w="997" w:type="pct"/>
                  <w:noWrap w:val="0"/>
                  <w:vAlign w:val="center"/>
                </w:tcPr>
                <w:p w14:paraId="2B6495B4">
                  <w:pPr>
                    <w:jc w:val="center"/>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Cs w:val="21"/>
                      <w:highlight w:val="none"/>
                      <w:lang w:val="en-US" w:eastAsia="zh-CN"/>
                    </w:rPr>
                    <w:t>1</w:t>
                  </w:r>
                </w:p>
              </w:tc>
              <w:tc>
                <w:tcPr>
                  <w:tcW w:w="1631" w:type="pct"/>
                  <w:noWrap w:val="0"/>
                  <w:vAlign w:val="center"/>
                </w:tcPr>
                <w:p w14:paraId="2C4B2625">
                  <w:pPr>
                    <w:jc w:val="center"/>
                    <w:rPr>
                      <w:rFonts w:hint="eastAsia" w:cs="Times New Roman"/>
                      <w:color w:val="auto"/>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bidi="ar-SA"/>
                    </w:rPr>
                    <w:t>65</w:t>
                  </w:r>
                </w:p>
              </w:tc>
              <w:tc>
                <w:tcPr>
                  <w:tcW w:w="862" w:type="pct"/>
                  <w:vMerge w:val="continue"/>
                  <w:noWrap w:val="0"/>
                  <w:vAlign w:val="center"/>
                </w:tcPr>
                <w:p w14:paraId="19D19D81">
                  <w:pPr>
                    <w:shd w:val="clear"/>
                    <w:spacing w:line="240" w:lineRule="auto"/>
                    <w:jc w:val="center"/>
                    <w:rPr>
                      <w:rFonts w:hint="default" w:ascii="Times New Roman" w:hAnsi="Times New Roman" w:cs="Times New Roman"/>
                      <w:color w:val="auto"/>
                      <w:szCs w:val="21"/>
                      <w:highlight w:val="none"/>
                      <w:lang w:val="en-US" w:eastAsia="zh-CN"/>
                    </w:rPr>
                  </w:pPr>
                </w:p>
              </w:tc>
            </w:tr>
            <w:tr w14:paraId="7D3475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08" w:type="pct"/>
                  <w:noWrap w:val="0"/>
                  <w:vAlign w:val="center"/>
                </w:tcPr>
                <w:p w14:paraId="21E6774B">
                  <w:pPr>
                    <w:jc w:val="center"/>
                    <w:rPr>
                      <w:rFonts w:hint="eastAsia" w:cs="Times New Roman"/>
                      <w:b w:val="0"/>
                      <w:bCs w:val="0"/>
                      <w:snapToGrid w:val="0"/>
                      <w:color w:val="auto"/>
                      <w:kern w:val="2"/>
                      <w:sz w:val="21"/>
                      <w:szCs w:val="21"/>
                      <w:highlight w:val="none"/>
                      <w:vertAlign w:val="baseline"/>
                      <w:lang w:val="en-US" w:eastAsia="zh-CN" w:bidi="ar-SA"/>
                    </w:rPr>
                  </w:pPr>
                  <w:r>
                    <w:rPr>
                      <w:rFonts w:hint="default" w:ascii="Times New Roman" w:hAnsi="Times New Roman" w:cs="Times New Roman"/>
                      <w:color w:val="auto"/>
                      <w:szCs w:val="21"/>
                      <w:highlight w:val="none"/>
                    </w:rPr>
                    <w:t>台秤</w:t>
                  </w:r>
                </w:p>
              </w:tc>
              <w:tc>
                <w:tcPr>
                  <w:tcW w:w="997" w:type="pct"/>
                  <w:noWrap w:val="0"/>
                  <w:vAlign w:val="center"/>
                </w:tcPr>
                <w:p w14:paraId="7244EBFE">
                  <w:pPr>
                    <w:jc w:val="center"/>
                    <w:rPr>
                      <w:rFonts w:hint="eastAsia" w:ascii="Times New Roman" w:hAnsi="Times New Roman" w:cs="Times New Roman"/>
                      <w:color w:val="auto"/>
                      <w:kern w:val="2"/>
                      <w:sz w:val="21"/>
                      <w:szCs w:val="21"/>
                      <w:highlight w:val="none"/>
                      <w:lang w:val="en-US" w:eastAsia="zh-CN" w:bidi="ar-SA"/>
                    </w:rPr>
                  </w:pPr>
                  <w:r>
                    <w:rPr>
                      <w:rFonts w:hint="eastAsia" w:cs="Times New Roman"/>
                      <w:color w:val="auto"/>
                      <w:szCs w:val="21"/>
                      <w:highlight w:val="none"/>
                      <w:lang w:val="en-US" w:eastAsia="zh-CN"/>
                    </w:rPr>
                    <w:t>1</w:t>
                  </w:r>
                </w:p>
              </w:tc>
              <w:tc>
                <w:tcPr>
                  <w:tcW w:w="1631" w:type="pct"/>
                  <w:noWrap w:val="0"/>
                  <w:vAlign w:val="center"/>
                </w:tcPr>
                <w:p w14:paraId="0117C0B9">
                  <w:pPr>
                    <w:jc w:val="center"/>
                    <w:rPr>
                      <w:rFonts w:hint="eastAsia" w:cs="Times New Roman"/>
                      <w:color w:val="auto"/>
                      <w:szCs w:val="21"/>
                      <w:highlight w:val="none"/>
                      <w:lang w:val="en-US" w:eastAsia="zh-CN"/>
                    </w:rPr>
                  </w:pPr>
                  <w:r>
                    <w:rPr>
                      <w:rFonts w:hint="eastAsia" w:ascii="Times New Roman" w:hAnsi="Times New Roman" w:cs="Times New Roman"/>
                      <w:color w:val="auto"/>
                      <w:kern w:val="2"/>
                      <w:sz w:val="21"/>
                      <w:szCs w:val="21"/>
                      <w:highlight w:val="none"/>
                      <w:lang w:val="en-US" w:eastAsia="zh-CN" w:bidi="ar-SA"/>
                    </w:rPr>
                    <w:t>65</w:t>
                  </w:r>
                </w:p>
              </w:tc>
              <w:tc>
                <w:tcPr>
                  <w:tcW w:w="862" w:type="pct"/>
                  <w:vMerge w:val="continue"/>
                  <w:noWrap w:val="0"/>
                  <w:vAlign w:val="center"/>
                </w:tcPr>
                <w:p w14:paraId="0D6E547E">
                  <w:pPr>
                    <w:shd w:val="clear"/>
                    <w:spacing w:line="240" w:lineRule="auto"/>
                    <w:jc w:val="center"/>
                    <w:rPr>
                      <w:rFonts w:hint="default" w:ascii="Times New Roman" w:hAnsi="Times New Roman" w:cs="Times New Roman"/>
                      <w:color w:val="auto"/>
                      <w:szCs w:val="21"/>
                      <w:highlight w:val="none"/>
                      <w:lang w:val="en-US" w:eastAsia="zh-CN"/>
                    </w:rPr>
                  </w:pPr>
                </w:p>
              </w:tc>
            </w:tr>
            <w:tr w14:paraId="27F68E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08" w:type="pct"/>
                  <w:noWrap w:val="0"/>
                  <w:vAlign w:val="center"/>
                </w:tcPr>
                <w:p w14:paraId="2CFF0166">
                  <w:pPr>
                    <w:jc w:val="center"/>
                    <w:rPr>
                      <w:rFonts w:hint="eastAsia" w:cs="Times New Roman"/>
                      <w:b w:val="0"/>
                      <w:bCs w:val="0"/>
                      <w:snapToGrid w:val="0"/>
                      <w:color w:val="auto"/>
                      <w:kern w:val="2"/>
                      <w:sz w:val="21"/>
                      <w:szCs w:val="21"/>
                      <w:highlight w:val="none"/>
                      <w:vertAlign w:val="baseline"/>
                      <w:lang w:val="en-US" w:eastAsia="zh-CN" w:bidi="ar-SA"/>
                    </w:rPr>
                  </w:pPr>
                  <w:r>
                    <w:rPr>
                      <w:rFonts w:hint="default" w:ascii="Times New Roman" w:hAnsi="Times New Roman" w:cs="Times New Roman"/>
                      <w:color w:val="auto"/>
                      <w:szCs w:val="21"/>
                      <w:highlight w:val="none"/>
                    </w:rPr>
                    <w:t>土壤研磨机</w:t>
                  </w:r>
                </w:p>
              </w:tc>
              <w:tc>
                <w:tcPr>
                  <w:tcW w:w="997" w:type="pct"/>
                  <w:noWrap w:val="0"/>
                  <w:vAlign w:val="center"/>
                </w:tcPr>
                <w:p w14:paraId="48AB96FF">
                  <w:pPr>
                    <w:jc w:val="center"/>
                    <w:rPr>
                      <w:rFonts w:hint="eastAsia" w:ascii="Times New Roman" w:hAnsi="Times New Roman" w:cs="Times New Roman"/>
                      <w:color w:val="auto"/>
                      <w:kern w:val="2"/>
                      <w:sz w:val="21"/>
                      <w:szCs w:val="21"/>
                      <w:highlight w:val="none"/>
                      <w:lang w:val="en-US" w:eastAsia="zh-CN" w:bidi="ar-SA"/>
                    </w:rPr>
                  </w:pPr>
                  <w:r>
                    <w:rPr>
                      <w:rFonts w:hint="eastAsia" w:cs="Times New Roman"/>
                      <w:color w:val="auto"/>
                      <w:szCs w:val="21"/>
                      <w:highlight w:val="none"/>
                      <w:lang w:val="en-US" w:eastAsia="zh-CN"/>
                    </w:rPr>
                    <w:t>1</w:t>
                  </w:r>
                </w:p>
              </w:tc>
              <w:tc>
                <w:tcPr>
                  <w:tcW w:w="1631" w:type="pct"/>
                  <w:noWrap w:val="0"/>
                  <w:vAlign w:val="center"/>
                </w:tcPr>
                <w:p w14:paraId="21319881">
                  <w:pPr>
                    <w:jc w:val="center"/>
                    <w:rPr>
                      <w:rFonts w:hint="eastAsia" w:cs="Times New Roman"/>
                      <w:color w:val="auto"/>
                      <w:szCs w:val="21"/>
                      <w:highlight w:val="none"/>
                      <w:lang w:val="en-US" w:eastAsia="zh-CN"/>
                    </w:rPr>
                  </w:pPr>
                  <w:r>
                    <w:rPr>
                      <w:rFonts w:hint="eastAsia" w:ascii="Times New Roman" w:hAnsi="Times New Roman" w:cs="Times New Roman"/>
                      <w:color w:val="auto"/>
                      <w:kern w:val="2"/>
                      <w:sz w:val="21"/>
                      <w:szCs w:val="21"/>
                      <w:highlight w:val="none"/>
                      <w:lang w:val="en-US" w:eastAsia="zh-CN" w:bidi="ar-SA"/>
                    </w:rPr>
                    <w:t>70</w:t>
                  </w:r>
                </w:p>
              </w:tc>
              <w:tc>
                <w:tcPr>
                  <w:tcW w:w="862" w:type="pct"/>
                  <w:vMerge w:val="continue"/>
                  <w:noWrap w:val="0"/>
                  <w:vAlign w:val="center"/>
                </w:tcPr>
                <w:p w14:paraId="56192377">
                  <w:pPr>
                    <w:shd w:val="clear"/>
                    <w:spacing w:line="240" w:lineRule="auto"/>
                    <w:jc w:val="center"/>
                    <w:rPr>
                      <w:rFonts w:hint="default" w:ascii="Times New Roman" w:hAnsi="Times New Roman" w:cs="Times New Roman"/>
                      <w:color w:val="auto"/>
                      <w:szCs w:val="21"/>
                      <w:highlight w:val="none"/>
                      <w:lang w:val="en-US" w:eastAsia="zh-CN"/>
                    </w:rPr>
                  </w:pPr>
                </w:p>
              </w:tc>
            </w:tr>
            <w:tr w14:paraId="61F187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08" w:type="pct"/>
                  <w:noWrap w:val="0"/>
                  <w:vAlign w:val="center"/>
                </w:tcPr>
                <w:p w14:paraId="36DD8AB4">
                  <w:pPr>
                    <w:jc w:val="center"/>
                    <w:rPr>
                      <w:rFonts w:hint="eastAsia" w:cs="Times New Roman"/>
                      <w:b w:val="0"/>
                      <w:bCs w:val="0"/>
                      <w:snapToGrid w:val="0"/>
                      <w:color w:val="auto"/>
                      <w:kern w:val="2"/>
                      <w:sz w:val="21"/>
                      <w:szCs w:val="21"/>
                      <w:highlight w:val="none"/>
                      <w:vertAlign w:val="baseline"/>
                      <w:lang w:val="en-US" w:eastAsia="zh-CN" w:bidi="ar-SA"/>
                    </w:rPr>
                  </w:pPr>
                  <w:r>
                    <w:rPr>
                      <w:rFonts w:hint="default" w:ascii="Times New Roman" w:hAnsi="Times New Roman" w:cs="Times New Roman"/>
                      <w:color w:val="auto"/>
                      <w:highlight w:val="none"/>
                    </w:rPr>
                    <w:t>高压灭菌锅</w:t>
                  </w:r>
                </w:p>
              </w:tc>
              <w:tc>
                <w:tcPr>
                  <w:tcW w:w="997" w:type="pct"/>
                  <w:noWrap w:val="0"/>
                  <w:vAlign w:val="center"/>
                </w:tcPr>
                <w:p w14:paraId="4A0A1AEB">
                  <w:pPr>
                    <w:jc w:val="center"/>
                    <w:rPr>
                      <w:rFonts w:hint="eastAsia" w:ascii="Times New Roman" w:hAnsi="Times New Roman" w:cs="Times New Roman"/>
                      <w:color w:val="auto"/>
                      <w:kern w:val="2"/>
                      <w:sz w:val="21"/>
                      <w:szCs w:val="21"/>
                      <w:highlight w:val="none"/>
                      <w:lang w:val="en-US" w:eastAsia="zh-CN" w:bidi="ar-SA"/>
                    </w:rPr>
                  </w:pPr>
                  <w:r>
                    <w:rPr>
                      <w:rFonts w:hint="eastAsia" w:cs="Times New Roman"/>
                      <w:color w:val="auto"/>
                      <w:szCs w:val="21"/>
                      <w:highlight w:val="none"/>
                      <w:lang w:val="en-US" w:eastAsia="zh-CN"/>
                    </w:rPr>
                    <w:t>1</w:t>
                  </w:r>
                </w:p>
              </w:tc>
              <w:tc>
                <w:tcPr>
                  <w:tcW w:w="1631" w:type="pct"/>
                  <w:noWrap w:val="0"/>
                  <w:vAlign w:val="center"/>
                </w:tcPr>
                <w:p w14:paraId="4178ECAD">
                  <w:pPr>
                    <w:jc w:val="center"/>
                    <w:rPr>
                      <w:rFonts w:hint="eastAsia" w:cs="Times New Roman"/>
                      <w:color w:val="auto"/>
                      <w:szCs w:val="21"/>
                      <w:highlight w:val="none"/>
                      <w:lang w:val="en-US" w:eastAsia="zh-CN"/>
                    </w:rPr>
                  </w:pPr>
                  <w:r>
                    <w:rPr>
                      <w:rFonts w:hint="eastAsia" w:ascii="Times New Roman" w:hAnsi="Times New Roman" w:cs="Times New Roman"/>
                      <w:color w:val="auto"/>
                      <w:kern w:val="2"/>
                      <w:sz w:val="21"/>
                      <w:szCs w:val="21"/>
                      <w:highlight w:val="none"/>
                      <w:lang w:val="en-US" w:eastAsia="zh-CN" w:bidi="ar-SA"/>
                    </w:rPr>
                    <w:t>65</w:t>
                  </w:r>
                </w:p>
              </w:tc>
              <w:tc>
                <w:tcPr>
                  <w:tcW w:w="862" w:type="pct"/>
                  <w:vMerge w:val="continue"/>
                  <w:noWrap w:val="0"/>
                  <w:vAlign w:val="center"/>
                </w:tcPr>
                <w:p w14:paraId="0D2770DB">
                  <w:pPr>
                    <w:shd w:val="clear"/>
                    <w:spacing w:line="240" w:lineRule="auto"/>
                    <w:jc w:val="center"/>
                    <w:rPr>
                      <w:rFonts w:hint="default" w:ascii="Times New Roman" w:hAnsi="Times New Roman" w:cs="Times New Roman"/>
                      <w:color w:val="auto"/>
                      <w:szCs w:val="21"/>
                      <w:highlight w:val="none"/>
                      <w:lang w:val="en-US" w:eastAsia="zh-CN"/>
                    </w:rPr>
                  </w:pPr>
                </w:p>
              </w:tc>
            </w:tr>
            <w:tr w14:paraId="6FBD5F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08" w:type="pct"/>
                  <w:noWrap w:val="0"/>
                  <w:vAlign w:val="center"/>
                </w:tcPr>
                <w:p w14:paraId="7FB0FC1A">
                  <w:pPr>
                    <w:jc w:val="center"/>
                    <w:rPr>
                      <w:rFonts w:hint="eastAsia" w:cs="Times New Roman"/>
                      <w:b w:val="0"/>
                      <w:bCs w:val="0"/>
                      <w:snapToGrid w:val="0"/>
                      <w:color w:val="auto"/>
                      <w:kern w:val="2"/>
                      <w:sz w:val="21"/>
                      <w:szCs w:val="21"/>
                      <w:highlight w:val="none"/>
                      <w:vertAlign w:val="baseline"/>
                      <w:lang w:val="en-US" w:eastAsia="zh-CN" w:bidi="ar-SA"/>
                    </w:rPr>
                  </w:pPr>
                  <w:r>
                    <w:rPr>
                      <w:rFonts w:hint="default" w:ascii="Times New Roman" w:hAnsi="Times New Roman" w:cs="Times New Roman"/>
                      <w:color w:val="auto"/>
                      <w:highlight w:val="none"/>
                    </w:rPr>
                    <w:t>超声波清洗器</w:t>
                  </w:r>
                </w:p>
              </w:tc>
              <w:tc>
                <w:tcPr>
                  <w:tcW w:w="997" w:type="pct"/>
                  <w:noWrap w:val="0"/>
                  <w:vAlign w:val="center"/>
                </w:tcPr>
                <w:p w14:paraId="3E622B4D">
                  <w:pPr>
                    <w:jc w:val="center"/>
                    <w:rPr>
                      <w:rFonts w:hint="eastAsia" w:ascii="Times New Roman" w:hAnsi="Times New Roman" w:cs="Times New Roman"/>
                      <w:color w:val="auto"/>
                      <w:kern w:val="2"/>
                      <w:sz w:val="21"/>
                      <w:szCs w:val="21"/>
                      <w:highlight w:val="none"/>
                      <w:lang w:val="en-US" w:eastAsia="zh-CN" w:bidi="ar-SA"/>
                    </w:rPr>
                  </w:pPr>
                  <w:r>
                    <w:rPr>
                      <w:rFonts w:hint="eastAsia" w:cs="Times New Roman"/>
                      <w:color w:val="auto"/>
                      <w:szCs w:val="21"/>
                      <w:highlight w:val="none"/>
                      <w:lang w:val="en-US" w:eastAsia="zh-CN"/>
                    </w:rPr>
                    <w:t>1</w:t>
                  </w:r>
                </w:p>
              </w:tc>
              <w:tc>
                <w:tcPr>
                  <w:tcW w:w="1631" w:type="pct"/>
                  <w:noWrap w:val="0"/>
                  <w:vAlign w:val="center"/>
                </w:tcPr>
                <w:p w14:paraId="5F8A015F">
                  <w:pPr>
                    <w:jc w:val="center"/>
                    <w:rPr>
                      <w:rFonts w:hint="eastAsia" w:cs="Times New Roman"/>
                      <w:color w:val="auto"/>
                      <w:szCs w:val="21"/>
                      <w:highlight w:val="none"/>
                      <w:lang w:val="en-US" w:eastAsia="zh-CN"/>
                    </w:rPr>
                  </w:pPr>
                  <w:r>
                    <w:rPr>
                      <w:rFonts w:hint="eastAsia" w:ascii="Times New Roman" w:hAnsi="Times New Roman" w:cs="Times New Roman"/>
                      <w:color w:val="auto"/>
                      <w:kern w:val="2"/>
                      <w:sz w:val="21"/>
                      <w:szCs w:val="21"/>
                      <w:highlight w:val="none"/>
                      <w:lang w:val="en-US" w:eastAsia="zh-CN" w:bidi="ar-SA"/>
                    </w:rPr>
                    <w:t>75</w:t>
                  </w:r>
                </w:p>
              </w:tc>
              <w:tc>
                <w:tcPr>
                  <w:tcW w:w="862" w:type="pct"/>
                  <w:vMerge w:val="continue"/>
                  <w:noWrap w:val="0"/>
                  <w:vAlign w:val="center"/>
                </w:tcPr>
                <w:p w14:paraId="26D09A31">
                  <w:pPr>
                    <w:shd w:val="clear"/>
                    <w:spacing w:line="240" w:lineRule="auto"/>
                    <w:jc w:val="center"/>
                    <w:rPr>
                      <w:rFonts w:hint="default" w:ascii="Times New Roman" w:hAnsi="Times New Roman" w:cs="Times New Roman"/>
                      <w:color w:val="auto"/>
                      <w:szCs w:val="21"/>
                      <w:highlight w:val="none"/>
                      <w:lang w:val="en-US" w:eastAsia="zh-CN"/>
                    </w:rPr>
                  </w:pPr>
                </w:p>
              </w:tc>
            </w:tr>
            <w:tr w14:paraId="787D54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jc w:val="center"/>
              </w:trPr>
              <w:tc>
                <w:tcPr>
                  <w:tcW w:w="1508" w:type="pct"/>
                  <w:noWrap w:val="0"/>
                  <w:vAlign w:val="center"/>
                </w:tcPr>
                <w:p w14:paraId="0BE4C557">
                  <w:pPr>
                    <w:jc w:val="center"/>
                    <w:rPr>
                      <w:rFonts w:hint="eastAsia" w:cs="Times New Roman"/>
                      <w:b w:val="0"/>
                      <w:bCs w:val="0"/>
                      <w:snapToGrid w:val="0"/>
                      <w:color w:val="auto"/>
                      <w:kern w:val="2"/>
                      <w:sz w:val="21"/>
                      <w:szCs w:val="21"/>
                      <w:highlight w:val="none"/>
                      <w:vertAlign w:val="baseline"/>
                      <w:lang w:val="en-US" w:eastAsia="zh-CN" w:bidi="ar-SA"/>
                    </w:rPr>
                  </w:pPr>
                  <w:r>
                    <w:rPr>
                      <w:rFonts w:hint="default" w:ascii="Times New Roman" w:hAnsi="Times New Roman" w:cs="Times New Roman"/>
                      <w:color w:val="auto"/>
                      <w:highlight w:val="none"/>
                    </w:rPr>
                    <w:t>土壤水分检测仪</w:t>
                  </w:r>
                </w:p>
              </w:tc>
              <w:tc>
                <w:tcPr>
                  <w:tcW w:w="997" w:type="pct"/>
                  <w:noWrap w:val="0"/>
                  <w:vAlign w:val="center"/>
                </w:tcPr>
                <w:p w14:paraId="37F99818">
                  <w:pPr>
                    <w:jc w:val="center"/>
                    <w:rPr>
                      <w:rFonts w:hint="eastAsia" w:ascii="Times New Roman" w:hAnsi="Times New Roman" w:cs="Times New Roman"/>
                      <w:color w:val="auto"/>
                      <w:kern w:val="2"/>
                      <w:sz w:val="21"/>
                      <w:szCs w:val="21"/>
                      <w:highlight w:val="none"/>
                      <w:lang w:val="en-US" w:eastAsia="zh-CN" w:bidi="ar-SA"/>
                    </w:rPr>
                  </w:pPr>
                  <w:r>
                    <w:rPr>
                      <w:rFonts w:hint="eastAsia" w:cs="Times New Roman"/>
                      <w:color w:val="auto"/>
                      <w:szCs w:val="21"/>
                      <w:highlight w:val="none"/>
                      <w:lang w:val="en-US" w:eastAsia="zh-CN"/>
                    </w:rPr>
                    <w:t>1</w:t>
                  </w:r>
                </w:p>
              </w:tc>
              <w:tc>
                <w:tcPr>
                  <w:tcW w:w="1631" w:type="pct"/>
                  <w:noWrap w:val="0"/>
                  <w:vAlign w:val="center"/>
                </w:tcPr>
                <w:p w14:paraId="327F5183">
                  <w:pPr>
                    <w:jc w:val="center"/>
                    <w:rPr>
                      <w:rFonts w:hint="eastAsia" w:cs="Times New Roman"/>
                      <w:color w:val="auto"/>
                      <w:szCs w:val="21"/>
                      <w:highlight w:val="none"/>
                      <w:lang w:val="en-US" w:eastAsia="zh-CN"/>
                    </w:rPr>
                  </w:pPr>
                  <w:r>
                    <w:rPr>
                      <w:rFonts w:hint="eastAsia" w:ascii="Times New Roman" w:hAnsi="Times New Roman" w:cs="Times New Roman"/>
                      <w:color w:val="auto"/>
                      <w:kern w:val="2"/>
                      <w:sz w:val="21"/>
                      <w:szCs w:val="21"/>
                      <w:highlight w:val="none"/>
                      <w:lang w:val="en-US" w:eastAsia="zh-CN" w:bidi="ar-SA"/>
                    </w:rPr>
                    <w:t>65</w:t>
                  </w:r>
                </w:p>
              </w:tc>
              <w:tc>
                <w:tcPr>
                  <w:tcW w:w="862" w:type="pct"/>
                  <w:vMerge w:val="continue"/>
                  <w:noWrap w:val="0"/>
                  <w:vAlign w:val="center"/>
                </w:tcPr>
                <w:p w14:paraId="377EE7F4">
                  <w:pPr>
                    <w:shd w:val="clear"/>
                    <w:spacing w:line="240" w:lineRule="auto"/>
                    <w:jc w:val="center"/>
                    <w:rPr>
                      <w:rFonts w:hint="default" w:ascii="Times New Roman" w:hAnsi="Times New Roman" w:cs="Times New Roman"/>
                      <w:color w:val="auto"/>
                      <w:szCs w:val="21"/>
                      <w:highlight w:val="none"/>
                      <w:lang w:val="en-US" w:eastAsia="zh-CN"/>
                    </w:rPr>
                  </w:pPr>
                </w:p>
              </w:tc>
            </w:tr>
            <w:tr w14:paraId="11A036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08" w:type="pct"/>
                  <w:noWrap w:val="0"/>
                  <w:vAlign w:val="center"/>
                </w:tcPr>
                <w:p w14:paraId="49598CE7">
                  <w:pPr>
                    <w:jc w:val="center"/>
                    <w:rPr>
                      <w:rFonts w:hint="eastAsia" w:ascii="Times New Roman" w:hAnsi="Times New Roman" w:eastAsia="宋体" w:cs="Times New Roman"/>
                      <w:color w:val="auto"/>
                      <w:highlight w:val="none"/>
                      <w:lang w:val="en-US" w:eastAsia="zh-CN"/>
                    </w:rPr>
                  </w:pPr>
                  <w:r>
                    <w:rPr>
                      <w:rFonts w:hint="eastAsia" w:cs="Times New Roman"/>
                      <w:color w:val="auto"/>
                      <w:highlight w:val="none"/>
                      <w:lang w:val="en-US" w:eastAsia="zh-CN"/>
                    </w:rPr>
                    <w:t>纯水机</w:t>
                  </w:r>
                </w:p>
              </w:tc>
              <w:tc>
                <w:tcPr>
                  <w:tcW w:w="997" w:type="pct"/>
                  <w:noWrap w:val="0"/>
                  <w:vAlign w:val="center"/>
                </w:tcPr>
                <w:p w14:paraId="4CDADE51">
                  <w:pPr>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1</w:t>
                  </w:r>
                </w:p>
              </w:tc>
              <w:tc>
                <w:tcPr>
                  <w:tcW w:w="1631" w:type="pct"/>
                  <w:noWrap w:val="0"/>
                  <w:vAlign w:val="center"/>
                </w:tcPr>
                <w:p w14:paraId="484F72C8">
                  <w:pPr>
                    <w:jc w:val="center"/>
                    <w:rPr>
                      <w:rFonts w:hint="default" w:ascii="Times New Roman" w:hAnsi="Times New Roman"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75</w:t>
                  </w:r>
                </w:p>
              </w:tc>
              <w:tc>
                <w:tcPr>
                  <w:tcW w:w="862" w:type="pct"/>
                  <w:vMerge w:val="continue"/>
                  <w:noWrap w:val="0"/>
                  <w:vAlign w:val="center"/>
                </w:tcPr>
                <w:p w14:paraId="16F014E1">
                  <w:pPr>
                    <w:shd w:val="clear"/>
                    <w:spacing w:line="240" w:lineRule="auto"/>
                    <w:jc w:val="center"/>
                    <w:rPr>
                      <w:rFonts w:hint="default" w:ascii="Times New Roman" w:hAnsi="Times New Roman" w:cs="Times New Roman"/>
                      <w:color w:val="auto"/>
                      <w:szCs w:val="21"/>
                      <w:highlight w:val="none"/>
                      <w:lang w:val="en-US" w:eastAsia="zh-CN"/>
                    </w:rPr>
                  </w:pPr>
                </w:p>
              </w:tc>
            </w:tr>
            <w:tr w14:paraId="142EEA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08" w:type="pct"/>
                  <w:noWrap w:val="0"/>
                  <w:vAlign w:val="center"/>
                </w:tcPr>
                <w:p w14:paraId="3649BC74">
                  <w:pPr>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气相色谱仪</w:t>
                  </w:r>
                </w:p>
              </w:tc>
              <w:tc>
                <w:tcPr>
                  <w:tcW w:w="997" w:type="pct"/>
                  <w:noWrap w:val="0"/>
                  <w:vAlign w:val="center"/>
                </w:tcPr>
                <w:p w14:paraId="5958B8DF">
                  <w:pPr>
                    <w:jc w:val="center"/>
                    <w:rPr>
                      <w:rFonts w:hint="default" w:ascii="Times New Roman" w:hAnsi="Times New Roman"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2</w:t>
                  </w:r>
                </w:p>
              </w:tc>
              <w:tc>
                <w:tcPr>
                  <w:tcW w:w="1631" w:type="pct"/>
                  <w:noWrap w:val="0"/>
                  <w:vAlign w:val="center"/>
                </w:tcPr>
                <w:p w14:paraId="63480D88">
                  <w:pPr>
                    <w:jc w:val="center"/>
                    <w:rPr>
                      <w:rFonts w:hint="default" w:ascii="Times New Roman" w:hAnsi="Times New Roman"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70</w:t>
                  </w:r>
                </w:p>
              </w:tc>
              <w:tc>
                <w:tcPr>
                  <w:tcW w:w="862" w:type="pct"/>
                  <w:vMerge w:val="continue"/>
                  <w:noWrap w:val="0"/>
                  <w:vAlign w:val="center"/>
                </w:tcPr>
                <w:p w14:paraId="70DD7EBB">
                  <w:pPr>
                    <w:shd w:val="clear"/>
                    <w:spacing w:line="240" w:lineRule="auto"/>
                    <w:jc w:val="center"/>
                    <w:rPr>
                      <w:rFonts w:hint="default" w:ascii="Times New Roman" w:hAnsi="Times New Roman" w:cs="Times New Roman"/>
                      <w:color w:val="auto"/>
                      <w:szCs w:val="21"/>
                      <w:highlight w:val="none"/>
                      <w:lang w:val="en-US" w:eastAsia="zh-CN"/>
                    </w:rPr>
                  </w:pPr>
                </w:p>
              </w:tc>
            </w:tr>
            <w:tr w14:paraId="62AACA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508" w:type="pct"/>
                  <w:noWrap w:val="0"/>
                  <w:vAlign w:val="center"/>
                </w:tcPr>
                <w:p w14:paraId="34C84AE9">
                  <w:pPr>
                    <w:shd w:val="clear"/>
                    <w:spacing w:line="240" w:lineRule="auto"/>
                    <w:jc w:val="center"/>
                    <w:rPr>
                      <w:rFonts w:hint="eastAsia" w:cs="Times New Roman"/>
                      <w:b w:val="0"/>
                      <w:bCs w:val="0"/>
                      <w:snapToGrid w:val="0"/>
                      <w:color w:val="auto"/>
                      <w:kern w:val="2"/>
                      <w:sz w:val="21"/>
                      <w:szCs w:val="21"/>
                      <w:highlight w:val="none"/>
                      <w:vertAlign w:val="baseline"/>
                      <w:lang w:val="en-US" w:eastAsia="zh-CN" w:bidi="ar-SA"/>
                    </w:rPr>
                  </w:pPr>
                  <w:r>
                    <w:rPr>
                      <w:rFonts w:hint="default" w:ascii="Times New Roman" w:hAnsi="Times New Roman" w:cs="Times New Roman"/>
                      <w:b w:val="0"/>
                      <w:bCs w:val="0"/>
                      <w:snapToGrid w:val="0"/>
                      <w:color w:val="auto"/>
                      <w:kern w:val="2"/>
                      <w:sz w:val="21"/>
                      <w:szCs w:val="21"/>
                      <w:highlight w:val="none"/>
                      <w:vertAlign w:val="baseline"/>
                      <w:lang w:val="en-US" w:eastAsia="zh-CN" w:bidi="ar-SA"/>
                    </w:rPr>
                    <w:t>风机</w:t>
                  </w:r>
                </w:p>
              </w:tc>
              <w:tc>
                <w:tcPr>
                  <w:tcW w:w="997" w:type="pct"/>
                  <w:noWrap w:val="0"/>
                  <w:vAlign w:val="center"/>
                </w:tcPr>
                <w:p w14:paraId="73C84F91">
                  <w:pPr>
                    <w:shd w:val="clear"/>
                    <w:spacing w:line="240" w:lineRule="auto"/>
                    <w:jc w:val="center"/>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1</w:t>
                  </w:r>
                </w:p>
              </w:tc>
              <w:tc>
                <w:tcPr>
                  <w:tcW w:w="1631" w:type="pct"/>
                  <w:noWrap w:val="0"/>
                  <w:vAlign w:val="center"/>
                </w:tcPr>
                <w:p w14:paraId="750AC470">
                  <w:pPr>
                    <w:shd w:val="clear"/>
                    <w:spacing w:line="240" w:lineRule="auto"/>
                    <w:jc w:val="center"/>
                    <w:rPr>
                      <w:rFonts w:hint="eastAsia"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85</w:t>
                  </w:r>
                </w:p>
              </w:tc>
              <w:tc>
                <w:tcPr>
                  <w:tcW w:w="862" w:type="pct"/>
                  <w:noWrap w:val="0"/>
                  <w:vAlign w:val="center"/>
                </w:tcPr>
                <w:p w14:paraId="1CC2649B">
                  <w:pPr>
                    <w:shd w:val="clear"/>
                    <w:spacing w:line="240" w:lineRule="auto"/>
                    <w:jc w:val="center"/>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室外</w:t>
                  </w:r>
                </w:p>
              </w:tc>
            </w:tr>
          </w:tbl>
          <w:p w14:paraId="39F0E9E7">
            <w:pPr>
              <w:shd w:val="clear"/>
              <w:spacing w:line="360" w:lineRule="auto"/>
              <w:ind w:firstLine="420" w:firstLineChars="200"/>
              <w:jc w:val="both"/>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项目噪声经过室内产噪设备设置减振措施、车间墙体隔声、高噪设备设置减振垫等措施</w:t>
            </w:r>
            <w:r>
              <w:rPr>
                <w:rFonts w:hint="eastAsia" w:cs="Times New Roman"/>
                <w:color w:val="auto"/>
                <w:sz w:val="21"/>
                <w:szCs w:val="21"/>
                <w:highlight w:val="none"/>
                <w:lang w:eastAsia="zh-CN"/>
              </w:rPr>
              <w:t>。</w:t>
            </w:r>
            <w:r>
              <w:rPr>
                <w:rFonts w:hint="eastAsia" w:cs="Times New Roman"/>
                <w:color w:val="auto"/>
                <w:sz w:val="21"/>
                <w:szCs w:val="21"/>
                <w:highlight w:val="none"/>
                <w:lang w:val="en-US" w:eastAsia="zh-CN"/>
              </w:rPr>
              <w:t>项目所在厂房墙壁为钢筋混凝土结构，由于墙体有隔音作用，根据《环境工作手册-环境噪声控制卷》，噪声通过墙体隔声后，再经距离衰减，可降低23-30dB（A），本项目取27dB（A）；另外通过在设备铺装减振基座、减振垫等设施，以降低项目运营过程中振动噪声的产生，由环境保护实用数据手册可知，底座防振措施可降噪5-8dB(A)，本项目取6dB（A），总的降噪值可达到33dB(A)；</w:t>
            </w:r>
            <w:r>
              <w:rPr>
                <w:rFonts w:hint="default" w:ascii="Times New Roman" w:hAnsi="Times New Roman" w:eastAsia="宋体" w:cs="Times New Roman"/>
                <w:color w:val="auto"/>
                <w:sz w:val="21"/>
                <w:szCs w:val="21"/>
                <w:highlight w:val="none"/>
              </w:rPr>
              <w:t>室外的设备通过隔声罩、底座防振措施进行降噪；通过建设单位落实好各类设备的降噪措施，且车间墙体为砖砌实心墙、铝窗结构，室外设备设置隔声罩，查阅资料可降低3-30dB（A）(参考文献：环境保护实用数据手册)，本项目取27dB（A）；由环境保护实用数据手册可知，底座防振措施可降噪5-8dB(A)，本项目取7dB（A），总的降噪值可达到34dB(A)。项目</w:t>
            </w:r>
            <w:r>
              <w:rPr>
                <w:rFonts w:hint="eastAsia" w:cs="Times New Roman"/>
                <w:color w:val="auto"/>
                <w:sz w:val="21"/>
                <w:szCs w:val="21"/>
                <w:highlight w:val="none"/>
                <w:lang w:val="en-US" w:eastAsia="zh-CN"/>
              </w:rPr>
              <w:t>室内外\</w:t>
            </w:r>
            <w:r>
              <w:rPr>
                <w:rFonts w:hint="default" w:ascii="Times New Roman" w:hAnsi="Times New Roman" w:eastAsia="宋体" w:cs="Times New Roman"/>
                <w:color w:val="auto"/>
                <w:sz w:val="21"/>
                <w:szCs w:val="21"/>
                <w:highlight w:val="none"/>
              </w:rPr>
              <w:t>噪声经过车间墙体隔声、降噪措施</w:t>
            </w:r>
            <w:r>
              <w:rPr>
                <w:rFonts w:hint="eastAsia" w:cs="Times New Roman"/>
                <w:color w:val="auto"/>
                <w:sz w:val="21"/>
                <w:szCs w:val="21"/>
                <w:highlight w:val="none"/>
                <w:lang w:eastAsia="zh-CN"/>
              </w:rPr>
              <w:t>、</w:t>
            </w:r>
            <w:r>
              <w:rPr>
                <w:rFonts w:hint="eastAsia" w:cs="Times New Roman"/>
                <w:color w:val="auto"/>
                <w:sz w:val="21"/>
                <w:szCs w:val="21"/>
                <w:highlight w:val="none"/>
                <w:lang w:val="en-US" w:eastAsia="zh-CN"/>
              </w:rPr>
              <w:t>隔声罩</w:t>
            </w:r>
            <w:r>
              <w:rPr>
                <w:rFonts w:hint="default" w:ascii="Times New Roman" w:hAnsi="Times New Roman" w:eastAsia="宋体" w:cs="Times New Roman"/>
                <w:color w:val="auto"/>
                <w:sz w:val="21"/>
                <w:szCs w:val="21"/>
                <w:highlight w:val="none"/>
              </w:rPr>
              <w:t>及距离衰减后，项目四周厂界1米处的噪声值昼间可达到《工业企业厂界环境噪声排放标准》（GB12348-2008）3类标准（昼间噪声限值65dB(A)），夜间不生产。</w:t>
            </w:r>
          </w:p>
          <w:p w14:paraId="2DCD9ED0">
            <w:pPr>
              <w:shd w:val="clear"/>
              <w:adjustRightInd w:val="0"/>
              <w:snapToGrid w:val="0"/>
              <w:spacing w:line="360" w:lineRule="auto"/>
              <w:ind w:firstLine="420" w:firstLineChars="200"/>
              <w:jc w:val="both"/>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rPr>
              <w:t>（1）对于各种生产设备，除选用噪声低的设备外还应合理</w:t>
            </w:r>
            <w:r>
              <w:rPr>
                <w:rFonts w:hint="default" w:ascii="Times New Roman" w:hAnsi="Times New Roman" w:eastAsia="宋体" w:cs="Times New Roman"/>
                <w:bCs/>
                <w:color w:val="auto"/>
                <w:sz w:val="21"/>
                <w:szCs w:val="21"/>
                <w:highlight w:val="none"/>
                <w:lang w:val="en-US" w:eastAsia="zh-CN"/>
              </w:rPr>
              <w:t>地</w:t>
            </w:r>
            <w:r>
              <w:rPr>
                <w:rFonts w:hint="default" w:ascii="Times New Roman" w:hAnsi="Times New Roman" w:eastAsia="宋体" w:cs="Times New Roman"/>
                <w:bCs/>
                <w:color w:val="auto"/>
                <w:sz w:val="21"/>
                <w:szCs w:val="21"/>
                <w:highlight w:val="none"/>
              </w:rPr>
              <w:t>安装、布局，较高噪声设备应安装减振垫、减振基座等；</w:t>
            </w:r>
          </w:p>
          <w:p w14:paraId="40EBEA6E">
            <w:pPr>
              <w:pStyle w:val="32"/>
              <w:shd w:val="clear"/>
              <w:spacing w:after="0" w:line="360" w:lineRule="auto"/>
              <w:ind w:left="0" w:leftChars="0"/>
              <w:jc w:val="both"/>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（2）投入使用后应加强对设备的日常检修和维护，保证各设备正常运转，以免由于故障原因产生较大噪声，同时加强生产管理，教育员工文明生产，减少人为因素造成的噪声，合理安排生产；</w:t>
            </w:r>
          </w:p>
          <w:p w14:paraId="2813DC29">
            <w:pPr>
              <w:pStyle w:val="32"/>
              <w:shd w:val="clear"/>
              <w:spacing w:after="0" w:line="360" w:lineRule="auto"/>
              <w:ind w:left="0" w:leftChars="0"/>
              <w:jc w:val="both"/>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（3）车间的门窗要选用隔声性能良好的铝合金或双层门窗，加上自然距离的衰减，使生产设备产生的机械噪声得到有效</w:t>
            </w:r>
            <w:r>
              <w:rPr>
                <w:rFonts w:hint="default" w:ascii="Times New Roman" w:hAnsi="Times New Roman" w:cs="Times New Roman"/>
                <w:color w:val="auto"/>
                <w:sz w:val="21"/>
                <w:szCs w:val="21"/>
                <w:highlight w:val="none"/>
                <w:lang w:eastAsia="zh-CN"/>
              </w:rPr>
              <w:t>地</w:t>
            </w:r>
            <w:r>
              <w:rPr>
                <w:rFonts w:hint="default" w:ascii="Times New Roman" w:hAnsi="Times New Roman" w:eastAsia="宋体" w:cs="Times New Roman"/>
                <w:color w:val="auto"/>
                <w:sz w:val="21"/>
                <w:szCs w:val="21"/>
                <w:highlight w:val="none"/>
              </w:rPr>
              <w:t>衰减；</w:t>
            </w:r>
          </w:p>
          <w:p w14:paraId="0B871D42">
            <w:pPr>
              <w:pStyle w:val="32"/>
              <w:shd w:val="clear"/>
              <w:spacing w:after="0" w:line="360" w:lineRule="auto"/>
              <w:ind w:left="0" w:leftChars="0"/>
              <w:jc w:val="both"/>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（4）废气处理设备通过安装减振垫、风口软接、消声器等来消除振动等产生的影响，以及通过厂房隔音措施减少对厂界的影响；</w:t>
            </w:r>
          </w:p>
          <w:p w14:paraId="2BBD0766">
            <w:pPr>
              <w:pStyle w:val="32"/>
              <w:shd w:val="clear"/>
              <w:spacing w:after="0" w:line="360" w:lineRule="auto"/>
              <w:ind w:left="0" w:leftChars="0"/>
              <w:jc w:val="both"/>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（5）在原材料和成品的搬运过程中，要轻拿轻放，避免大的突发噪声产生</w:t>
            </w:r>
            <w:r>
              <w:rPr>
                <w:rFonts w:hint="default" w:ascii="Times New Roman" w:hAnsi="Times New Roman" w:eastAsia="宋体" w:cs="Times New Roman"/>
                <w:color w:val="auto"/>
                <w:sz w:val="21"/>
                <w:szCs w:val="21"/>
                <w:highlight w:val="none"/>
                <w:lang w:eastAsia="zh-CN"/>
              </w:rPr>
              <w:t>。</w:t>
            </w:r>
          </w:p>
          <w:p w14:paraId="03C9EBCD">
            <w:pPr>
              <w:pStyle w:val="24"/>
              <w:keepNext w:val="0"/>
              <w:keepLines w:val="0"/>
              <w:pageBreakBefore w:val="0"/>
              <w:widowControl w:val="0"/>
              <w:numPr>
                <w:ilvl w:val="0"/>
                <w:numId w:val="0"/>
              </w:numPr>
              <w:shd w:val="clear"/>
              <w:kinsoku/>
              <w:wordWrap/>
              <w:overflowPunct/>
              <w:topLinePunct w:val="0"/>
              <w:autoSpaceDE/>
              <w:autoSpaceDN/>
              <w:bidi w:val="0"/>
              <w:adjustRightInd/>
              <w:snapToGrid w:val="0"/>
              <w:spacing w:after="0" w:line="360" w:lineRule="auto"/>
              <w:ind w:firstLine="420" w:firstLineChars="200"/>
              <w:jc w:val="both"/>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rPr>
              <w:t>（</w:t>
            </w:r>
            <w:r>
              <w:rPr>
                <w:rFonts w:hint="eastAsia" w:ascii="Times New Roman" w:hAnsi="Times New Roman" w:eastAsia="宋体" w:cs="Times New Roman"/>
                <w:color w:val="auto"/>
                <w:sz w:val="21"/>
                <w:szCs w:val="21"/>
                <w:highlight w:val="none"/>
                <w:lang w:val="en-US" w:eastAsia="zh-CN"/>
              </w:rPr>
              <w:t>6</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kern w:val="0"/>
                <w:sz w:val="21"/>
                <w:szCs w:val="21"/>
                <w:highlight w:val="none"/>
                <w:lang w:val="en-US" w:eastAsia="zh-CN" w:bidi="ar"/>
              </w:rPr>
              <w:t>室外通风设备距离最近敏感点（</w:t>
            </w:r>
            <w:r>
              <w:rPr>
                <w:rFonts w:hint="eastAsia" w:cs="Times New Roman"/>
                <w:color w:val="auto"/>
                <w:kern w:val="0"/>
                <w:sz w:val="21"/>
                <w:szCs w:val="21"/>
                <w:highlight w:val="none"/>
                <w:lang w:val="en-US" w:eastAsia="zh-CN" w:bidi="ar"/>
              </w:rPr>
              <w:t>东南面</w:t>
            </w:r>
            <w:r>
              <w:rPr>
                <w:rFonts w:hint="eastAsia" w:cs="Times New Roman"/>
                <w:color w:val="auto"/>
                <w:sz w:val="21"/>
                <w:szCs w:val="21"/>
                <w:highlight w:val="none"/>
                <w:lang w:val="en-US" w:eastAsia="zh-CN"/>
              </w:rPr>
              <w:t>西城派出所沙边驻警站</w:t>
            </w:r>
            <w:r>
              <w:rPr>
                <w:rFonts w:hint="default" w:ascii="Times New Roman" w:hAnsi="Times New Roman" w:eastAsia="宋体" w:cs="Times New Roman"/>
                <w:color w:val="auto"/>
                <w:kern w:val="0"/>
                <w:sz w:val="21"/>
                <w:szCs w:val="21"/>
                <w:highlight w:val="none"/>
                <w:lang w:val="en-US" w:eastAsia="zh-CN" w:bidi="ar"/>
              </w:rPr>
              <w:t>）约为</w:t>
            </w:r>
            <w:r>
              <w:rPr>
                <w:rFonts w:hint="eastAsia" w:cs="Times New Roman"/>
                <w:color w:val="auto"/>
                <w:kern w:val="0"/>
                <w:sz w:val="21"/>
                <w:szCs w:val="21"/>
                <w:highlight w:val="none"/>
                <w:lang w:val="en-US" w:eastAsia="zh-CN" w:bidi="ar"/>
              </w:rPr>
              <w:t>133</w:t>
            </w:r>
            <w:r>
              <w:rPr>
                <w:rFonts w:hint="default" w:ascii="Times New Roman" w:hAnsi="Times New Roman" w:eastAsia="宋体" w:cs="Times New Roman"/>
                <w:color w:val="auto"/>
                <w:kern w:val="0"/>
                <w:sz w:val="21"/>
                <w:szCs w:val="21"/>
                <w:highlight w:val="none"/>
                <w:lang w:val="en-US" w:eastAsia="zh-CN" w:bidi="ar"/>
              </w:rPr>
              <w:t>m</w:t>
            </w:r>
            <w:r>
              <w:rPr>
                <w:rFonts w:hint="default" w:ascii="Times New Roman" w:hAnsi="Times New Roman" w:eastAsia="宋体" w:cs="Times New Roman"/>
                <w:color w:val="auto"/>
                <w:kern w:val="0"/>
                <w:sz w:val="21"/>
                <w:szCs w:val="21"/>
                <w:highlight w:val="none"/>
                <w:lang w:val="en-US" w:eastAsia="zh-CN" w:bidi="ar"/>
              </w:rPr>
              <w:t>，车间室外通风设备主要设置在楼顶</w:t>
            </w:r>
            <w:r>
              <w:rPr>
                <w:rFonts w:hint="eastAsia" w:cs="Times New Roman"/>
                <w:color w:val="auto"/>
                <w:kern w:val="0"/>
                <w:sz w:val="21"/>
                <w:szCs w:val="21"/>
                <w:highlight w:val="none"/>
                <w:lang w:val="en-US" w:eastAsia="zh-CN" w:bidi="ar"/>
              </w:rPr>
              <w:t>（中部）</w:t>
            </w:r>
            <w:r>
              <w:rPr>
                <w:rFonts w:hint="default" w:ascii="Times New Roman" w:hAnsi="Times New Roman" w:eastAsia="宋体" w:cs="Times New Roman"/>
                <w:color w:val="auto"/>
                <w:kern w:val="0"/>
                <w:sz w:val="21"/>
                <w:szCs w:val="21"/>
                <w:highlight w:val="none"/>
                <w:lang w:val="en-US" w:eastAsia="zh-CN" w:bidi="ar"/>
              </w:rPr>
              <w:t>，办公</w:t>
            </w:r>
            <w:r>
              <w:rPr>
                <w:rFonts w:hint="eastAsia" w:cs="Times New Roman"/>
                <w:color w:val="auto"/>
                <w:kern w:val="0"/>
                <w:sz w:val="21"/>
                <w:szCs w:val="21"/>
                <w:highlight w:val="none"/>
                <w:lang w:val="en-US" w:eastAsia="zh-CN" w:bidi="ar"/>
              </w:rPr>
              <w:t>区</w:t>
            </w:r>
            <w:r>
              <w:rPr>
                <w:rFonts w:hint="default" w:ascii="Times New Roman" w:hAnsi="Times New Roman" w:eastAsia="宋体" w:cs="Times New Roman"/>
                <w:color w:val="auto"/>
                <w:kern w:val="0"/>
                <w:sz w:val="21"/>
                <w:szCs w:val="21"/>
                <w:highlight w:val="none"/>
                <w:lang w:val="en-US" w:eastAsia="zh-CN" w:bidi="ar"/>
              </w:rPr>
              <w:t>位于厂区</w:t>
            </w:r>
            <w:r>
              <w:rPr>
                <w:rFonts w:hint="eastAsia" w:cs="Times New Roman"/>
                <w:color w:val="auto"/>
                <w:kern w:val="0"/>
                <w:sz w:val="21"/>
                <w:szCs w:val="21"/>
                <w:highlight w:val="none"/>
                <w:lang w:val="en-US" w:eastAsia="zh-CN" w:bidi="ar"/>
              </w:rPr>
              <w:t>东</w:t>
            </w:r>
            <w:r>
              <w:rPr>
                <w:rFonts w:hint="default" w:ascii="Times New Roman" w:hAnsi="Times New Roman" w:eastAsia="宋体" w:cs="Times New Roman"/>
                <w:color w:val="auto"/>
                <w:kern w:val="0"/>
                <w:sz w:val="21"/>
                <w:szCs w:val="21"/>
                <w:highlight w:val="none"/>
                <w:lang w:val="en-US" w:eastAsia="zh-CN" w:bidi="ar"/>
              </w:rPr>
              <w:t>面，</w:t>
            </w:r>
            <w:r>
              <w:rPr>
                <w:rFonts w:hint="eastAsia" w:cs="Times New Roman"/>
                <w:color w:val="auto"/>
                <w:kern w:val="0"/>
                <w:sz w:val="21"/>
                <w:szCs w:val="21"/>
                <w:highlight w:val="none"/>
                <w:lang w:val="en-US" w:eastAsia="zh-CN" w:bidi="ar"/>
              </w:rPr>
              <w:t>实验室</w:t>
            </w:r>
            <w:r>
              <w:rPr>
                <w:rFonts w:hint="default" w:ascii="Times New Roman" w:hAnsi="Times New Roman" w:eastAsia="宋体" w:cs="Times New Roman"/>
                <w:color w:val="auto"/>
                <w:kern w:val="0"/>
                <w:sz w:val="21"/>
                <w:szCs w:val="21"/>
                <w:highlight w:val="none"/>
                <w:lang w:val="en-US" w:eastAsia="zh-CN" w:bidi="ar"/>
              </w:rPr>
              <w:t>位于厂区北面，</w:t>
            </w:r>
            <w:r>
              <w:rPr>
                <w:rFonts w:hint="eastAsia" w:cs="Times New Roman"/>
                <w:color w:val="auto"/>
                <w:kern w:val="0"/>
                <w:sz w:val="21"/>
                <w:szCs w:val="21"/>
                <w:highlight w:val="none"/>
                <w:lang w:val="en-US" w:eastAsia="zh-CN" w:bidi="ar"/>
              </w:rPr>
              <w:t>实验室</w:t>
            </w:r>
            <w:r>
              <w:rPr>
                <w:rFonts w:hint="default" w:ascii="Times New Roman" w:hAnsi="Times New Roman" w:eastAsia="宋体" w:cs="Times New Roman"/>
                <w:color w:val="auto"/>
                <w:kern w:val="0"/>
                <w:sz w:val="21"/>
                <w:szCs w:val="21"/>
                <w:highlight w:val="none"/>
                <w:lang w:val="en-US" w:eastAsia="zh-CN" w:bidi="ar"/>
              </w:rPr>
              <w:t>及楼顶室外通风设备位于厂区远离敏感点</w:t>
            </w:r>
            <w:r>
              <w:rPr>
                <w:rFonts w:hint="eastAsia" w:cs="Times New Roman"/>
                <w:color w:val="auto"/>
                <w:kern w:val="0"/>
                <w:sz w:val="21"/>
                <w:szCs w:val="21"/>
                <w:highlight w:val="none"/>
                <w:lang w:val="en-US" w:eastAsia="zh-CN" w:bidi="ar"/>
              </w:rPr>
              <w:t>（</w:t>
            </w:r>
            <w:r>
              <w:rPr>
                <w:rFonts w:hint="eastAsia" w:cs="Times New Roman"/>
                <w:color w:val="auto"/>
                <w:kern w:val="0"/>
                <w:sz w:val="21"/>
                <w:szCs w:val="21"/>
                <w:highlight w:val="none"/>
                <w:lang w:val="en-US" w:eastAsia="zh-CN" w:bidi="ar"/>
              </w:rPr>
              <w:t>东南面</w:t>
            </w:r>
            <w:r>
              <w:rPr>
                <w:rFonts w:hint="eastAsia" w:cs="Times New Roman"/>
                <w:color w:val="auto"/>
                <w:kern w:val="0"/>
                <w:sz w:val="21"/>
                <w:szCs w:val="21"/>
                <w:highlight w:val="none"/>
                <w:lang w:val="en-US" w:eastAsia="zh-CN" w:bidi="ar"/>
              </w:rPr>
              <w:t>）一侧</w:t>
            </w:r>
            <w:r>
              <w:rPr>
                <w:rFonts w:hint="default" w:ascii="Times New Roman" w:hAnsi="Times New Roman" w:eastAsia="宋体" w:cs="Times New Roman"/>
                <w:color w:val="auto"/>
                <w:kern w:val="0"/>
                <w:sz w:val="21"/>
                <w:szCs w:val="21"/>
                <w:highlight w:val="none"/>
                <w:lang w:val="en-US" w:eastAsia="zh-CN" w:bidi="ar"/>
              </w:rPr>
              <w:t>，通过安装隔声罩、减振垫、风口软接、消声器等来消除振动等产生的影响，加强对设备的日常检修和维护；</w:t>
            </w:r>
          </w:p>
          <w:p w14:paraId="67587058">
            <w:pPr>
              <w:pStyle w:val="24"/>
              <w:keepNext w:val="0"/>
              <w:keepLines w:val="0"/>
              <w:pageBreakBefore w:val="0"/>
              <w:widowControl w:val="0"/>
              <w:numPr>
                <w:ilvl w:val="0"/>
                <w:numId w:val="0"/>
              </w:numPr>
              <w:shd w:val="clear"/>
              <w:kinsoku/>
              <w:wordWrap/>
              <w:overflowPunct/>
              <w:topLinePunct w:val="0"/>
              <w:autoSpaceDE/>
              <w:autoSpaceDN/>
              <w:bidi w:val="0"/>
              <w:adjustRightInd/>
              <w:snapToGrid w:val="0"/>
              <w:spacing w:after="0" w:line="360" w:lineRule="auto"/>
              <w:ind w:firstLine="482" w:firstLineChars="200"/>
              <w:jc w:val="both"/>
              <w:textAlignment w:val="auto"/>
              <w:rPr>
                <w:rFonts w:hint="default" w:ascii="Times New Roman" w:hAnsi="Times New Roman" w:eastAsia="宋体" w:cs="Times New Roman"/>
                <w:b/>
                <w:color w:val="auto"/>
                <w:kern w:val="2"/>
                <w:sz w:val="24"/>
                <w:szCs w:val="24"/>
                <w:highlight w:val="none"/>
                <w:lang w:val="en-US" w:eastAsia="zh-CN" w:bidi="ar-SA"/>
              </w:rPr>
            </w:pPr>
            <w:r>
              <w:rPr>
                <w:rFonts w:hint="default" w:ascii="Times New Roman" w:hAnsi="Times New Roman" w:eastAsia="宋体" w:cs="Times New Roman"/>
                <w:b/>
                <w:color w:val="auto"/>
                <w:kern w:val="2"/>
                <w:sz w:val="24"/>
                <w:szCs w:val="24"/>
                <w:highlight w:val="none"/>
                <w:lang w:val="en-US" w:eastAsia="zh-CN" w:bidi="ar-SA"/>
              </w:rPr>
              <w:t>（2）噪声监测计划</w:t>
            </w:r>
          </w:p>
          <w:p w14:paraId="0F63D186">
            <w:pPr>
              <w:keepNext/>
              <w:keepLines/>
              <w:widowControl w:val="0"/>
              <w:numPr>
                <w:ilvl w:val="0"/>
                <w:numId w:val="0"/>
              </w:numPr>
              <w:shd w:val="clear"/>
              <w:spacing w:line="360" w:lineRule="auto"/>
              <w:ind w:left="0" w:leftChars="0" w:firstLine="420" w:firstLineChars="200"/>
              <w:jc w:val="both"/>
              <w:outlineLvl w:val="2"/>
              <w:rPr>
                <w:rFonts w:hint="default" w:ascii="Times New Roman" w:hAnsi="Times New Roman" w:eastAsia="宋体" w:cs="Times New Roman"/>
                <w:b/>
                <w:bCs/>
                <w:color w:val="auto"/>
                <w:kern w:val="2"/>
                <w:sz w:val="21"/>
                <w:szCs w:val="21"/>
                <w:highlight w:val="none"/>
                <w:lang w:val="zh-CN"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根据《排污单位自行监测技术指南总则》（HJ819-2017）、《排污许可证申请与核发技术规范总则》（HJ942-2018）、《排污许可证申请与核发技术规范工业噪声》（HJ1301-2023），本项目污染源监测计划见下表。</w:t>
            </w:r>
          </w:p>
          <w:p w14:paraId="4AB10333">
            <w:pPr>
              <w:pStyle w:val="24"/>
              <w:keepNext w:val="0"/>
              <w:keepLines w:val="0"/>
              <w:pageBreakBefore w:val="0"/>
              <w:widowControl w:val="0"/>
              <w:numPr>
                <w:ilvl w:val="0"/>
                <w:numId w:val="0"/>
              </w:numPr>
              <w:shd w:val="clear"/>
              <w:kinsoku/>
              <w:wordWrap/>
              <w:overflowPunct/>
              <w:topLinePunct w:val="0"/>
              <w:autoSpaceDE/>
              <w:autoSpaceDN/>
              <w:bidi w:val="0"/>
              <w:adjustRightInd/>
              <w:snapToGrid w:val="0"/>
              <w:spacing w:after="0" w:line="360" w:lineRule="auto"/>
              <w:ind w:leftChars="0"/>
              <w:jc w:val="center"/>
              <w:textAlignment w:val="auto"/>
              <w:rPr>
                <w:rFonts w:hint="default" w:ascii="Times New Roman" w:hAnsi="Times New Roman" w:eastAsia="宋体" w:cs="Times New Roman"/>
                <w:b/>
                <w:bCs w:val="0"/>
                <w:color w:val="auto"/>
                <w:spacing w:val="-10"/>
                <w:sz w:val="24"/>
                <w:szCs w:val="24"/>
                <w:highlight w:val="none"/>
                <w:lang w:val="en-US" w:eastAsia="zh-CN"/>
              </w:rPr>
            </w:pPr>
            <w:r>
              <w:rPr>
                <w:rFonts w:hint="default" w:ascii="Times New Roman" w:hAnsi="Times New Roman" w:eastAsia="宋体" w:cs="Times New Roman"/>
                <w:b/>
                <w:bCs w:val="0"/>
                <w:color w:val="auto"/>
                <w:spacing w:val="-10"/>
                <w:sz w:val="24"/>
                <w:szCs w:val="24"/>
                <w:highlight w:val="none"/>
                <w:lang w:val="en-US" w:eastAsia="zh-CN"/>
              </w:rPr>
              <w:t>表</w:t>
            </w:r>
            <w:r>
              <w:rPr>
                <w:rFonts w:hint="eastAsia" w:cs="Times New Roman"/>
                <w:b/>
                <w:bCs w:val="0"/>
                <w:color w:val="auto"/>
                <w:spacing w:val="-10"/>
                <w:sz w:val="24"/>
                <w:szCs w:val="24"/>
                <w:highlight w:val="none"/>
                <w:lang w:val="en-US" w:eastAsia="zh-CN"/>
              </w:rPr>
              <w:t>41</w:t>
            </w:r>
            <w:r>
              <w:rPr>
                <w:rFonts w:hint="default" w:ascii="Times New Roman" w:hAnsi="Times New Roman" w:eastAsia="宋体" w:cs="Times New Roman"/>
                <w:b/>
                <w:bCs w:val="0"/>
                <w:color w:val="auto"/>
                <w:spacing w:val="-10"/>
                <w:sz w:val="24"/>
                <w:szCs w:val="24"/>
                <w:highlight w:val="none"/>
                <w:lang w:val="en-US" w:eastAsia="zh-CN"/>
              </w:rPr>
              <w:t>噪声监测计划</w:t>
            </w:r>
          </w:p>
          <w:tbl>
            <w:tblPr>
              <w:tblStyle w:val="33"/>
              <w:tblW w:w="6757"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2004"/>
              <w:gridCol w:w="1255"/>
              <w:gridCol w:w="1425"/>
              <w:gridCol w:w="2073"/>
            </w:tblGrid>
            <w:tr w14:paraId="46FE7F1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2004" w:type="dxa"/>
                  <w:tcBorders>
                    <w:top w:val="single" w:color="auto" w:sz="4" w:space="0"/>
                    <w:left w:val="single" w:color="000000" w:sz="4" w:space="0"/>
                    <w:bottom w:val="single" w:color="auto" w:sz="4" w:space="0"/>
                    <w:right w:val="single" w:color="auto" w:sz="4" w:space="0"/>
                  </w:tcBorders>
                  <w:noWrap w:val="0"/>
                  <w:vAlign w:val="center"/>
                </w:tcPr>
                <w:p w14:paraId="34CBD2A3">
                  <w:pPr>
                    <w:keepNext w:val="0"/>
                    <w:keepLines w:val="0"/>
                    <w:widowControl/>
                    <w:suppressLineNumbers w:val="0"/>
                    <w:shd w:val="clear"/>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噪声监测点位</w:t>
                  </w:r>
                </w:p>
              </w:tc>
              <w:tc>
                <w:tcPr>
                  <w:tcW w:w="1255" w:type="dxa"/>
                  <w:tcBorders>
                    <w:top w:val="single" w:color="auto" w:sz="4" w:space="0"/>
                    <w:left w:val="single" w:color="auto" w:sz="4" w:space="0"/>
                    <w:bottom w:val="single" w:color="auto" w:sz="4" w:space="0"/>
                    <w:right w:val="single" w:color="auto" w:sz="4" w:space="0"/>
                  </w:tcBorders>
                  <w:noWrap w:val="0"/>
                  <w:vAlign w:val="center"/>
                </w:tcPr>
                <w:p w14:paraId="17D8EB31">
                  <w:pPr>
                    <w:keepNext w:val="0"/>
                    <w:keepLines w:val="0"/>
                    <w:widowControl/>
                    <w:suppressLineNumbers w:val="0"/>
                    <w:shd w:val="clear"/>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监测频次</w:t>
                  </w:r>
                </w:p>
              </w:tc>
              <w:tc>
                <w:tcPr>
                  <w:tcW w:w="1425" w:type="dxa"/>
                  <w:tcBorders>
                    <w:top w:val="single" w:color="auto" w:sz="4" w:space="0"/>
                    <w:left w:val="single" w:color="auto" w:sz="4" w:space="0"/>
                    <w:bottom w:val="single" w:color="auto" w:sz="4" w:space="0"/>
                    <w:right w:val="single" w:color="auto" w:sz="4" w:space="0"/>
                  </w:tcBorders>
                  <w:noWrap w:val="0"/>
                  <w:vAlign w:val="center"/>
                </w:tcPr>
                <w:p w14:paraId="5BF72B98">
                  <w:pPr>
                    <w:keepNext w:val="0"/>
                    <w:keepLines w:val="0"/>
                    <w:widowControl/>
                    <w:suppressLineNumbers w:val="0"/>
                    <w:shd w:val="clear"/>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排放限值</w:t>
                  </w:r>
                </w:p>
              </w:tc>
              <w:tc>
                <w:tcPr>
                  <w:tcW w:w="2073" w:type="dxa"/>
                  <w:tcBorders>
                    <w:top w:val="single" w:color="auto" w:sz="4" w:space="0"/>
                    <w:left w:val="single" w:color="auto" w:sz="4" w:space="0"/>
                    <w:bottom w:val="single" w:color="auto" w:sz="4" w:space="0"/>
                    <w:right w:val="single" w:color="auto" w:sz="4" w:space="0"/>
                  </w:tcBorders>
                  <w:noWrap w:val="0"/>
                  <w:vAlign w:val="center"/>
                </w:tcPr>
                <w:p w14:paraId="586A93A4">
                  <w:pPr>
                    <w:keepNext w:val="0"/>
                    <w:keepLines w:val="0"/>
                    <w:widowControl/>
                    <w:suppressLineNumbers w:val="0"/>
                    <w:shd w:val="clear"/>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执行排放标准</w:t>
                  </w:r>
                </w:p>
              </w:tc>
            </w:tr>
            <w:tr w14:paraId="32C9555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2004" w:type="dxa"/>
                  <w:tcBorders>
                    <w:top w:val="single" w:color="auto" w:sz="4" w:space="0"/>
                    <w:left w:val="single" w:color="auto" w:sz="4" w:space="0"/>
                    <w:bottom w:val="single" w:color="auto" w:sz="4" w:space="0"/>
                    <w:right w:val="single" w:color="auto" w:sz="4" w:space="0"/>
                  </w:tcBorders>
                  <w:noWrap w:val="0"/>
                  <w:vAlign w:val="center"/>
                </w:tcPr>
                <w:p w14:paraId="25C0EA8F">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厂界东北外1米</w:t>
                  </w:r>
                </w:p>
              </w:tc>
              <w:tc>
                <w:tcPr>
                  <w:tcW w:w="1255" w:type="dxa"/>
                  <w:tcBorders>
                    <w:top w:val="single" w:color="auto" w:sz="4" w:space="0"/>
                    <w:left w:val="single" w:color="auto" w:sz="4" w:space="0"/>
                    <w:bottom w:val="single" w:color="auto" w:sz="4" w:space="0"/>
                    <w:right w:val="single" w:color="auto" w:sz="4" w:space="0"/>
                  </w:tcBorders>
                  <w:noWrap w:val="0"/>
                  <w:vAlign w:val="center"/>
                </w:tcPr>
                <w:p w14:paraId="5D6795A4">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1次/季</w:t>
                  </w:r>
                </w:p>
              </w:tc>
              <w:tc>
                <w:tcPr>
                  <w:tcW w:w="1425" w:type="dxa"/>
                  <w:vMerge w:val="restart"/>
                  <w:tcBorders>
                    <w:top w:val="single" w:color="auto" w:sz="4" w:space="0"/>
                    <w:left w:val="single" w:color="auto" w:sz="4" w:space="0"/>
                    <w:right w:val="single" w:color="auto" w:sz="4" w:space="0"/>
                  </w:tcBorders>
                  <w:noWrap w:val="0"/>
                  <w:vAlign w:val="center"/>
                </w:tcPr>
                <w:p w14:paraId="5572E05D">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昼间噪声≤65dB(A)</w:t>
                  </w:r>
                  <w:r>
                    <w:rPr>
                      <w:rFonts w:hint="default" w:ascii="Times New Roman" w:hAnsi="Times New Roman" w:cs="Times New Roman"/>
                      <w:i w:val="0"/>
                      <w:iCs w:val="0"/>
                      <w:color w:val="auto"/>
                      <w:kern w:val="0"/>
                      <w:sz w:val="21"/>
                      <w:szCs w:val="21"/>
                      <w:highlight w:val="none"/>
                      <w:u w:val="none"/>
                      <w:lang w:val="en-US" w:eastAsia="zh-CN" w:bidi="ar"/>
                    </w:rPr>
                    <w:t>，</w:t>
                  </w:r>
                  <w:r>
                    <w:rPr>
                      <w:rFonts w:hint="default" w:ascii="Times New Roman" w:hAnsi="Times New Roman" w:cs="Times New Roman"/>
                      <w:color w:val="auto"/>
                      <w:sz w:val="21"/>
                      <w:szCs w:val="21"/>
                      <w:highlight w:val="none"/>
                      <w:lang w:val="en-US" w:eastAsia="zh-CN"/>
                    </w:rPr>
                    <w:t>夜间</w:t>
                  </w:r>
                  <w:r>
                    <w:rPr>
                      <w:rFonts w:hint="eastAsia" w:cs="Times New Roman"/>
                      <w:color w:val="auto"/>
                      <w:sz w:val="21"/>
                      <w:szCs w:val="21"/>
                      <w:highlight w:val="none"/>
                      <w:lang w:val="en-US" w:eastAsia="zh-CN"/>
                    </w:rPr>
                    <w:t>不生产</w:t>
                  </w:r>
                </w:p>
              </w:tc>
              <w:tc>
                <w:tcPr>
                  <w:tcW w:w="2073" w:type="dxa"/>
                  <w:vMerge w:val="restart"/>
                  <w:tcBorders>
                    <w:top w:val="single" w:color="auto" w:sz="4" w:space="0"/>
                    <w:left w:val="single" w:color="auto" w:sz="4" w:space="0"/>
                    <w:right w:val="single" w:color="auto" w:sz="4" w:space="0"/>
                  </w:tcBorders>
                  <w:noWrap w:val="0"/>
                  <w:vAlign w:val="center"/>
                </w:tcPr>
                <w:p w14:paraId="631551A7">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bCs/>
                      <w:color w:val="auto"/>
                      <w:szCs w:val="21"/>
                      <w:highlight w:val="none"/>
                      <w:lang w:bidi="ar"/>
                    </w:rPr>
                    <w:t>《工业企业厂界环境噪声排放标准》3类标</w:t>
                  </w:r>
                  <w:r>
                    <w:rPr>
                      <w:rFonts w:hint="default" w:ascii="Times New Roman" w:hAnsi="Times New Roman" w:eastAsia="宋体" w:cs="Times New Roman"/>
                      <w:color w:val="auto"/>
                      <w:spacing w:val="7"/>
                      <w:highlight w:val="none"/>
                    </w:rPr>
                    <w:t>准</w:t>
                  </w:r>
                </w:p>
              </w:tc>
            </w:tr>
            <w:tr w14:paraId="040411C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2004" w:type="dxa"/>
                  <w:tcBorders>
                    <w:top w:val="single" w:color="auto" w:sz="4" w:space="0"/>
                    <w:left w:val="single" w:color="auto" w:sz="4" w:space="0"/>
                    <w:bottom w:val="single" w:color="auto" w:sz="4" w:space="0"/>
                    <w:right w:val="single" w:color="auto" w:sz="4" w:space="0"/>
                  </w:tcBorders>
                  <w:noWrap w:val="0"/>
                  <w:vAlign w:val="center"/>
                </w:tcPr>
                <w:p w14:paraId="0897A6A5">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厂界东南外1米</w:t>
                  </w:r>
                </w:p>
              </w:tc>
              <w:tc>
                <w:tcPr>
                  <w:tcW w:w="1255" w:type="dxa"/>
                  <w:tcBorders>
                    <w:top w:val="single" w:color="auto" w:sz="4" w:space="0"/>
                    <w:left w:val="single" w:color="auto" w:sz="4" w:space="0"/>
                    <w:bottom w:val="single" w:color="auto" w:sz="4" w:space="0"/>
                    <w:right w:val="single" w:color="auto" w:sz="4" w:space="0"/>
                  </w:tcBorders>
                  <w:noWrap w:val="0"/>
                  <w:vAlign w:val="center"/>
                </w:tcPr>
                <w:p w14:paraId="72C26DE3">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1次/季</w:t>
                  </w:r>
                </w:p>
              </w:tc>
              <w:tc>
                <w:tcPr>
                  <w:tcW w:w="1425" w:type="dxa"/>
                  <w:vMerge w:val="continue"/>
                  <w:tcBorders>
                    <w:left w:val="single" w:color="auto" w:sz="4" w:space="0"/>
                    <w:right w:val="single" w:color="auto" w:sz="4" w:space="0"/>
                  </w:tcBorders>
                  <w:noWrap w:val="0"/>
                  <w:vAlign w:val="center"/>
                </w:tcPr>
                <w:p w14:paraId="47D306B9">
                  <w:pPr>
                    <w:shd w:val="clear"/>
                    <w:jc w:val="both"/>
                    <w:rPr>
                      <w:rFonts w:hint="default" w:ascii="Times New Roman" w:hAnsi="Times New Roman" w:eastAsia="宋体" w:cs="Times New Roman"/>
                      <w:i w:val="0"/>
                      <w:iCs w:val="0"/>
                      <w:color w:val="auto"/>
                      <w:sz w:val="21"/>
                      <w:szCs w:val="21"/>
                      <w:highlight w:val="none"/>
                      <w:u w:val="none"/>
                    </w:rPr>
                  </w:pPr>
                </w:p>
              </w:tc>
              <w:tc>
                <w:tcPr>
                  <w:tcW w:w="2073" w:type="dxa"/>
                  <w:vMerge w:val="continue"/>
                  <w:tcBorders>
                    <w:left w:val="single" w:color="auto" w:sz="4" w:space="0"/>
                    <w:right w:val="single" w:color="auto" w:sz="4" w:space="0"/>
                  </w:tcBorders>
                  <w:noWrap w:val="0"/>
                  <w:vAlign w:val="center"/>
                </w:tcPr>
                <w:p w14:paraId="3131CBAB">
                  <w:pPr>
                    <w:shd w:val="clear"/>
                    <w:jc w:val="both"/>
                    <w:rPr>
                      <w:rFonts w:hint="default" w:ascii="Times New Roman" w:hAnsi="Times New Roman" w:eastAsia="宋体" w:cs="Times New Roman"/>
                      <w:i w:val="0"/>
                      <w:iCs w:val="0"/>
                      <w:color w:val="auto"/>
                      <w:sz w:val="21"/>
                      <w:szCs w:val="21"/>
                      <w:highlight w:val="none"/>
                      <w:u w:val="none"/>
                    </w:rPr>
                  </w:pPr>
                </w:p>
              </w:tc>
            </w:tr>
            <w:tr w14:paraId="382DD80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2" w:hRule="atLeast"/>
                <w:jc w:val="center"/>
              </w:trPr>
              <w:tc>
                <w:tcPr>
                  <w:tcW w:w="2004" w:type="dxa"/>
                  <w:tcBorders>
                    <w:top w:val="single" w:color="auto" w:sz="4" w:space="0"/>
                    <w:left w:val="single" w:color="auto" w:sz="4" w:space="0"/>
                    <w:bottom w:val="single" w:color="auto" w:sz="4" w:space="0"/>
                    <w:right w:val="single" w:color="auto" w:sz="4" w:space="0"/>
                  </w:tcBorders>
                  <w:noWrap w:val="0"/>
                  <w:vAlign w:val="center"/>
                </w:tcPr>
                <w:p w14:paraId="2B005A38">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厂界西南外1米</w:t>
                  </w:r>
                </w:p>
              </w:tc>
              <w:tc>
                <w:tcPr>
                  <w:tcW w:w="1255" w:type="dxa"/>
                  <w:tcBorders>
                    <w:top w:val="single" w:color="auto" w:sz="4" w:space="0"/>
                    <w:left w:val="single" w:color="auto" w:sz="4" w:space="0"/>
                    <w:bottom w:val="single" w:color="auto" w:sz="4" w:space="0"/>
                    <w:right w:val="single" w:color="auto" w:sz="4" w:space="0"/>
                  </w:tcBorders>
                  <w:noWrap w:val="0"/>
                  <w:vAlign w:val="center"/>
                </w:tcPr>
                <w:p w14:paraId="49E8CAA3">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1次/季</w:t>
                  </w:r>
                </w:p>
              </w:tc>
              <w:tc>
                <w:tcPr>
                  <w:tcW w:w="1425" w:type="dxa"/>
                  <w:vMerge w:val="continue"/>
                  <w:tcBorders>
                    <w:left w:val="single" w:color="auto" w:sz="4" w:space="0"/>
                    <w:right w:val="single" w:color="auto" w:sz="4" w:space="0"/>
                  </w:tcBorders>
                  <w:noWrap w:val="0"/>
                  <w:vAlign w:val="center"/>
                </w:tcPr>
                <w:p w14:paraId="24C212B3">
                  <w:pPr>
                    <w:shd w:val="clear"/>
                    <w:jc w:val="both"/>
                    <w:rPr>
                      <w:rFonts w:hint="default" w:ascii="Times New Roman" w:hAnsi="Times New Roman" w:eastAsia="宋体" w:cs="Times New Roman"/>
                      <w:i w:val="0"/>
                      <w:iCs w:val="0"/>
                      <w:color w:val="auto"/>
                      <w:sz w:val="21"/>
                      <w:szCs w:val="21"/>
                      <w:highlight w:val="none"/>
                      <w:u w:val="none"/>
                    </w:rPr>
                  </w:pPr>
                </w:p>
              </w:tc>
              <w:tc>
                <w:tcPr>
                  <w:tcW w:w="2073" w:type="dxa"/>
                  <w:vMerge w:val="continue"/>
                  <w:tcBorders>
                    <w:left w:val="single" w:color="auto" w:sz="4" w:space="0"/>
                    <w:right w:val="single" w:color="auto" w:sz="4" w:space="0"/>
                  </w:tcBorders>
                  <w:noWrap w:val="0"/>
                  <w:vAlign w:val="center"/>
                </w:tcPr>
                <w:p w14:paraId="7CF7BEF5">
                  <w:pPr>
                    <w:shd w:val="clear"/>
                    <w:jc w:val="both"/>
                    <w:rPr>
                      <w:rFonts w:hint="default" w:ascii="Times New Roman" w:hAnsi="Times New Roman" w:eastAsia="宋体" w:cs="Times New Roman"/>
                      <w:i w:val="0"/>
                      <w:iCs w:val="0"/>
                      <w:color w:val="auto"/>
                      <w:sz w:val="21"/>
                      <w:szCs w:val="21"/>
                      <w:highlight w:val="none"/>
                      <w:u w:val="none"/>
                    </w:rPr>
                  </w:pPr>
                </w:p>
              </w:tc>
            </w:tr>
            <w:tr w14:paraId="772CEBD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2004" w:type="dxa"/>
                  <w:tcBorders>
                    <w:top w:val="single" w:color="auto" w:sz="4" w:space="0"/>
                    <w:left w:val="single" w:color="auto" w:sz="4" w:space="0"/>
                    <w:bottom w:val="single" w:color="auto" w:sz="4" w:space="0"/>
                    <w:right w:val="single" w:color="auto" w:sz="4" w:space="0"/>
                  </w:tcBorders>
                  <w:noWrap w:val="0"/>
                  <w:vAlign w:val="center"/>
                </w:tcPr>
                <w:p w14:paraId="2DE0032F">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厂界西北外1米</w:t>
                  </w:r>
                </w:p>
              </w:tc>
              <w:tc>
                <w:tcPr>
                  <w:tcW w:w="1255" w:type="dxa"/>
                  <w:tcBorders>
                    <w:top w:val="single" w:color="auto" w:sz="4" w:space="0"/>
                    <w:left w:val="single" w:color="auto" w:sz="4" w:space="0"/>
                    <w:bottom w:val="single" w:color="auto" w:sz="4" w:space="0"/>
                    <w:right w:val="single" w:color="auto" w:sz="4" w:space="0"/>
                  </w:tcBorders>
                  <w:noWrap w:val="0"/>
                  <w:vAlign w:val="center"/>
                </w:tcPr>
                <w:p w14:paraId="026C7227">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1次/季</w:t>
                  </w:r>
                </w:p>
              </w:tc>
              <w:tc>
                <w:tcPr>
                  <w:tcW w:w="1425" w:type="dxa"/>
                  <w:vMerge w:val="continue"/>
                  <w:tcBorders>
                    <w:left w:val="single" w:color="auto" w:sz="4" w:space="0"/>
                    <w:bottom w:val="single" w:color="auto" w:sz="4" w:space="0"/>
                    <w:right w:val="single" w:color="auto" w:sz="4" w:space="0"/>
                  </w:tcBorders>
                  <w:noWrap w:val="0"/>
                  <w:vAlign w:val="center"/>
                </w:tcPr>
                <w:p w14:paraId="0D3B3DC5">
                  <w:pPr>
                    <w:shd w:val="clear"/>
                    <w:jc w:val="both"/>
                    <w:rPr>
                      <w:rFonts w:hint="default" w:ascii="Times New Roman" w:hAnsi="Times New Roman" w:eastAsia="宋体" w:cs="Times New Roman"/>
                      <w:i w:val="0"/>
                      <w:iCs w:val="0"/>
                      <w:color w:val="auto"/>
                      <w:sz w:val="21"/>
                      <w:szCs w:val="21"/>
                      <w:highlight w:val="none"/>
                      <w:u w:val="none"/>
                      <w:lang w:val="en-US" w:eastAsia="zh-CN"/>
                    </w:rPr>
                  </w:pPr>
                </w:p>
              </w:tc>
              <w:tc>
                <w:tcPr>
                  <w:tcW w:w="2073" w:type="dxa"/>
                  <w:vMerge w:val="continue"/>
                  <w:tcBorders>
                    <w:left w:val="single" w:color="auto" w:sz="4" w:space="0"/>
                    <w:bottom w:val="single" w:color="auto" w:sz="4" w:space="0"/>
                    <w:right w:val="single" w:color="auto" w:sz="4" w:space="0"/>
                  </w:tcBorders>
                  <w:noWrap w:val="0"/>
                  <w:vAlign w:val="center"/>
                </w:tcPr>
                <w:p w14:paraId="3C820643">
                  <w:pPr>
                    <w:shd w:val="clear"/>
                    <w:jc w:val="both"/>
                    <w:rPr>
                      <w:rFonts w:hint="default" w:ascii="Times New Roman" w:hAnsi="Times New Roman" w:eastAsia="宋体" w:cs="Times New Roman"/>
                      <w:i w:val="0"/>
                      <w:iCs w:val="0"/>
                      <w:color w:val="auto"/>
                      <w:sz w:val="21"/>
                      <w:szCs w:val="21"/>
                      <w:highlight w:val="none"/>
                      <w:u w:val="none"/>
                    </w:rPr>
                  </w:pPr>
                </w:p>
              </w:tc>
            </w:tr>
          </w:tbl>
          <w:p w14:paraId="5C9618E9">
            <w:pPr>
              <w:keepNext w:val="0"/>
              <w:keepLines w:val="0"/>
              <w:pageBreakBefore w:val="0"/>
              <w:shd w:val="clear"/>
              <w:kinsoku/>
              <w:wordWrap/>
              <w:overflowPunct/>
              <w:topLinePunct w:val="0"/>
              <w:autoSpaceDE/>
              <w:autoSpaceDN/>
              <w:bidi w:val="0"/>
              <w:adjustRightInd/>
              <w:spacing w:line="360" w:lineRule="auto"/>
              <w:ind w:right="0" w:firstLine="482" w:firstLineChars="200"/>
              <w:jc w:val="both"/>
              <w:textAlignment w:val="auto"/>
              <w:rPr>
                <w:rFonts w:hint="default" w:ascii="Times New Roman" w:hAnsi="Times New Roman" w:eastAsia="宋体" w:cs="Times New Roman"/>
                <w:b/>
                <w:bCs/>
                <w:color w:val="auto"/>
                <w:sz w:val="24"/>
                <w:szCs w:val="24"/>
                <w:highlight w:val="none"/>
                <w:lang w:eastAsia="zh-CN"/>
              </w:rPr>
            </w:pPr>
            <w:r>
              <w:rPr>
                <w:rFonts w:hint="default" w:ascii="Times New Roman" w:hAnsi="Times New Roman" w:eastAsia="宋体" w:cs="Times New Roman"/>
                <w:b/>
                <w:bCs/>
                <w:color w:val="auto"/>
                <w:sz w:val="24"/>
                <w:szCs w:val="24"/>
                <w:highlight w:val="none"/>
              </w:rPr>
              <w:t>四、固体废物影响分析</w:t>
            </w:r>
          </w:p>
          <w:p w14:paraId="7F107AC8">
            <w:pPr>
              <w:keepNext w:val="0"/>
              <w:keepLines w:val="0"/>
              <w:pageBreakBefore w:val="0"/>
              <w:widowControl/>
              <w:shd w:val="clear"/>
              <w:kinsoku/>
              <w:wordWrap/>
              <w:overflowPunct/>
              <w:topLinePunct w:val="0"/>
              <w:autoSpaceDE/>
              <w:autoSpaceDN/>
              <w:bidi w:val="0"/>
              <w:adjustRightInd/>
              <w:snapToGrid w:val="0"/>
              <w:spacing w:before="0" w:beforeLines="0" w:after="0" w:line="360" w:lineRule="auto"/>
              <w:ind w:right="0" w:firstLine="482" w:firstLineChars="200"/>
              <w:jc w:val="both"/>
              <w:textAlignment w:val="auto"/>
              <w:rPr>
                <w:rFonts w:hint="default" w:ascii="Times New Roman" w:hAnsi="Times New Roman" w:eastAsia="宋体" w:cs="Times New Roman"/>
                <w:b/>
                <w:bCs/>
                <w:color w:val="auto"/>
                <w:kern w:val="0"/>
                <w:sz w:val="24"/>
                <w:szCs w:val="24"/>
                <w:highlight w:val="none"/>
                <w:lang w:val="en-US" w:eastAsia="zh-CN" w:bidi="ar-SA"/>
              </w:rPr>
            </w:pPr>
            <w:r>
              <w:rPr>
                <w:rFonts w:hint="default" w:ascii="Times New Roman" w:hAnsi="Times New Roman" w:eastAsia="宋体" w:cs="Times New Roman"/>
                <w:b/>
                <w:bCs/>
                <w:color w:val="auto"/>
                <w:kern w:val="0"/>
                <w:sz w:val="24"/>
                <w:szCs w:val="24"/>
                <w:highlight w:val="none"/>
                <w:lang w:val="en-US" w:eastAsia="zh-CN" w:bidi="ar-SA"/>
              </w:rPr>
              <w:t>（1）固废产生情况：</w:t>
            </w:r>
          </w:p>
          <w:p w14:paraId="6E4EBC33">
            <w:pPr>
              <w:keepNext w:val="0"/>
              <w:keepLines w:val="0"/>
              <w:pageBreakBefore w:val="0"/>
              <w:widowControl w:val="0"/>
              <w:numPr>
                <w:ilvl w:val="0"/>
                <w:numId w:val="0"/>
              </w:numPr>
              <w:suppressLineNumbers w:val="0"/>
              <w:shd w:val="clear"/>
              <w:kinsoku/>
              <w:wordWrap/>
              <w:overflowPunct/>
              <w:topLinePunct w:val="0"/>
              <w:autoSpaceDE/>
              <w:autoSpaceDN/>
              <w:bidi w:val="0"/>
              <w:adjustRightInd/>
              <w:snapToGrid/>
              <w:spacing w:before="0" w:beforeAutospacing="0" w:after="0" w:afterAutospacing="0" w:line="360" w:lineRule="auto"/>
              <w:ind w:left="0" w:leftChars="0" w:right="0" w:rightChars="0" w:firstLine="482" w:firstLineChars="200"/>
              <w:jc w:val="both"/>
              <w:textAlignment w:val="auto"/>
              <w:rPr>
                <w:rFonts w:hint="default" w:ascii="Times New Roman" w:hAnsi="Times New Roman" w:eastAsia="宋体" w:cs="Times New Roman"/>
                <w:b/>
                <w:bCs/>
                <w:color w:val="auto"/>
                <w:kern w:val="0"/>
                <w:sz w:val="21"/>
                <w:szCs w:val="21"/>
                <w:highlight w:val="none"/>
                <w:lang w:val="en-US" w:eastAsia="zh-CN" w:bidi="ar-SA"/>
              </w:rPr>
            </w:pPr>
            <w:r>
              <w:rPr>
                <w:rFonts w:hint="default" w:ascii="Times New Roman" w:hAnsi="Times New Roman" w:eastAsia="宋体" w:cs="Times New Roman"/>
                <w:b/>
                <w:bCs/>
                <w:color w:val="auto"/>
                <w:kern w:val="0"/>
                <w:sz w:val="24"/>
                <w:szCs w:val="24"/>
                <w:highlight w:val="none"/>
                <w:lang w:val="en-US" w:eastAsia="zh-CN" w:bidi="ar-SA"/>
              </w:rPr>
              <w:t>生活垃圾</w:t>
            </w:r>
            <w:r>
              <w:rPr>
                <w:rFonts w:hint="default" w:ascii="Times New Roman" w:hAnsi="Times New Roman" w:eastAsia="宋体" w:cs="Times New Roman"/>
                <w:b/>
                <w:bCs/>
                <w:color w:val="auto"/>
                <w:kern w:val="0"/>
                <w:sz w:val="21"/>
                <w:szCs w:val="21"/>
                <w:highlight w:val="none"/>
                <w:lang w:val="en-US" w:eastAsia="zh-CN" w:bidi="ar-SA"/>
              </w:rPr>
              <w:t>：</w:t>
            </w:r>
          </w:p>
          <w:p w14:paraId="5B4C25AC">
            <w:pPr>
              <w:keepNext w:val="0"/>
              <w:keepLines w:val="0"/>
              <w:pageBreakBefore w:val="0"/>
              <w:widowControl w:val="0"/>
              <w:numPr>
                <w:ilvl w:val="0"/>
                <w:numId w:val="0"/>
              </w:numPr>
              <w:suppressLineNumbers w:val="0"/>
              <w:shd w:val="clear"/>
              <w:kinsoku/>
              <w:wordWrap/>
              <w:overflowPunct/>
              <w:topLinePunct w:val="0"/>
              <w:autoSpaceDE/>
              <w:autoSpaceDN/>
              <w:bidi w:val="0"/>
              <w:adjustRightInd/>
              <w:snapToGrid/>
              <w:spacing w:before="0" w:beforeAutospacing="0" w:after="0" w:afterAutospacing="0" w:line="360" w:lineRule="auto"/>
              <w:ind w:left="0" w:leftChars="0" w:right="0" w:rightChars="0" w:firstLine="420" w:firstLineChars="200"/>
              <w:jc w:val="both"/>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项目总员工数为</w:t>
            </w:r>
            <w:r>
              <w:rPr>
                <w:rFonts w:hint="eastAsia" w:cs="Times New Roman"/>
                <w:color w:val="auto"/>
                <w:kern w:val="0"/>
                <w:sz w:val="21"/>
                <w:szCs w:val="21"/>
                <w:highlight w:val="none"/>
                <w:lang w:val="en-US" w:eastAsia="zh-CN" w:bidi="ar-SA"/>
              </w:rPr>
              <w:t>10</w:t>
            </w:r>
            <w:r>
              <w:rPr>
                <w:rFonts w:hint="default" w:ascii="Times New Roman" w:hAnsi="Times New Roman" w:eastAsia="宋体" w:cs="Times New Roman"/>
                <w:color w:val="auto"/>
                <w:kern w:val="0"/>
                <w:sz w:val="21"/>
                <w:szCs w:val="21"/>
                <w:highlight w:val="none"/>
                <w:lang w:val="en-US" w:eastAsia="zh-CN" w:bidi="ar-SA"/>
              </w:rPr>
              <w:t>人，生活垃圾产生量按0.5kg/人•日计，则生活垃圾产生量为</w:t>
            </w:r>
            <w:r>
              <w:rPr>
                <w:rFonts w:hint="eastAsia" w:cs="Times New Roman"/>
                <w:color w:val="auto"/>
                <w:kern w:val="0"/>
                <w:sz w:val="21"/>
                <w:szCs w:val="21"/>
                <w:highlight w:val="none"/>
                <w:lang w:val="en-US" w:eastAsia="zh-CN" w:bidi="ar-SA"/>
              </w:rPr>
              <w:t>5</w:t>
            </w:r>
            <w:r>
              <w:rPr>
                <w:rFonts w:hint="default" w:ascii="Times New Roman" w:hAnsi="Times New Roman" w:eastAsia="宋体" w:cs="Times New Roman"/>
                <w:color w:val="auto"/>
                <w:kern w:val="0"/>
                <w:sz w:val="21"/>
                <w:szCs w:val="21"/>
                <w:highlight w:val="none"/>
                <w:lang w:val="en-US" w:eastAsia="zh-CN" w:bidi="ar-SA"/>
              </w:rPr>
              <w:t>kg/d（</w:t>
            </w:r>
            <w:r>
              <w:rPr>
                <w:rFonts w:hint="eastAsia" w:cs="Times New Roman"/>
                <w:color w:val="auto"/>
                <w:kern w:val="0"/>
                <w:sz w:val="21"/>
                <w:szCs w:val="21"/>
                <w:highlight w:val="none"/>
                <w:lang w:val="en-US" w:eastAsia="zh-CN" w:bidi="ar-SA"/>
              </w:rPr>
              <w:t>1.5</w:t>
            </w:r>
            <w:r>
              <w:rPr>
                <w:rFonts w:hint="default" w:ascii="Times New Roman" w:hAnsi="Times New Roman" w:eastAsia="宋体" w:cs="Times New Roman"/>
                <w:color w:val="auto"/>
                <w:kern w:val="0"/>
                <w:sz w:val="21"/>
                <w:szCs w:val="21"/>
                <w:highlight w:val="none"/>
                <w:lang w:val="en-US" w:eastAsia="zh-CN" w:bidi="ar-SA"/>
              </w:rPr>
              <w:t>t/a）。</w:t>
            </w:r>
            <w:r>
              <w:rPr>
                <w:rFonts w:hint="default" w:ascii="Times New Roman" w:hAnsi="Times New Roman" w:eastAsia="宋体" w:cs="Times New Roman"/>
                <w:b w:val="0"/>
                <w:bCs w:val="0"/>
                <w:color w:val="auto"/>
                <w:kern w:val="0"/>
                <w:sz w:val="21"/>
                <w:szCs w:val="21"/>
                <w:highlight w:val="none"/>
                <w:lang w:val="en-US" w:eastAsia="zh-CN" w:bidi="ar-SA"/>
              </w:rPr>
              <w:t>项目产生的生活垃圾按指定地点堆放，并每日由环卫部门清运处理。</w:t>
            </w:r>
          </w:p>
          <w:p w14:paraId="44195E28">
            <w:pPr>
              <w:pStyle w:val="40"/>
              <w:keepNext w:val="0"/>
              <w:keepLines w:val="0"/>
              <w:pageBreakBefore w:val="0"/>
              <w:widowControl w:val="0"/>
              <w:shd w:val="clear"/>
              <w:kinsoku/>
              <w:wordWrap w:val="0"/>
              <w:overflowPunct w:val="0"/>
              <w:topLinePunct/>
              <w:autoSpaceDE w:val="0"/>
              <w:autoSpaceDN w:val="0"/>
              <w:bidi w:val="0"/>
              <w:adjustRightInd w:val="0"/>
              <w:snapToGrid/>
              <w:spacing w:line="360" w:lineRule="auto"/>
              <w:ind w:firstLine="482" w:firstLineChars="200"/>
              <w:jc w:val="both"/>
              <w:textAlignment w:val="auto"/>
              <w:rPr>
                <w:rFonts w:hint="default" w:ascii="Times New Roman" w:hAnsi="Times New Roman" w:eastAsia="宋体" w:cs="Times New Roman"/>
                <w:color w:val="auto"/>
                <w:sz w:val="24"/>
                <w:szCs w:val="24"/>
                <w:highlight w:val="none"/>
                <w:lang w:val="en-US"/>
              </w:rPr>
            </w:pPr>
            <w:r>
              <w:rPr>
                <w:rFonts w:hint="default" w:ascii="Times New Roman" w:hAnsi="Times New Roman" w:eastAsia="宋体" w:cs="Times New Roman"/>
                <w:b/>
                <w:bCs/>
                <w:color w:val="auto"/>
                <w:kern w:val="0"/>
                <w:sz w:val="24"/>
                <w:szCs w:val="24"/>
                <w:highlight w:val="none"/>
                <w:lang w:val="en-US" w:eastAsia="zh-CN" w:bidi="ar-SA"/>
              </w:rPr>
              <w:t>一般固体废物：</w:t>
            </w:r>
          </w:p>
          <w:p w14:paraId="28F6A9FF">
            <w:pPr>
              <w:pStyle w:val="40"/>
              <w:wordWrap/>
              <w:overflowPunct/>
              <w:topLinePunct w:val="0"/>
              <w:spacing w:line="360" w:lineRule="auto"/>
              <w:ind w:firstLine="420" w:firstLineChars="200"/>
              <w:jc w:val="left"/>
              <w:rPr>
                <w:rFonts w:hint="eastAsia"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kern w:val="0"/>
                <w:sz w:val="21"/>
                <w:szCs w:val="21"/>
                <w:highlight w:val="none"/>
                <w:lang w:val="en-US" w:eastAsia="zh-CN" w:bidi="ar-SA"/>
              </w:rPr>
              <w:t>①</w:t>
            </w:r>
            <w:r>
              <w:rPr>
                <w:rFonts w:hint="default" w:ascii="Times New Roman" w:hAnsi="Times New Roman" w:eastAsia="宋体" w:cs="Times New Roman"/>
                <w:color w:val="auto"/>
                <w:sz w:val="21"/>
                <w:szCs w:val="21"/>
                <w:highlight w:val="none"/>
              </w:rPr>
              <w:t>废反渗透膜</w:t>
            </w:r>
          </w:p>
          <w:p w14:paraId="22D2B641">
            <w:pPr>
              <w:pStyle w:val="40"/>
              <w:wordWrap/>
              <w:overflowPunct/>
              <w:topLinePunct w:val="0"/>
              <w:spacing w:line="360" w:lineRule="auto"/>
              <w:ind w:firstLine="420" w:firstLineChars="200"/>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项目制纯水装置产生反渗透膜约1张/年，每张反渗透膜的重量约为2kg，因此产生</w:t>
            </w:r>
            <w:r>
              <w:rPr>
                <w:rFonts w:hint="eastAsia" w:ascii="Times New Roman" w:cs="Times New Roman"/>
                <w:color w:val="auto"/>
                <w:sz w:val="21"/>
                <w:szCs w:val="21"/>
                <w:highlight w:val="none"/>
                <w:lang w:val="en-US" w:eastAsia="zh-CN"/>
              </w:rPr>
              <w:t>废反</w:t>
            </w:r>
            <w:r>
              <w:rPr>
                <w:rFonts w:hint="default" w:ascii="Times New Roman" w:hAnsi="Times New Roman" w:eastAsia="宋体" w:cs="Times New Roman"/>
                <w:color w:val="auto"/>
                <w:sz w:val="21"/>
                <w:szCs w:val="21"/>
                <w:highlight w:val="none"/>
              </w:rPr>
              <w:t>渗透膜</w:t>
            </w:r>
            <w:r>
              <w:rPr>
                <w:rFonts w:hint="eastAsia" w:ascii="Times New Roman" w:cs="Times New Roman"/>
                <w:color w:val="auto"/>
                <w:sz w:val="21"/>
                <w:szCs w:val="21"/>
                <w:highlight w:val="none"/>
                <w:lang w:val="en-US" w:eastAsia="zh-CN"/>
              </w:rPr>
              <w:t>0.002t</w:t>
            </w:r>
            <w:r>
              <w:rPr>
                <w:rFonts w:hint="default" w:ascii="Times New Roman" w:hAnsi="Times New Roman" w:eastAsia="宋体" w:cs="Times New Roman"/>
                <w:color w:val="auto"/>
                <w:sz w:val="21"/>
                <w:szCs w:val="21"/>
                <w:highlight w:val="none"/>
              </w:rPr>
              <w:t>/</w:t>
            </w:r>
            <w:r>
              <w:rPr>
                <w:rFonts w:hint="eastAsia" w:ascii="Times New Roman" w:cs="Times New Roman"/>
                <w:color w:val="auto"/>
                <w:sz w:val="21"/>
                <w:szCs w:val="21"/>
                <w:highlight w:val="none"/>
                <w:lang w:val="en-US" w:eastAsia="zh-CN"/>
              </w:rPr>
              <w:t>a</w:t>
            </w:r>
            <w:r>
              <w:rPr>
                <w:rFonts w:hint="eastAsia" w:ascii="Times New Roman" w:hAnsi="Times New Roman" w:eastAsia="宋体" w:cs="Times New Roman"/>
                <w:color w:val="auto"/>
                <w:sz w:val="21"/>
                <w:szCs w:val="21"/>
                <w:highlight w:val="none"/>
                <w:lang w:eastAsia="zh-CN"/>
              </w:rPr>
              <w:t>。</w:t>
            </w:r>
          </w:p>
          <w:p w14:paraId="5FF5F5CE">
            <w:pPr>
              <w:keepNext w:val="0"/>
              <w:keepLines w:val="0"/>
              <w:pageBreakBefore w:val="0"/>
              <w:widowControl w:val="0"/>
              <w:kinsoku/>
              <w:bidi w:val="0"/>
              <w:snapToGrid/>
              <w:spacing w:line="360" w:lineRule="auto"/>
              <w:ind w:firstLine="420" w:firstLineChars="200"/>
              <w:jc w:val="left"/>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bidi="ar-SA"/>
              </w:rPr>
              <w:t>②</w:t>
            </w:r>
            <w:r>
              <w:rPr>
                <w:rFonts w:hint="eastAsia" w:cs="Times New Roman"/>
                <w:color w:val="auto"/>
                <w:kern w:val="0"/>
                <w:sz w:val="21"/>
                <w:szCs w:val="21"/>
                <w:highlight w:val="none"/>
                <w:lang w:val="en-US" w:eastAsia="zh-CN" w:bidi="ar-SA"/>
              </w:rPr>
              <w:t>废样品：项目样品检测过程中会产生废土壤样品、废固体废物样品。根据建设单位提供的资料，</w:t>
            </w:r>
            <w:r>
              <w:rPr>
                <w:rFonts w:hint="eastAsia" w:cs="Times New Roman"/>
                <w:color w:val="auto"/>
                <w:kern w:val="0"/>
                <w:sz w:val="21"/>
                <w:szCs w:val="21"/>
                <w:highlight w:val="none"/>
                <w:lang w:val="en-US" w:eastAsia="zh-CN" w:bidi="ar-SA"/>
              </w:rPr>
              <w:t>项目年检测</w:t>
            </w:r>
            <w:r>
              <w:rPr>
                <w:rFonts w:hint="eastAsia" w:cs="Times New Roman"/>
                <w:b w:val="0"/>
                <w:bCs/>
                <w:color w:val="auto"/>
                <w:sz w:val="21"/>
                <w:szCs w:val="21"/>
                <w:highlight w:val="none"/>
                <w:lang w:val="en-US" w:eastAsia="zh-CN"/>
              </w:rPr>
              <w:t>4</w:t>
            </w:r>
            <w:r>
              <w:rPr>
                <w:rFonts w:hint="default" w:ascii="Times New Roman" w:hAnsi="Times New Roman" w:eastAsia="宋体" w:cs="Times New Roman"/>
                <w:b w:val="0"/>
                <w:bCs/>
                <w:color w:val="auto"/>
                <w:sz w:val="21"/>
                <w:szCs w:val="21"/>
                <w:highlight w:val="none"/>
                <w:lang w:val="en-US" w:eastAsia="zh-CN"/>
              </w:rPr>
              <w:t>00份土壤样品、</w:t>
            </w:r>
            <w:r>
              <w:rPr>
                <w:rFonts w:hint="eastAsia" w:cs="Times New Roman"/>
                <w:b w:val="0"/>
                <w:bCs/>
                <w:color w:val="auto"/>
                <w:sz w:val="21"/>
                <w:szCs w:val="21"/>
                <w:highlight w:val="none"/>
                <w:lang w:val="en-US" w:eastAsia="zh-CN"/>
              </w:rPr>
              <w:t>4</w:t>
            </w:r>
            <w:r>
              <w:rPr>
                <w:rFonts w:hint="default" w:ascii="Times New Roman" w:hAnsi="Times New Roman" w:eastAsia="宋体" w:cs="Times New Roman"/>
                <w:b w:val="0"/>
                <w:bCs/>
                <w:color w:val="auto"/>
                <w:sz w:val="21"/>
                <w:szCs w:val="21"/>
                <w:highlight w:val="none"/>
                <w:lang w:val="en-US" w:eastAsia="zh-CN"/>
              </w:rPr>
              <w:t>00份固体废物样品</w:t>
            </w:r>
            <w:r>
              <w:rPr>
                <w:rFonts w:hint="eastAsia" w:cs="Times New Roman"/>
                <w:b w:val="0"/>
                <w:bCs/>
                <w:color w:val="auto"/>
                <w:sz w:val="21"/>
                <w:szCs w:val="21"/>
                <w:highlight w:val="none"/>
                <w:lang w:val="en-US" w:eastAsia="zh-CN"/>
              </w:rPr>
              <w:t>，</w:t>
            </w:r>
            <w:r>
              <w:rPr>
                <w:rFonts w:hint="eastAsia" w:cs="Times New Roman"/>
                <w:color w:val="auto"/>
                <w:kern w:val="0"/>
                <w:sz w:val="21"/>
                <w:szCs w:val="21"/>
                <w:highlight w:val="none"/>
                <w:lang w:val="en-US" w:eastAsia="zh-CN" w:bidi="ar-SA"/>
              </w:rPr>
              <w:t>单份土壤样品为1kg、单份固废样品为1kg，项目</w:t>
            </w:r>
            <w:r>
              <w:rPr>
                <w:rFonts w:hint="default" w:ascii="Times New Roman" w:hAnsi="Times New Roman" w:eastAsia="宋体" w:cs="Times New Roman"/>
                <w:color w:val="auto"/>
                <w:spacing w:val="6"/>
                <w:kern w:val="0"/>
                <w:sz w:val="21"/>
                <w:szCs w:val="21"/>
                <w:highlight w:val="none"/>
                <w:lang w:val="en-US" w:eastAsia="zh-CN" w:bidi="ar"/>
              </w:rPr>
              <w:t>实际用于实验分析</w:t>
            </w:r>
            <w:r>
              <w:rPr>
                <w:rFonts w:hint="eastAsia" w:cs="Times New Roman"/>
                <w:color w:val="auto"/>
                <w:kern w:val="0"/>
                <w:sz w:val="21"/>
                <w:szCs w:val="21"/>
                <w:highlight w:val="none"/>
                <w:lang w:val="en-US" w:eastAsia="zh-CN" w:bidi="ar-SA"/>
              </w:rPr>
              <w:t>土壤和固废样品</w:t>
            </w:r>
            <w:r>
              <w:rPr>
                <w:rFonts w:hint="default" w:ascii="Times New Roman" w:hAnsi="Times New Roman" w:eastAsia="宋体" w:cs="Times New Roman"/>
                <w:color w:val="auto"/>
                <w:spacing w:val="6"/>
                <w:kern w:val="0"/>
                <w:sz w:val="21"/>
                <w:szCs w:val="21"/>
                <w:highlight w:val="none"/>
                <w:lang w:val="en-US" w:eastAsia="zh-CN" w:bidi="ar"/>
              </w:rPr>
              <w:t>约占取样</w:t>
            </w:r>
            <w:r>
              <w:rPr>
                <w:rFonts w:hint="eastAsia" w:cs="Times New Roman"/>
                <w:color w:val="auto"/>
                <w:kern w:val="0"/>
                <w:sz w:val="21"/>
                <w:szCs w:val="21"/>
                <w:highlight w:val="none"/>
                <w:lang w:val="en-US" w:eastAsia="zh-CN" w:bidi="ar-SA"/>
              </w:rPr>
              <w:t>70%，30%未接触试剂的剩余固废、土壤样品产生作为一般固废处理。产生废土壤约0.12吨/年，产生的废固体废物样品约0.12吨/年。</w:t>
            </w:r>
            <w:r>
              <w:rPr>
                <w:rFonts w:hint="eastAsia" w:ascii="Times New Roman" w:hAnsi="Times New Roman" w:eastAsia="宋体" w:cs="Times New Roman"/>
                <w:color w:val="auto"/>
                <w:sz w:val="21"/>
                <w:szCs w:val="21"/>
                <w:highlight w:val="none"/>
                <w:lang w:val="en-US" w:eastAsia="zh-CN"/>
              </w:rPr>
              <w:t>则废样品产生量为0.</w:t>
            </w:r>
            <w:r>
              <w:rPr>
                <w:rFonts w:hint="eastAsia" w:cs="Times New Roman"/>
                <w:color w:val="auto"/>
                <w:sz w:val="21"/>
                <w:szCs w:val="21"/>
                <w:highlight w:val="none"/>
                <w:lang w:val="en-US" w:eastAsia="zh-CN"/>
              </w:rPr>
              <w:t>24</w:t>
            </w:r>
            <w:r>
              <w:rPr>
                <w:rFonts w:hint="eastAsia" w:ascii="Times New Roman" w:hAnsi="Times New Roman" w:eastAsia="宋体" w:cs="Times New Roman"/>
                <w:color w:val="auto"/>
                <w:sz w:val="21"/>
                <w:szCs w:val="21"/>
                <w:highlight w:val="none"/>
                <w:lang w:val="en-US" w:eastAsia="zh-CN"/>
              </w:rPr>
              <w:t>t/a</w:t>
            </w:r>
            <w:r>
              <w:rPr>
                <w:rFonts w:hint="default" w:ascii="Times New Roman" w:hAnsi="Times New Roman" w:eastAsia="宋体" w:cs="Times New Roman"/>
                <w:color w:val="auto"/>
                <w:sz w:val="21"/>
                <w:szCs w:val="21"/>
                <w:highlight w:val="none"/>
                <w:lang w:val="en-US" w:eastAsia="zh-CN"/>
              </w:rPr>
              <w:t>。</w:t>
            </w:r>
          </w:p>
          <w:p w14:paraId="047A1A44">
            <w:pPr>
              <w:keepNext w:val="0"/>
              <w:keepLines w:val="0"/>
              <w:pageBreakBefore w:val="0"/>
              <w:widowControl w:val="0"/>
              <w:numPr>
                <w:ilvl w:val="0"/>
                <w:numId w:val="0"/>
              </w:numPr>
              <w:suppressLineNumbers w:val="0"/>
              <w:shd w:val="clear"/>
              <w:kinsoku/>
              <w:wordWrap/>
              <w:overflowPunct/>
              <w:topLinePunct w:val="0"/>
              <w:autoSpaceDE/>
              <w:autoSpaceDN/>
              <w:bidi w:val="0"/>
              <w:adjustRightInd/>
              <w:snapToGrid/>
              <w:spacing w:before="0" w:beforeAutospacing="0" w:after="0" w:afterAutospacing="0" w:line="360" w:lineRule="auto"/>
              <w:ind w:left="0" w:leftChars="0" w:right="0" w:rightChars="0" w:firstLine="420" w:firstLineChars="200"/>
              <w:jc w:val="both"/>
              <w:textAlignment w:val="auto"/>
              <w:rPr>
                <w:rFonts w:hint="eastAsia" w:ascii="Times New Roman" w:cs="Times New Roman"/>
                <w:color w:val="auto"/>
                <w:kern w:val="0"/>
                <w:sz w:val="21"/>
                <w:szCs w:val="21"/>
                <w:highlight w:val="none"/>
                <w:lang w:val="en-US" w:eastAsia="zh-CN" w:bidi="ar-SA"/>
              </w:rPr>
            </w:pPr>
            <w:r>
              <w:rPr>
                <w:rFonts w:hint="eastAsia" w:ascii="Times New Roman" w:cs="Times New Roman"/>
                <w:color w:val="auto"/>
                <w:kern w:val="0"/>
                <w:sz w:val="21"/>
                <w:szCs w:val="21"/>
                <w:highlight w:val="none"/>
                <w:lang w:val="en-US" w:eastAsia="zh-CN" w:bidi="ar-SA"/>
              </w:rPr>
              <w:t>③废气瓶：项目使用氩气、乙炔、</w:t>
            </w:r>
            <w:r>
              <w:rPr>
                <w:rFonts w:hint="eastAsia" w:cs="Times New Roman"/>
                <w:color w:val="auto"/>
                <w:kern w:val="0"/>
                <w:sz w:val="21"/>
                <w:szCs w:val="21"/>
                <w:highlight w:val="none"/>
                <w:lang w:val="en-US" w:eastAsia="zh-CN" w:bidi="ar-SA"/>
              </w:rPr>
              <w:t>氮气、氦气</w:t>
            </w:r>
            <w:r>
              <w:rPr>
                <w:rFonts w:hint="eastAsia" w:ascii="Times New Roman" w:cs="Times New Roman"/>
                <w:color w:val="auto"/>
                <w:kern w:val="0"/>
                <w:sz w:val="21"/>
                <w:szCs w:val="21"/>
                <w:highlight w:val="none"/>
                <w:lang w:val="en-US" w:eastAsia="zh-CN" w:bidi="ar-SA"/>
              </w:rPr>
              <w:t>，产生相应的废气瓶。</w:t>
            </w:r>
            <w:r>
              <w:rPr>
                <w:rFonts w:hint="eastAsia" w:cs="Times New Roman"/>
                <w:color w:val="auto"/>
                <w:kern w:val="0"/>
                <w:sz w:val="21"/>
                <w:szCs w:val="21"/>
                <w:highlight w:val="none"/>
                <w:lang w:val="en-US" w:eastAsia="zh-CN" w:bidi="ar-SA"/>
              </w:rPr>
              <w:t>氮气、氦气、</w:t>
            </w:r>
            <w:r>
              <w:rPr>
                <w:rFonts w:hint="eastAsia" w:ascii="Times New Roman" w:cs="Times New Roman"/>
                <w:color w:val="auto"/>
                <w:kern w:val="0"/>
                <w:sz w:val="21"/>
                <w:szCs w:val="21"/>
                <w:highlight w:val="none"/>
                <w:lang w:val="en-US" w:eastAsia="zh-CN" w:bidi="ar-SA"/>
              </w:rPr>
              <w:t>氩气</w:t>
            </w:r>
            <w:r>
              <w:rPr>
                <w:rFonts w:hint="eastAsia" w:cs="Times New Roman"/>
                <w:color w:val="auto"/>
                <w:kern w:val="0"/>
                <w:sz w:val="21"/>
                <w:szCs w:val="21"/>
                <w:highlight w:val="none"/>
                <w:lang w:val="en-US" w:eastAsia="zh-CN" w:bidi="ar-SA"/>
              </w:rPr>
              <w:t>的</w:t>
            </w:r>
            <w:r>
              <w:rPr>
                <w:rFonts w:hint="eastAsia" w:ascii="Times New Roman" w:cs="Times New Roman"/>
                <w:color w:val="auto"/>
                <w:kern w:val="0"/>
                <w:sz w:val="21"/>
                <w:szCs w:val="21"/>
                <w:highlight w:val="none"/>
                <w:lang w:val="en-US" w:eastAsia="zh-CN" w:bidi="ar-SA"/>
              </w:rPr>
              <w:t>瓶重量</w:t>
            </w:r>
            <w:r>
              <w:rPr>
                <w:rFonts w:hint="eastAsia" w:cs="Times New Roman"/>
                <w:color w:val="auto"/>
                <w:kern w:val="0"/>
                <w:sz w:val="21"/>
                <w:szCs w:val="21"/>
                <w:highlight w:val="none"/>
                <w:lang w:val="en-US" w:eastAsia="zh-CN" w:bidi="ar-SA"/>
              </w:rPr>
              <w:t>均</w:t>
            </w:r>
            <w:r>
              <w:rPr>
                <w:rFonts w:hint="eastAsia" w:ascii="Times New Roman" w:cs="Times New Roman"/>
                <w:color w:val="auto"/>
                <w:kern w:val="0"/>
                <w:sz w:val="21"/>
                <w:szCs w:val="21"/>
                <w:highlight w:val="none"/>
                <w:lang w:val="en-US" w:eastAsia="zh-CN" w:bidi="ar-SA"/>
              </w:rPr>
              <w:t>为50kg，每年</w:t>
            </w:r>
            <w:r>
              <w:rPr>
                <w:rFonts w:hint="eastAsia" w:cs="Times New Roman"/>
                <w:color w:val="auto"/>
                <w:kern w:val="0"/>
                <w:sz w:val="21"/>
                <w:szCs w:val="21"/>
                <w:highlight w:val="none"/>
                <w:lang w:val="en-US" w:eastAsia="zh-CN" w:bidi="ar-SA"/>
              </w:rPr>
              <w:t>均</w:t>
            </w:r>
            <w:r>
              <w:rPr>
                <w:rFonts w:hint="eastAsia" w:ascii="Times New Roman" w:cs="Times New Roman"/>
                <w:color w:val="auto"/>
                <w:kern w:val="0"/>
                <w:sz w:val="21"/>
                <w:szCs w:val="21"/>
                <w:highlight w:val="none"/>
                <w:lang w:val="en-US" w:eastAsia="zh-CN" w:bidi="ar-SA"/>
              </w:rPr>
              <w:t>使用一瓶，总重量为</w:t>
            </w:r>
            <w:r>
              <w:rPr>
                <w:rFonts w:hint="eastAsia" w:cs="Times New Roman"/>
                <w:color w:val="auto"/>
                <w:kern w:val="0"/>
                <w:sz w:val="21"/>
                <w:szCs w:val="21"/>
                <w:highlight w:val="none"/>
                <w:lang w:val="en-US" w:eastAsia="zh-CN" w:bidi="ar-SA"/>
              </w:rPr>
              <w:t>150</w:t>
            </w:r>
            <w:r>
              <w:rPr>
                <w:rFonts w:hint="eastAsia" w:ascii="Times New Roman" w:cs="Times New Roman"/>
                <w:color w:val="auto"/>
                <w:kern w:val="0"/>
                <w:sz w:val="21"/>
                <w:szCs w:val="21"/>
                <w:highlight w:val="none"/>
                <w:lang w:val="en-US" w:eastAsia="zh-CN" w:bidi="ar-SA"/>
              </w:rPr>
              <w:t>kg/a；乙炔瓶重量为56kg，每年使用一瓶，总重量为56kg/a。以上废气瓶总重量为</w:t>
            </w:r>
            <w:r>
              <w:rPr>
                <w:rFonts w:hint="eastAsia" w:cs="Times New Roman"/>
                <w:color w:val="auto"/>
                <w:kern w:val="0"/>
                <w:sz w:val="21"/>
                <w:szCs w:val="21"/>
                <w:highlight w:val="none"/>
                <w:lang w:val="en-US" w:eastAsia="zh-CN" w:bidi="ar-SA"/>
              </w:rPr>
              <w:t>0.206t</w:t>
            </w:r>
            <w:r>
              <w:rPr>
                <w:rFonts w:hint="eastAsia" w:ascii="Times New Roman" w:cs="Times New Roman"/>
                <w:color w:val="auto"/>
                <w:kern w:val="0"/>
                <w:sz w:val="21"/>
                <w:szCs w:val="21"/>
                <w:highlight w:val="none"/>
                <w:lang w:val="en-US" w:eastAsia="zh-CN" w:bidi="ar-SA"/>
              </w:rPr>
              <w:t>/a，交由供应商回收利用。</w:t>
            </w:r>
          </w:p>
          <w:p w14:paraId="3F0F454B">
            <w:pPr>
              <w:keepNext w:val="0"/>
              <w:keepLines w:val="0"/>
              <w:pageBreakBefore w:val="0"/>
              <w:widowControl w:val="0"/>
              <w:numPr>
                <w:ilvl w:val="0"/>
                <w:numId w:val="0"/>
              </w:numPr>
              <w:suppressLineNumbers w:val="0"/>
              <w:shd w:val="clear"/>
              <w:kinsoku/>
              <w:wordWrap/>
              <w:overflowPunct/>
              <w:topLinePunct w:val="0"/>
              <w:autoSpaceDE/>
              <w:autoSpaceDN/>
              <w:bidi w:val="0"/>
              <w:adjustRightInd/>
              <w:snapToGrid/>
              <w:spacing w:before="0" w:beforeAutospacing="0" w:after="0" w:afterAutospacing="0" w:line="360" w:lineRule="auto"/>
              <w:ind w:left="0" w:leftChars="0" w:right="0" w:rightChars="0" w:firstLine="420" w:firstLineChars="200"/>
              <w:jc w:val="both"/>
              <w:textAlignment w:val="auto"/>
              <w:rPr>
                <w:rFonts w:hint="eastAsia"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④废包装材料</w:t>
            </w:r>
          </w:p>
          <w:p w14:paraId="77F98F4E">
            <w:pPr>
              <w:keepNext w:val="0"/>
              <w:keepLines w:val="0"/>
              <w:pageBreakBefore w:val="0"/>
              <w:widowControl w:val="0"/>
              <w:numPr>
                <w:ilvl w:val="0"/>
                <w:numId w:val="0"/>
              </w:numPr>
              <w:suppressLineNumbers w:val="0"/>
              <w:shd w:val="clear"/>
              <w:kinsoku/>
              <w:wordWrap/>
              <w:overflowPunct/>
              <w:topLinePunct w:val="0"/>
              <w:autoSpaceDE/>
              <w:autoSpaceDN/>
              <w:bidi w:val="0"/>
              <w:adjustRightInd/>
              <w:snapToGrid/>
              <w:spacing w:before="0" w:beforeAutospacing="0" w:after="0" w:afterAutospacing="0" w:line="360" w:lineRule="auto"/>
              <w:ind w:left="0" w:leftChars="0" w:right="0" w:rightChars="0" w:firstLine="420" w:firstLineChars="200"/>
              <w:jc w:val="both"/>
              <w:textAlignment w:val="auto"/>
              <w:rPr>
                <w:rFonts w:hint="default"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项目原辅材料拆包会产生未沾染任何化学物质的废包装材料（主要为纸箱），根据企业提供的资料，废包装材料产生量约为3kg/d，项目年工作300天，则年产生废包装材料约为0.9t/a。</w:t>
            </w:r>
          </w:p>
          <w:p w14:paraId="2B972D95">
            <w:pPr>
              <w:pStyle w:val="42"/>
              <w:spacing w:line="360" w:lineRule="auto"/>
              <w:ind w:firstLine="420" w:firstLineChars="200"/>
              <w:jc w:val="left"/>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营运期产生的废反渗透膜</w:t>
            </w:r>
            <w:r>
              <w:rPr>
                <w:rFonts w:hint="default" w:ascii="Times New Roman" w:hAnsi="Times New Roman" w:cs="Times New Roman"/>
                <w:color w:val="auto"/>
                <w:sz w:val="21"/>
                <w:szCs w:val="21"/>
                <w:highlight w:val="none"/>
                <w:lang w:eastAsia="zh-CN"/>
              </w:rPr>
              <w:t>、</w:t>
            </w:r>
            <w:r>
              <w:rPr>
                <w:rFonts w:hint="default" w:ascii="Times New Roman" w:hAnsi="Times New Roman" w:eastAsia="宋体" w:cs="Times New Roman"/>
                <w:snapToGrid w:val="0"/>
                <w:color w:val="auto"/>
                <w:kern w:val="2"/>
                <w:sz w:val="21"/>
                <w:szCs w:val="21"/>
                <w:highlight w:val="none"/>
                <w:lang w:val="en-US" w:eastAsia="zh-CN" w:bidi="ar-SA"/>
              </w:rPr>
              <w:t>废</w:t>
            </w:r>
            <w:r>
              <w:rPr>
                <w:rFonts w:hint="eastAsia" w:ascii="Times New Roman" w:hAnsi="Times New Roman" w:cs="Times New Roman"/>
                <w:snapToGrid w:val="0"/>
                <w:color w:val="auto"/>
                <w:kern w:val="2"/>
                <w:sz w:val="21"/>
                <w:szCs w:val="21"/>
                <w:highlight w:val="none"/>
                <w:lang w:val="en-US" w:eastAsia="zh-CN" w:bidi="ar-SA"/>
              </w:rPr>
              <w:t>样品</w:t>
            </w:r>
            <w:r>
              <w:rPr>
                <w:rFonts w:hint="eastAsia" w:ascii="Times New Roman" w:hAnsi="Times New Roman" w:eastAsia="宋体" w:cs="Times New Roman"/>
                <w:snapToGrid w:val="0"/>
                <w:color w:val="auto"/>
                <w:kern w:val="2"/>
                <w:sz w:val="21"/>
                <w:szCs w:val="21"/>
                <w:highlight w:val="none"/>
                <w:lang w:val="en-US" w:eastAsia="zh-CN" w:bidi="ar-SA"/>
              </w:rPr>
              <w:t>、废</w:t>
            </w:r>
            <w:r>
              <w:rPr>
                <w:rFonts w:hint="eastAsia" w:ascii="Times New Roman" w:hAnsi="Times New Roman" w:cs="Times New Roman"/>
                <w:snapToGrid w:val="0"/>
                <w:color w:val="auto"/>
                <w:kern w:val="2"/>
                <w:sz w:val="21"/>
                <w:szCs w:val="21"/>
                <w:highlight w:val="none"/>
                <w:lang w:val="en-US" w:eastAsia="zh-CN" w:bidi="ar-SA"/>
              </w:rPr>
              <w:t>气</w:t>
            </w:r>
            <w:r>
              <w:rPr>
                <w:rFonts w:hint="eastAsia" w:ascii="Times New Roman" w:hAnsi="Times New Roman" w:eastAsia="宋体" w:cs="Times New Roman"/>
                <w:snapToGrid w:val="0"/>
                <w:color w:val="auto"/>
                <w:kern w:val="2"/>
                <w:sz w:val="21"/>
                <w:szCs w:val="21"/>
                <w:highlight w:val="none"/>
                <w:lang w:val="en-US" w:eastAsia="zh-CN" w:bidi="ar-SA"/>
              </w:rPr>
              <w:t>瓶</w:t>
            </w:r>
            <w:r>
              <w:rPr>
                <w:rFonts w:hint="eastAsia" w:ascii="Times New Roman" w:hAnsi="Times New Roman" w:cs="Times New Roman"/>
                <w:snapToGrid w:val="0"/>
                <w:color w:val="auto"/>
                <w:kern w:val="2"/>
                <w:sz w:val="21"/>
                <w:szCs w:val="21"/>
                <w:highlight w:val="none"/>
                <w:lang w:val="en-US" w:eastAsia="zh-CN" w:bidi="ar-SA"/>
              </w:rPr>
              <w:t>、废包装材料</w:t>
            </w:r>
            <w:r>
              <w:rPr>
                <w:rFonts w:hint="default" w:ascii="Times New Roman" w:hAnsi="Times New Roman" w:cs="Times New Roman"/>
                <w:color w:val="auto"/>
                <w:sz w:val="21"/>
                <w:szCs w:val="21"/>
                <w:highlight w:val="none"/>
              </w:rPr>
              <w:t>属于一般工业固体废物，废反渗透膜</w:t>
            </w:r>
            <w:r>
              <w:rPr>
                <w:rFonts w:hint="default" w:ascii="Times New Roman" w:hAnsi="Times New Roman" w:cs="Times New Roman"/>
                <w:color w:val="auto"/>
                <w:sz w:val="21"/>
                <w:szCs w:val="21"/>
                <w:highlight w:val="none"/>
                <w:lang w:eastAsia="zh-CN"/>
              </w:rPr>
              <w:t>、</w:t>
            </w:r>
            <w:r>
              <w:rPr>
                <w:rFonts w:hint="default" w:ascii="Times New Roman" w:hAnsi="Times New Roman" w:eastAsia="宋体" w:cs="Times New Roman"/>
                <w:snapToGrid w:val="0"/>
                <w:color w:val="auto"/>
                <w:kern w:val="2"/>
                <w:sz w:val="21"/>
                <w:szCs w:val="21"/>
                <w:highlight w:val="none"/>
                <w:lang w:val="en-US" w:eastAsia="zh-CN" w:bidi="ar-SA"/>
              </w:rPr>
              <w:t>废</w:t>
            </w:r>
            <w:r>
              <w:rPr>
                <w:rFonts w:hint="eastAsia" w:cs="Times New Roman"/>
                <w:color w:val="auto"/>
                <w:kern w:val="0"/>
                <w:sz w:val="21"/>
                <w:szCs w:val="21"/>
                <w:highlight w:val="none"/>
                <w:lang w:val="en-US" w:eastAsia="zh-CN" w:bidi="ar-SA"/>
              </w:rPr>
              <w:t>样品废物、废包装材料</w:t>
            </w:r>
            <w:r>
              <w:rPr>
                <w:rFonts w:hint="default" w:ascii="Times New Roman" w:hAnsi="Times New Roman" w:cs="Times New Roman"/>
                <w:color w:val="auto"/>
                <w:sz w:val="21"/>
                <w:szCs w:val="21"/>
                <w:highlight w:val="none"/>
              </w:rPr>
              <w:t>交由有一般工业固体废物处理单位进行处理</w:t>
            </w:r>
            <w:r>
              <w:rPr>
                <w:rFonts w:hint="eastAsia" w:ascii="Times New Roman" w:hAnsi="Times New Roman" w:cs="Times New Roman"/>
                <w:color w:val="auto"/>
                <w:sz w:val="21"/>
                <w:szCs w:val="21"/>
                <w:highlight w:val="none"/>
                <w:lang w:eastAsia="zh-CN"/>
              </w:rPr>
              <w:t>；</w:t>
            </w:r>
            <w:r>
              <w:rPr>
                <w:rFonts w:hint="eastAsia" w:ascii="Times New Roman" w:hAnsi="Times New Roman" w:cs="Times New Roman"/>
                <w:color w:val="auto"/>
                <w:sz w:val="21"/>
                <w:szCs w:val="21"/>
                <w:highlight w:val="none"/>
                <w:lang w:val="en-US" w:eastAsia="zh-CN"/>
              </w:rPr>
              <w:t>废气瓶交回供应商回收利用</w:t>
            </w:r>
            <w:r>
              <w:rPr>
                <w:rFonts w:hint="default" w:ascii="Times New Roman" w:hAnsi="Times New Roman" w:cs="Times New Roman"/>
                <w:color w:val="auto"/>
                <w:sz w:val="21"/>
                <w:szCs w:val="21"/>
                <w:highlight w:val="none"/>
              </w:rPr>
              <w:t>；一般工业固废贮存采取防扬散、防流失、防渗漏或者其他防止污染环境的措施；不得擅自倾倒、堆放、丢弃、遗撒固体废物。</w:t>
            </w:r>
          </w:p>
          <w:p w14:paraId="28433445">
            <w:pPr>
              <w:keepNext w:val="0"/>
              <w:keepLines w:val="0"/>
              <w:pageBreakBefore w:val="0"/>
              <w:widowControl/>
              <w:shd w:val="clear"/>
              <w:kinsoku/>
              <w:wordWrap/>
              <w:overflowPunct/>
              <w:topLinePunct w:val="0"/>
              <w:autoSpaceDE/>
              <w:autoSpaceDN/>
              <w:bidi w:val="0"/>
              <w:adjustRightInd/>
              <w:snapToGrid w:val="0"/>
              <w:spacing w:before="0" w:beforeLines="0" w:after="0" w:line="360" w:lineRule="auto"/>
              <w:ind w:right="0" w:firstLine="482" w:firstLineChars="200"/>
              <w:jc w:val="both"/>
              <w:textAlignment w:val="auto"/>
              <w:rPr>
                <w:rFonts w:hint="default" w:ascii="Times New Roman" w:hAnsi="Times New Roman" w:eastAsia="宋体" w:cs="Times New Roman"/>
                <w:b/>
                <w:bCs/>
                <w:color w:val="auto"/>
                <w:kern w:val="0"/>
                <w:sz w:val="24"/>
                <w:szCs w:val="24"/>
                <w:highlight w:val="none"/>
                <w:lang w:val="en-US" w:eastAsia="zh-CN" w:bidi="ar-SA"/>
              </w:rPr>
            </w:pPr>
            <w:r>
              <w:rPr>
                <w:rFonts w:hint="default" w:ascii="Times New Roman" w:hAnsi="Times New Roman" w:eastAsia="宋体" w:cs="Times New Roman"/>
                <w:b/>
                <w:bCs/>
                <w:color w:val="auto"/>
                <w:kern w:val="0"/>
                <w:sz w:val="24"/>
                <w:szCs w:val="24"/>
                <w:highlight w:val="none"/>
                <w:lang w:val="en-US" w:eastAsia="zh-CN" w:bidi="ar-SA"/>
              </w:rPr>
              <w:t>危险废物：</w:t>
            </w:r>
          </w:p>
          <w:p w14:paraId="693BE040">
            <w:pPr>
              <w:pStyle w:val="42"/>
              <w:keepNext w:val="0"/>
              <w:keepLines w:val="0"/>
              <w:pageBreakBefore w:val="0"/>
              <w:widowControl w:val="0"/>
              <w:kinsoku/>
              <w:bidi w:val="0"/>
              <w:snapToGrid/>
              <w:spacing w:line="360" w:lineRule="auto"/>
              <w:ind w:firstLine="420" w:firstLineChars="200"/>
              <w:jc w:val="left"/>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fldChar w:fldCharType="begin"/>
            </w:r>
            <w:r>
              <w:rPr>
                <w:rFonts w:hint="default" w:ascii="Times New Roman" w:hAnsi="Times New Roman" w:eastAsia="宋体" w:cs="Times New Roman"/>
                <w:color w:val="auto"/>
                <w:sz w:val="21"/>
                <w:szCs w:val="21"/>
                <w:highlight w:val="none"/>
              </w:rPr>
              <w:instrText xml:space="preserve"> = 1 \* GB3 \* MERGEFORMAT </w:instrText>
            </w:r>
            <w:r>
              <w:rPr>
                <w:rFonts w:hint="default" w:ascii="Times New Roman" w:hAnsi="Times New Roman" w:eastAsia="宋体" w:cs="Times New Roman"/>
                <w:color w:val="auto"/>
                <w:sz w:val="21"/>
                <w:szCs w:val="21"/>
                <w:highlight w:val="none"/>
              </w:rPr>
              <w:fldChar w:fldCharType="separate"/>
            </w:r>
            <w:r>
              <w:rPr>
                <w:rFonts w:hint="default" w:ascii="Times New Roman" w:hAnsi="Times New Roman" w:eastAsia="宋体" w:cs="Times New Roman"/>
                <w:color w:val="auto"/>
                <w:sz w:val="21"/>
                <w:szCs w:val="21"/>
                <w:highlight w:val="none"/>
              </w:rPr>
              <w:t>①</w:t>
            </w:r>
            <w:r>
              <w:rPr>
                <w:rFonts w:hint="default" w:ascii="Times New Roman" w:hAnsi="Times New Roman" w:eastAsia="宋体" w:cs="Times New Roman"/>
                <w:color w:val="auto"/>
                <w:sz w:val="21"/>
                <w:szCs w:val="21"/>
                <w:highlight w:val="none"/>
              </w:rPr>
              <w:fldChar w:fldCharType="end"/>
            </w:r>
            <w:r>
              <w:rPr>
                <w:rFonts w:hint="default" w:ascii="Times New Roman" w:hAnsi="Times New Roman" w:eastAsia="宋体" w:cs="Times New Roman"/>
                <w:color w:val="auto"/>
                <w:sz w:val="21"/>
                <w:szCs w:val="21"/>
                <w:highlight w:val="none"/>
              </w:rPr>
              <w:t>实验废物</w:t>
            </w:r>
            <w:r>
              <w:rPr>
                <w:rFonts w:hint="eastAsia"/>
                <w:color w:val="auto"/>
                <w:sz w:val="21"/>
                <w:szCs w:val="21"/>
                <w:highlight w:val="none"/>
                <w:lang w:eastAsia="zh-CN"/>
              </w:rPr>
              <w:t>（</w:t>
            </w:r>
            <w:r>
              <w:rPr>
                <w:rFonts w:hint="eastAsia"/>
                <w:color w:val="auto"/>
                <w:sz w:val="21"/>
                <w:szCs w:val="21"/>
                <w:highlight w:val="none"/>
                <w:lang w:val="en-US" w:eastAsia="zh-CN"/>
              </w:rPr>
              <w:t>含废液</w:t>
            </w:r>
            <w:r>
              <w:rPr>
                <w:rFonts w:hint="eastAsia"/>
                <w:color w:val="auto"/>
                <w:sz w:val="21"/>
                <w:szCs w:val="21"/>
                <w:highlight w:val="none"/>
                <w:lang w:eastAsia="zh-CN"/>
              </w:rPr>
              <w:t>）</w:t>
            </w:r>
            <w:r>
              <w:rPr>
                <w:rFonts w:hint="default" w:ascii="Times New Roman" w:hAnsi="Times New Roman"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主要为实验过程中产生的实验废液</w:t>
            </w:r>
            <w:r>
              <w:rPr>
                <w:rFonts w:hint="default" w:ascii="Times New Roman" w:hAnsi="Times New Roman" w:eastAsia="宋体" w:cs="Times New Roman"/>
                <w:color w:val="auto"/>
                <w:sz w:val="21"/>
                <w:szCs w:val="21"/>
                <w:highlight w:val="none"/>
                <w:lang w:val="en-US" w:eastAsia="zh-CN"/>
              </w:rPr>
              <w:t>，实验用的一次性手套</w:t>
            </w:r>
            <w:r>
              <w:rPr>
                <w:rFonts w:hint="default" w:ascii="Times New Roman" w:hAnsi="Times New Roman" w:eastAsia="宋体" w:cs="Times New Roman"/>
                <w:color w:val="auto"/>
                <w:sz w:val="21"/>
                <w:szCs w:val="21"/>
                <w:highlight w:val="none"/>
              </w:rPr>
              <w:t>等</w:t>
            </w:r>
            <w:r>
              <w:rPr>
                <w:rFonts w:hint="default" w:ascii="Times New Roman" w:hAnsi="Times New Roman" w:eastAsia="宋体" w:cs="Times New Roman"/>
                <w:color w:val="auto"/>
                <w:sz w:val="21"/>
                <w:szCs w:val="21"/>
                <w:highlight w:val="none"/>
                <w:lang w:val="en-US" w:eastAsia="zh-CN"/>
              </w:rPr>
              <w:t>实验废物</w:t>
            </w:r>
            <w:r>
              <w:rPr>
                <w:rFonts w:hint="default" w:ascii="Times New Roman" w:hAnsi="Times New Roman" w:eastAsia="宋体" w:cs="Times New Roman"/>
                <w:color w:val="auto"/>
                <w:sz w:val="21"/>
                <w:szCs w:val="21"/>
                <w:highlight w:val="none"/>
              </w:rPr>
              <w:t>产生量约</w:t>
            </w:r>
            <w:r>
              <w:rPr>
                <w:rFonts w:hint="eastAsia" w:ascii="Times New Roman" w:hAnsi="Times New Roman" w:cs="Times New Roman"/>
                <w:color w:val="auto"/>
                <w:sz w:val="21"/>
                <w:szCs w:val="21"/>
                <w:highlight w:val="none"/>
                <w:lang w:val="en-US" w:eastAsia="zh-CN"/>
              </w:rPr>
              <w:t>1.536</w:t>
            </w:r>
            <w:r>
              <w:rPr>
                <w:rFonts w:hint="default" w:ascii="Times New Roman" w:hAnsi="Times New Roman" w:eastAsia="宋体" w:cs="Times New Roman"/>
                <w:color w:val="auto"/>
                <w:sz w:val="21"/>
                <w:szCs w:val="21"/>
                <w:highlight w:val="none"/>
              </w:rPr>
              <w:t>吨/年</w:t>
            </w:r>
            <w:r>
              <w:rPr>
                <w:rFonts w:hint="eastAsia" w:ascii="Times New Roman" w:hAnsi="Times New Roman" w:eastAsia="宋体" w:cs="Times New Roman"/>
                <w:color w:val="auto"/>
                <w:sz w:val="21"/>
                <w:szCs w:val="21"/>
                <w:highlight w:val="none"/>
                <w:lang w:eastAsia="zh-CN"/>
              </w:rPr>
              <w:t>。</w:t>
            </w:r>
          </w:p>
          <w:p w14:paraId="7E861C6F">
            <w:pPr>
              <w:keepNext w:val="0"/>
              <w:keepLines w:val="0"/>
              <w:pageBreakBefore w:val="0"/>
              <w:widowControl w:val="0"/>
              <w:kinsoku/>
              <w:bidi w:val="0"/>
              <w:snapToGrid/>
              <w:spacing w:line="360" w:lineRule="auto"/>
              <w:ind w:firstLine="420" w:firstLineChars="200"/>
              <w:jc w:val="left"/>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1）项目实验废液包括普通检测水样</w:t>
            </w:r>
            <w:r>
              <w:rPr>
                <w:rFonts w:hint="default" w:ascii="Times New Roman" w:hAnsi="Times New Roman" w:cs="Times New Roman"/>
                <w:color w:val="auto"/>
                <w:sz w:val="21"/>
                <w:szCs w:val="21"/>
                <w:highlight w:val="none"/>
                <w:lang w:val="en-US" w:eastAsia="zh-CN"/>
              </w:rPr>
              <w:t>手工清洗润洗废液</w:t>
            </w:r>
            <w:r>
              <w:rPr>
                <w:rFonts w:hint="default" w:ascii="Times New Roman" w:hAnsi="Times New Roman" w:eastAsia="宋体" w:cs="Times New Roman"/>
                <w:color w:val="auto"/>
                <w:kern w:val="0"/>
                <w:sz w:val="21"/>
                <w:szCs w:val="21"/>
                <w:highlight w:val="none"/>
                <w:lang w:val="en-US" w:eastAsia="zh-CN" w:bidi="ar"/>
              </w:rPr>
              <w:t>0.</w:t>
            </w:r>
            <w:r>
              <w:rPr>
                <w:rFonts w:hint="eastAsia" w:cs="Times New Roman"/>
                <w:color w:val="auto"/>
                <w:kern w:val="0"/>
                <w:sz w:val="21"/>
                <w:szCs w:val="21"/>
                <w:highlight w:val="none"/>
                <w:lang w:val="en-US" w:eastAsia="zh-CN" w:bidi="ar"/>
              </w:rPr>
              <w:t>432</w:t>
            </w:r>
            <w:r>
              <w:rPr>
                <w:rFonts w:hint="default" w:ascii="Times New Roman" w:hAnsi="Times New Roman" w:eastAsia="宋体" w:cs="Times New Roman"/>
                <w:color w:val="auto"/>
                <w:kern w:val="0"/>
                <w:sz w:val="21"/>
                <w:szCs w:val="21"/>
                <w:highlight w:val="none"/>
                <w:lang w:val="en-US" w:eastAsia="zh-CN" w:bidi="ar"/>
              </w:rPr>
              <w:t>/a</w:t>
            </w:r>
            <w:r>
              <w:rPr>
                <w:rFonts w:hint="default"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kern w:val="0"/>
                <w:sz w:val="21"/>
                <w:szCs w:val="21"/>
                <w:highlight w:val="none"/>
                <w:lang w:val="en-US" w:eastAsia="zh-CN" w:bidi="ar"/>
              </w:rPr>
              <w:t>涉使用重金属试剂检测水样清洗废液</w:t>
            </w:r>
            <w:r>
              <w:rPr>
                <w:rFonts w:hint="default" w:ascii="Times New Roman" w:hAnsi="Times New Roman" w:eastAsia="宋体" w:cs="Times New Roman"/>
                <w:color w:val="auto"/>
                <w:kern w:val="0"/>
                <w:sz w:val="21"/>
                <w:szCs w:val="21"/>
                <w:highlight w:val="none"/>
                <w:lang w:val="en-US" w:eastAsia="zh-CN" w:bidi="ar"/>
              </w:rPr>
              <w:t>0.</w:t>
            </w:r>
            <w:r>
              <w:rPr>
                <w:rFonts w:hint="eastAsia" w:cs="Times New Roman"/>
                <w:color w:val="auto"/>
                <w:kern w:val="0"/>
                <w:sz w:val="21"/>
                <w:szCs w:val="21"/>
                <w:highlight w:val="none"/>
                <w:lang w:val="en-US" w:eastAsia="zh-CN" w:bidi="ar"/>
              </w:rPr>
              <w:t>378</w:t>
            </w:r>
            <w:r>
              <w:rPr>
                <w:rFonts w:hint="default" w:ascii="Times New Roman" w:hAnsi="Times New Roman" w:eastAsia="宋体" w:cs="Times New Roman"/>
                <w:color w:val="auto"/>
                <w:kern w:val="0"/>
                <w:sz w:val="21"/>
                <w:szCs w:val="21"/>
                <w:highlight w:val="none"/>
                <w:lang w:val="en-US" w:eastAsia="zh-CN" w:bidi="ar"/>
              </w:rPr>
              <w:t>t/a</w:t>
            </w:r>
            <w:r>
              <w:rPr>
                <w:rFonts w:hint="default" w:ascii="Times New Roman" w:hAnsi="Times New Roman" w:eastAsia="宋体" w:cs="Times New Roman"/>
                <w:color w:val="auto"/>
                <w:kern w:val="0"/>
                <w:sz w:val="21"/>
                <w:szCs w:val="21"/>
                <w:highlight w:val="none"/>
                <w:lang w:val="en-US" w:eastAsia="zh-CN" w:bidi="ar"/>
              </w:rPr>
              <w:t>、</w:t>
            </w:r>
            <w:r>
              <w:rPr>
                <w:rFonts w:hint="default" w:ascii="Times New Roman" w:hAnsi="Times New Roman" w:cs="Times New Roman"/>
                <w:color w:val="auto"/>
                <w:sz w:val="21"/>
                <w:szCs w:val="21"/>
                <w:highlight w:val="none"/>
                <w:lang w:val="en-US" w:eastAsia="zh-CN"/>
              </w:rPr>
              <w:t>实验室检测废液</w:t>
            </w:r>
            <w:r>
              <w:rPr>
                <w:rFonts w:hint="default" w:ascii="Times New Roman" w:hAnsi="Times New Roman" w:eastAsia="宋体" w:cs="Times New Roman"/>
                <w:color w:val="auto"/>
                <w:sz w:val="21"/>
                <w:szCs w:val="21"/>
                <w:highlight w:val="none"/>
                <w:lang w:val="en-US" w:eastAsia="zh-CN"/>
              </w:rPr>
              <w:t>0.</w:t>
            </w:r>
            <w:r>
              <w:rPr>
                <w:rFonts w:hint="eastAsia" w:cs="Times New Roman"/>
                <w:color w:val="auto"/>
                <w:sz w:val="21"/>
                <w:szCs w:val="21"/>
                <w:highlight w:val="none"/>
                <w:lang w:val="en-US" w:eastAsia="zh-CN"/>
              </w:rPr>
              <w:t>656</w:t>
            </w:r>
            <w:r>
              <w:rPr>
                <w:rFonts w:hint="default" w:ascii="Times New Roman" w:hAnsi="Times New Roman" w:eastAsia="宋体" w:cs="Times New Roman"/>
                <w:color w:val="auto"/>
                <w:sz w:val="21"/>
                <w:szCs w:val="21"/>
                <w:highlight w:val="none"/>
              </w:rPr>
              <w:t>t/a</w:t>
            </w:r>
            <w:r>
              <w:rPr>
                <w:rFonts w:hint="eastAsia" w:cs="Times New Roman"/>
                <w:color w:val="auto"/>
                <w:sz w:val="21"/>
                <w:szCs w:val="21"/>
                <w:highlight w:val="none"/>
                <w:lang w:eastAsia="zh-CN"/>
              </w:rPr>
              <w:t>，</w:t>
            </w:r>
            <w:r>
              <w:rPr>
                <w:rFonts w:hint="eastAsia" w:cs="Times New Roman"/>
                <w:color w:val="auto"/>
                <w:sz w:val="21"/>
                <w:szCs w:val="21"/>
                <w:highlight w:val="none"/>
                <w:lang w:val="en-US" w:eastAsia="zh-CN"/>
              </w:rPr>
              <w:t>实验废液产生量为</w:t>
            </w:r>
            <w:r>
              <w:rPr>
                <w:rFonts w:hint="eastAsia" w:cs="Times New Roman"/>
                <w:color w:val="auto"/>
                <w:sz w:val="21"/>
                <w:szCs w:val="21"/>
                <w:highlight w:val="none"/>
                <w:lang w:val="en-US" w:eastAsia="zh-CN"/>
              </w:rPr>
              <w:t>1.466t/a</w:t>
            </w:r>
            <w:r>
              <w:rPr>
                <w:rFonts w:hint="default" w:ascii="Times New Roman" w:hAnsi="Times New Roman" w:eastAsia="宋体" w:cs="Times New Roman"/>
                <w:color w:val="auto"/>
                <w:sz w:val="21"/>
                <w:szCs w:val="21"/>
                <w:highlight w:val="none"/>
                <w:lang w:eastAsia="zh-CN"/>
              </w:rPr>
              <w:t>。</w:t>
            </w:r>
          </w:p>
          <w:p w14:paraId="0442498D">
            <w:pPr>
              <w:keepNext w:val="0"/>
              <w:keepLines w:val="0"/>
              <w:pageBreakBefore w:val="0"/>
              <w:widowControl/>
              <w:shd w:val="clear"/>
              <w:kinsoku/>
              <w:wordWrap/>
              <w:overflowPunct/>
              <w:topLinePunct w:val="0"/>
              <w:autoSpaceDE/>
              <w:autoSpaceDN/>
              <w:bidi w:val="0"/>
              <w:adjustRightInd/>
              <w:snapToGrid w:val="0"/>
              <w:spacing w:before="0" w:beforeLines="0" w:after="0" w:line="360" w:lineRule="auto"/>
              <w:ind w:right="0" w:firstLine="420" w:firstLineChars="200"/>
              <w:jc w:val="both"/>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2）</w:t>
            </w:r>
            <w:r>
              <w:rPr>
                <w:rFonts w:hint="eastAsia" w:cs="Times New Roman"/>
                <w:color w:val="auto"/>
                <w:sz w:val="21"/>
                <w:szCs w:val="21"/>
                <w:highlight w:val="none"/>
                <w:lang w:val="en-US" w:eastAsia="zh-CN"/>
              </w:rPr>
              <w:t>项目实验时会产生</w:t>
            </w:r>
            <w:r>
              <w:rPr>
                <w:rFonts w:hint="default" w:ascii="Times New Roman" w:hAnsi="Times New Roman" w:eastAsia="宋体" w:cs="Times New Roman"/>
                <w:color w:val="auto"/>
                <w:sz w:val="21"/>
                <w:szCs w:val="21"/>
                <w:highlight w:val="none"/>
              </w:rPr>
              <w:t>废弃的实验用的一次性手套</w:t>
            </w:r>
            <w:r>
              <w:rPr>
                <w:rFonts w:hint="default" w:ascii="Times New Roman" w:hAnsi="Times New Roman" w:eastAsia="宋体" w:cs="Times New Roman"/>
                <w:color w:val="auto"/>
                <w:kern w:val="0"/>
                <w:sz w:val="21"/>
                <w:szCs w:val="21"/>
                <w:highlight w:val="none"/>
                <w:lang w:val="en-US" w:eastAsia="zh-CN" w:bidi="ar-SA"/>
              </w:rPr>
              <w:t>，年使用手套</w:t>
            </w:r>
            <w:r>
              <w:rPr>
                <w:rFonts w:hint="eastAsia" w:ascii="Times New Roman" w:hAnsi="Times New Roman" w:eastAsia="宋体" w:cs="Times New Roman"/>
                <w:color w:val="auto"/>
                <w:kern w:val="0"/>
                <w:sz w:val="21"/>
                <w:szCs w:val="21"/>
                <w:highlight w:val="none"/>
                <w:lang w:val="en-US" w:eastAsia="zh-CN" w:bidi="ar-SA"/>
              </w:rPr>
              <w:t>约</w:t>
            </w:r>
            <w:r>
              <w:rPr>
                <w:rFonts w:hint="eastAsia" w:cs="Times New Roman"/>
                <w:color w:val="auto"/>
                <w:kern w:val="0"/>
                <w:sz w:val="21"/>
                <w:szCs w:val="21"/>
                <w:highlight w:val="none"/>
                <w:lang w:val="en-US" w:eastAsia="zh-CN" w:bidi="ar-SA"/>
              </w:rPr>
              <w:t>400</w:t>
            </w:r>
            <w:r>
              <w:rPr>
                <w:rFonts w:hint="default" w:ascii="Times New Roman" w:hAnsi="Times New Roman" w:eastAsia="宋体" w:cs="Times New Roman"/>
                <w:color w:val="auto"/>
                <w:kern w:val="0"/>
                <w:sz w:val="21"/>
                <w:szCs w:val="21"/>
                <w:highlight w:val="none"/>
                <w:lang w:val="en-US" w:eastAsia="zh-CN" w:bidi="ar-SA"/>
              </w:rPr>
              <w:t>双，</w:t>
            </w:r>
            <w:r>
              <w:rPr>
                <w:rFonts w:hint="default" w:ascii="Times New Roman" w:hAnsi="Times New Roman" w:cs="Times New Roman"/>
                <w:color w:val="auto"/>
                <w:kern w:val="0"/>
                <w:sz w:val="21"/>
                <w:szCs w:val="21"/>
                <w:highlight w:val="none"/>
                <w:lang w:val="en-US" w:eastAsia="zh-CN" w:bidi="ar-SA"/>
              </w:rPr>
              <w:t>一副</w:t>
            </w:r>
            <w:r>
              <w:rPr>
                <w:rFonts w:hint="default" w:ascii="Times New Roman" w:hAnsi="Times New Roman" w:eastAsia="宋体" w:cs="Times New Roman"/>
                <w:color w:val="auto"/>
                <w:kern w:val="0"/>
                <w:sz w:val="21"/>
                <w:szCs w:val="21"/>
                <w:highlight w:val="none"/>
                <w:lang w:val="en-US" w:eastAsia="zh-CN" w:bidi="ar-SA"/>
              </w:rPr>
              <w:t>手套重量约为</w:t>
            </w:r>
            <w:r>
              <w:rPr>
                <w:rFonts w:hint="eastAsia" w:cs="Times New Roman"/>
                <w:color w:val="auto"/>
                <w:kern w:val="0"/>
                <w:sz w:val="21"/>
                <w:szCs w:val="21"/>
                <w:highlight w:val="none"/>
                <w:lang w:val="en-US" w:eastAsia="zh-CN" w:bidi="ar-SA"/>
              </w:rPr>
              <w:t>5</w:t>
            </w:r>
            <w:r>
              <w:rPr>
                <w:rFonts w:hint="default" w:ascii="Times New Roman" w:hAnsi="Times New Roman" w:cs="Times New Roman"/>
                <w:color w:val="auto"/>
                <w:kern w:val="0"/>
                <w:sz w:val="21"/>
                <w:szCs w:val="21"/>
                <w:highlight w:val="none"/>
                <w:lang w:val="en-US" w:eastAsia="zh-CN" w:bidi="ar-SA"/>
              </w:rPr>
              <w:t>0</w:t>
            </w:r>
            <w:r>
              <w:rPr>
                <w:rFonts w:hint="default" w:ascii="Times New Roman" w:hAnsi="Times New Roman" w:eastAsia="宋体" w:cs="Times New Roman"/>
                <w:color w:val="auto"/>
                <w:kern w:val="0"/>
                <w:sz w:val="21"/>
                <w:szCs w:val="21"/>
                <w:highlight w:val="none"/>
                <w:lang w:val="en-US" w:eastAsia="zh-CN" w:bidi="ar-SA"/>
              </w:rPr>
              <w:t>克，则实验用的一次性手套产生量</w:t>
            </w:r>
            <w:r>
              <w:rPr>
                <w:rFonts w:hint="eastAsia" w:ascii="Times New Roman" w:hAnsi="Times New Roman" w:eastAsia="宋体" w:cs="Times New Roman"/>
                <w:color w:val="auto"/>
                <w:kern w:val="0"/>
                <w:sz w:val="21"/>
                <w:szCs w:val="21"/>
                <w:highlight w:val="none"/>
                <w:lang w:val="en-US" w:eastAsia="zh-CN" w:bidi="ar-SA"/>
              </w:rPr>
              <w:t>约</w:t>
            </w:r>
            <w:r>
              <w:rPr>
                <w:rFonts w:hint="default" w:ascii="Times New Roman" w:hAnsi="Times New Roman" w:eastAsia="宋体" w:cs="Times New Roman"/>
                <w:color w:val="auto"/>
                <w:kern w:val="0"/>
                <w:sz w:val="21"/>
                <w:szCs w:val="21"/>
                <w:highlight w:val="none"/>
                <w:lang w:val="en-US" w:eastAsia="zh-CN" w:bidi="ar-SA"/>
              </w:rPr>
              <w:t>为</w:t>
            </w:r>
            <w:r>
              <w:rPr>
                <w:rFonts w:hint="eastAsia" w:ascii="Times New Roman" w:hAnsi="Times New Roman" w:eastAsia="宋体" w:cs="Times New Roman"/>
                <w:color w:val="auto"/>
                <w:kern w:val="0"/>
                <w:sz w:val="21"/>
                <w:szCs w:val="21"/>
                <w:highlight w:val="none"/>
                <w:lang w:val="en-US" w:eastAsia="zh-CN" w:bidi="ar-SA"/>
              </w:rPr>
              <w:t>0.02</w:t>
            </w:r>
            <w:r>
              <w:rPr>
                <w:rFonts w:hint="default" w:ascii="Times New Roman" w:hAnsi="Times New Roman" w:eastAsia="宋体" w:cs="Times New Roman"/>
                <w:color w:val="auto"/>
                <w:kern w:val="0"/>
                <w:sz w:val="21"/>
                <w:szCs w:val="21"/>
                <w:highlight w:val="none"/>
                <w:lang w:val="en-US" w:eastAsia="zh-CN" w:bidi="ar-SA"/>
              </w:rPr>
              <w:t>t/a。</w:t>
            </w:r>
          </w:p>
          <w:p w14:paraId="370B30F5">
            <w:pPr>
              <w:keepNext w:val="0"/>
              <w:keepLines w:val="0"/>
              <w:pageBreakBefore w:val="0"/>
              <w:widowControl/>
              <w:suppressLineNumbers w:val="0"/>
              <w:kinsoku/>
              <w:wordWrap/>
              <w:overflowPunct/>
              <w:topLinePunct w:val="0"/>
              <w:autoSpaceDE/>
              <w:autoSpaceDN/>
              <w:bidi w:val="0"/>
              <w:adjustRightInd/>
              <w:snapToGrid/>
              <w:ind w:firstLine="420" w:firstLineChars="200"/>
              <w:jc w:val="left"/>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kern w:val="0"/>
                <w:sz w:val="21"/>
                <w:szCs w:val="21"/>
                <w:highlight w:val="none"/>
                <w:lang w:val="en-US" w:eastAsia="zh-CN" w:bidi="ar-SA"/>
              </w:rPr>
              <w:t>3）项目</w:t>
            </w:r>
            <w:r>
              <w:rPr>
                <w:rFonts w:hint="default" w:ascii="Times New Roman" w:hAnsi="Times New Roman" w:eastAsia="宋体" w:cs="Times New Roman"/>
                <w:color w:val="auto"/>
                <w:kern w:val="0"/>
                <w:sz w:val="21"/>
                <w:szCs w:val="21"/>
                <w:highlight w:val="none"/>
                <w:lang w:val="en-US" w:eastAsia="zh-CN" w:bidi="ar"/>
              </w:rPr>
              <w:t>检测过程中会产生破损的实验器皿，根据企业提供的资料，废实验器皿年产生</w:t>
            </w:r>
            <w:r>
              <w:rPr>
                <w:rFonts w:hint="eastAsia" w:ascii="Times New Roman" w:hAnsi="Times New Roman" w:eastAsia="宋体" w:cs="Times New Roman"/>
                <w:color w:val="auto"/>
                <w:kern w:val="0"/>
                <w:sz w:val="21"/>
                <w:szCs w:val="21"/>
                <w:highlight w:val="none"/>
                <w:lang w:val="en-US" w:eastAsia="zh-CN" w:bidi="ar"/>
              </w:rPr>
              <w:t>约</w:t>
            </w:r>
            <w:r>
              <w:rPr>
                <w:rFonts w:hint="default" w:ascii="Times New Roman" w:hAnsi="Times New Roman" w:eastAsia="宋体" w:cs="Times New Roman"/>
                <w:color w:val="auto"/>
                <w:kern w:val="0"/>
                <w:sz w:val="21"/>
                <w:szCs w:val="21"/>
                <w:highlight w:val="none"/>
                <w:lang w:val="en-US" w:eastAsia="zh-CN" w:bidi="ar"/>
              </w:rPr>
              <w:t>0.05t/a。</w:t>
            </w:r>
          </w:p>
          <w:p w14:paraId="4E6228CD">
            <w:pPr>
              <w:keepNext w:val="0"/>
              <w:keepLines w:val="0"/>
              <w:pageBreakBefore w:val="0"/>
              <w:widowControl/>
              <w:shd w:val="clear"/>
              <w:kinsoku/>
              <w:wordWrap/>
              <w:overflowPunct/>
              <w:topLinePunct w:val="0"/>
              <w:autoSpaceDE/>
              <w:autoSpaceDN/>
              <w:bidi w:val="0"/>
              <w:adjustRightInd/>
              <w:snapToGrid w:val="0"/>
              <w:spacing w:before="0" w:beforeLines="0" w:after="0" w:line="360" w:lineRule="auto"/>
              <w:ind w:right="0" w:firstLine="420" w:firstLineChars="200"/>
              <w:jc w:val="both"/>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shd w:val="clear" w:color="auto" w:fill="auto"/>
                <w:lang w:val="en-US" w:eastAsia="zh-CN" w:bidi="ar-SA"/>
              </w:rPr>
              <w:t>②废</w:t>
            </w:r>
            <w:r>
              <w:rPr>
                <w:rFonts w:hint="default" w:ascii="Times New Roman" w:hAnsi="Times New Roman" w:eastAsia="宋体" w:cs="Times New Roman"/>
                <w:color w:val="auto"/>
                <w:kern w:val="0"/>
                <w:sz w:val="21"/>
                <w:szCs w:val="21"/>
                <w:highlight w:val="none"/>
                <w:lang w:val="en-US" w:eastAsia="zh-CN" w:bidi="ar-SA"/>
              </w:rPr>
              <w:t>饱和活性炭：项目</w:t>
            </w:r>
            <w:r>
              <w:rPr>
                <w:rFonts w:hint="eastAsia" w:cs="Times New Roman"/>
                <w:color w:val="auto"/>
                <w:kern w:val="0"/>
                <w:sz w:val="21"/>
                <w:szCs w:val="21"/>
                <w:highlight w:val="none"/>
                <w:lang w:val="en-US" w:eastAsia="zh-CN" w:bidi="ar-SA"/>
              </w:rPr>
              <w:t>废</w:t>
            </w:r>
            <w:r>
              <w:rPr>
                <w:rFonts w:hint="default" w:ascii="Times New Roman" w:hAnsi="Times New Roman" w:eastAsia="宋体" w:cs="Times New Roman"/>
                <w:color w:val="auto"/>
                <w:kern w:val="0"/>
                <w:sz w:val="21"/>
                <w:szCs w:val="21"/>
                <w:highlight w:val="none"/>
                <w:lang w:val="en-US" w:eastAsia="zh-CN" w:bidi="ar-SA"/>
              </w:rPr>
              <w:t>饱和活性炭来自</w:t>
            </w:r>
            <w:r>
              <w:rPr>
                <w:rFonts w:hint="eastAsia" w:cs="Times New Roman"/>
                <w:color w:val="auto"/>
                <w:kern w:val="0"/>
                <w:sz w:val="21"/>
                <w:szCs w:val="21"/>
                <w:highlight w:val="none"/>
                <w:lang w:val="en-US" w:eastAsia="zh-CN" w:bidi="ar-SA"/>
              </w:rPr>
              <w:t>1</w:t>
            </w:r>
            <w:r>
              <w:rPr>
                <w:rFonts w:hint="default" w:ascii="Times New Roman" w:hAnsi="Times New Roman" w:eastAsia="宋体" w:cs="Times New Roman"/>
                <w:color w:val="auto"/>
                <w:kern w:val="0"/>
                <w:sz w:val="21"/>
                <w:szCs w:val="21"/>
                <w:highlight w:val="none"/>
                <w:lang w:val="en-US" w:eastAsia="zh-CN" w:bidi="ar-SA"/>
              </w:rPr>
              <w:t>套</w:t>
            </w:r>
            <w:r>
              <w:rPr>
                <w:rFonts w:hint="eastAsia" w:cs="Times New Roman"/>
                <w:color w:val="auto"/>
                <w:kern w:val="0"/>
                <w:sz w:val="21"/>
                <w:szCs w:val="21"/>
                <w:highlight w:val="none"/>
                <w:lang w:val="en-US" w:eastAsia="zh-CN" w:bidi="ar-SA"/>
              </w:rPr>
              <w:t>单</w:t>
            </w:r>
            <w:r>
              <w:rPr>
                <w:rFonts w:hint="default" w:ascii="Times New Roman" w:hAnsi="Times New Roman" w:eastAsia="宋体" w:cs="Times New Roman"/>
                <w:color w:val="auto"/>
                <w:kern w:val="0"/>
                <w:sz w:val="21"/>
                <w:szCs w:val="21"/>
                <w:highlight w:val="none"/>
                <w:lang w:val="en-US" w:eastAsia="zh-CN" w:bidi="ar-SA"/>
              </w:rPr>
              <w:t>级活性炭吸附设施，对废气进行吸附处理。</w:t>
            </w:r>
            <w:r>
              <w:rPr>
                <w:rFonts w:hint="eastAsia" w:cs="Times New Roman"/>
                <w:color w:val="auto"/>
                <w:kern w:val="0"/>
                <w:sz w:val="21"/>
                <w:szCs w:val="21"/>
                <w:highlight w:val="none"/>
                <w:lang w:val="en-US" w:eastAsia="zh-CN" w:bidi="ar-SA"/>
              </w:rPr>
              <w:t>单级</w:t>
            </w:r>
            <w:r>
              <w:rPr>
                <w:rFonts w:hint="default" w:ascii="Times New Roman" w:hAnsi="Times New Roman" w:eastAsia="宋体" w:cs="Times New Roman"/>
                <w:color w:val="auto"/>
                <w:kern w:val="0"/>
                <w:sz w:val="21"/>
                <w:szCs w:val="21"/>
                <w:highlight w:val="none"/>
                <w:lang w:val="en-US" w:eastAsia="zh-CN" w:bidi="ar-SA"/>
              </w:rPr>
              <w:t>活性炭箱活性炭的装填量为</w:t>
            </w:r>
            <w:r>
              <w:rPr>
                <w:rFonts w:hint="eastAsia" w:cs="Times New Roman"/>
                <w:color w:val="auto"/>
                <w:kern w:val="0"/>
                <w:sz w:val="21"/>
                <w:szCs w:val="21"/>
                <w:highlight w:val="none"/>
                <w:lang w:val="en-US" w:eastAsia="zh-CN" w:bidi="ar-SA"/>
              </w:rPr>
              <w:t>0.974</w:t>
            </w:r>
            <w:r>
              <w:rPr>
                <w:rFonts w:hint="default" w:ascii="Times New Roman" w:hAnsi="Times New Roman" w:eastAsia="宋体" w:cs="Times New Roman"/>
                <w:color w:val="auto"/>
                <w:kern w:val="0"/>
                <w:sz w:val="21"/>
                <w:szCs w:val="21"/>
                <w:highlight w:val="none"/>
                <w:lang w:val="en-US" w:eastAsia="zh-CN" w:bidi="ar-SA"/>
              </w:rPr>
              <w:t>t，每年更换4次，</w:t>
            </w:r>
            <w:r>
              <w:rPr>
                <w:rFonts w:hint="eastAsia" w:cs="Times New Roman"/>
                <w:color w:val="auto"/>
                <w:kern w:val="0"/>
                <w:sz w:val="21"/>
                <w:szCs w:val="21"/>
                <w:highlight w:val="none"/>
                <w:lang w:val="en-US" w:eastAsia="zh-CN" w:bidi="ar-SA"/>
              </w:rPr>
              <w:t>单级</w:t>
            </w:r>
            <w:r>
              <w:rPr>
                <w:rFonts w:hint="default" w:ascii="Times New Roman" w:hAnsi="Times New Roman" w:eastAsia="宋体" w:cs="Times New Roman"/>
                <w:color w:val="auto"/>
                <w:kern w:val="0"/>
                <w:sz w:val="21"/>
                <w:szCs w:val="21"/>
                <w:highlight w:val="none"/>
                <w:lang w:val="en-US" w:eastAsia="zh-CN" w:bidi="ar-SA"/>
              </w:rPr>
              <w:t>活性炭的年使用量为</w:t>
            </w:r>
            <w:r>
              <w:rPr>
                <w:rFonts w:hint="eastAsia" w:cs="Times New Roman"/>
                <w:color w:val="auto"/>
                <w:kern w:val="0"/>
                <w:sz w:val="21"/>
                <w:szCs w:val="21"/>
                <w:highlight w:val="none"/>
                <w:lang w:val="en-US" w:eastAsia="zh-CN" w:bidi="ar-SA"/>
              </w:rPr>
              <w:t>3.896</w:t>
            </w:r>
            <w:r>
              <w:rPr>
                <w:rFonts w:hint="default" w:ascii="Times New Roman" w:hAnsi="Times New Roman" w:eastAsia="宋体" w:cs="Times New Roman"/>
                <w:color w:val="auto"/>
                <w:kern w:val="0"/>
                <w:sz w:val="21"/>
                <w:szCs w:val="21"/>
                <w:highlight w:val="none"/>
                <w:lang w:val="en-US" w:eastAsia="zh-CN" w:bidi="ar-SA"/>
              </w:rPr>
              <w:t>t，有机废气吸附量</w:t>
            </w:r>
            <w:r>
              <w:rPr>
                <w:rFonts w:hint="eastAsia" w:cs="Times New Roman"/>
                <w:color w:val="auto"/>
                <w:kern w:val="0"/>
                <w:sz w:val="21"/>
                <w:szCs w:val="21"/>
                <w:highlight w:val="none"/>
                <w:lang w:val="en-US" w:eastAsia="zh-CN" w:bidi="ar-SA"/>
              </w:rPr>
              <w:t>3.722kg/a</w:t>
            </w:r>
            <w:r>
              <w:rPr>
                <w:rFonts w:hint="default" w:ascii="Times New Roman" w:hAnsi="Times New Roman" w:eastAsia="宋体" w:cs="Times New Roman"/>
                <w:color w:val="auto"/>
                <w:kern w:val="0"/>
                <w:sz w:val="21"/>
                <w:szCs w:val="21"/>
                <w:highlight w:val="none"/>
                <w:lang w:val="en-US" w:eastAsia="zh-CN" w:bidi="ar-SA"/>
              </w:rPr>
              <w:t>，则废饱和活性炭的产生量</w:t>
            </w:r>
            <w:r>
              <w:rPr>
                <w:rFonts w:hint="eastAsia" w:cs="Times New Roman"/>
                <w:color w:val="auto"/>
                <w:kern w:val="0"/>
                <w:sz w:val="21"/>
                <w:szCs w:val="21"/>
                <w:highlight w:val="none"/>
                <w:lang w:val="en-US" w:eastAsia="zh-CN" w:bidi="ar-SA"/>
              </w:rPr>
              <w:t>约</w:t>
            </w:r>
            <w:r>
              <w:rPr>
                <w:rFonts w:hint="default" w:ascii="Times New Roman" w:hAnsi="Times New Roman" w:eastAsia="宋体" w:cs="Times New Roman"/>
                <w:color w:val="auto"/>
                <w:kern w:val="0"/>
                <w:sz w:val="21"/>
                <w:szCs w:val="21"/>
                <w:highlight w:val="none"/>
                <w:lang w:val="en-US" w:eastAsia="zh-CN" w:bidi="ar-SA"/>
              </w:rPr>
              <w:t>为</w:t>
            </w:r>
            <w:r>
              <w:rPr>
                <w:rFonts w:hint="eastAsia" w:cs="Times New Roman"/>
                <w:color w:val="auto"/>
                <w:kern w:val="0"/>
                <w:sz w:val="21"/>
                <w:szCs w:val="21"/>
                <w:highlight w:val="none"/>
                <w:lang w:val="en-US" w:eastAsia="zh-CN" w:bidi="ar-SA"/>
              </w:rPr>
              <w:t>3.9</w:t>
            </w:r>
            <w:r>
              <w:rPr>
                <w:rFonts w:hint="default" w:ascii="Times New Roman" w:hAnsi="Times New Roman" w:cs="Times New Roman"/>
                <w:color w:val="auto"/>
                <w:kern w:val="0"/>
                <w:sz w:val="21"/>
                <w:szCs w:val="21"/>
                <w:highlight w:val="none"/>
                <w:lang w:val="en-US" w:eastAsia="zh-CN" w:bidi="ar-SA"/>
              </w:rPr>
              <w:t>t</w:t>
            </w:r>
            <w:r>
              <w:rPr>
                <w:rFonts w:hint="default" w:ascii="Times New Roman" w:hAnsi="Times New Roman" w:eastAsia="宋体" w:cs="Times New Roman"/>
                <w:color w:val="auto"/>
                <w:kern w:val="0"/>
                <w:sz w:val="21"/>
                <w:szCs w:val="21"/>
                <w:highlight w:val="none"/>
                <w:lang w:val="en-US" w:eastAsia="zh-CN" w:bidi="ar-SA"/>
              </w:rPr>
              <w:t>/a。</w:t>
            </w:r>
          </w:p>
          <w:p w14:paraId="638C5022">
            <w:pPr>
              <w:keepNext w:val="0"/>
              <w:keepLines w:val="0"/>
              <w:pageBreakBefore w:val="0"/>
              <w:widowControl/>
              <w:shd w:val="clear"/>
              <w:kinsoku/>
              <w:wordWrap/>
              <w:overflowPunct/>
              <w:topLinePunct w:val="0"/>
              <w:autoSpaceDE/>
              <w:autoSpaceDN/>
              <w:bidi w:val="0"/>
              <w:adjustRightInd/>
              <w:snapToGrid w:val="0"/>
              <w:spacing w:before="0" w:beforeLines="0" w:after="0" w:line="360" w:lineRule="auto"/>
              <w:ind w:right="0" w:firstLine="420" w:firstLineChars="200"/>
              <w:jc w:val="both"/>
              <w:textAlignment w:val="auto"/>
              <w:rPr>
                <w:rFonts w:hint="eastAsia" w:ascii="Times New Roman"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③</w:t>
            </w:r>
            <w:r>
              <w:rPr>
                <w:rFonts w:hint="eastAsia" w:ascii="Times New Roman" w:cs="Times New Roman"/>
                <w:color w:val="auto"/>
                <w:kern w:val="0"/>
                <w:sz w:val="21"/>
                <w:szCs w:val="21"/>
                <w:highlight w:val="none"/>
                <w:lang w:val="en-US" w:eastAsia="zh-CN" w:bidi="ar-SA"/>
              </w:rPr>
              <w:t>废灯管</w:t>
            </w:r>
          </w:p>
          <w:p w14:paraId="4FA51A3C">
            <w:pPr>
              <w:keepNext w:val="0"/>
              <w:keepLines w:val="0"/>
              <w:pageBreakBefore w:val="0"/>
              <w:widowControl/>
              <w:shd w:val="clear"/>
              <w:kinsoku/>
              <w:wordWrap/>
              <w:overflowPunct/>
              <w:topLinePunct w:val="0"/>
              <w:autoSpaceDE/>
              <w:autoSpaceDN/>
              <w:bidi w:val="0"/>
              <w:adjustRightInd/>
              <w:snapToGrid w:val="0"/>
              <w:spacing w:before="0" w:beforeLines="0" w:after="0" w:line="360" w:lineRule="auto"/>
              <w:ind w:right="0" w:firstLine="420" w:firstLineChars="200"/>
              <w:jc w:val="both"/>
              <w:textAlignment w:val="auto"/>
              <w:rPr>
                <w:rFonts w:hint="eastAsia" w:ascii="Times New Roman" w:cs="Times New Roman"/>
                <w:color w:val="auto"/>
                <w:kern w:val="0"/>
                <w:sz w:val="21"/>
                <w:szCs w:val="21"/>
                <w:highlight w:val="none"/>
                <w:lang w:val="en-US" w:eastAsia="zh-CN" w:bidi="ar-SA"/>
              </w:rPr>
            </w:pPr>
            <w:r>
              <w:rPr>
                <w:rFonts w:hint="eastAsia" w:ascii="Times New Roman" w:cs="Times New Roman"/>
                <w:color w:val="auto"/>
                <w:kern w:val="0"/>
                <w:sz w:val="21"/>
                <w:szCs w:val="21"/>
                <w:highlight w:val="none"/>
                <w:lang w:val="en-US" w:eastAsia="zh-CN" w:bidi="ar-SA"/>
              </w:rPr>
              <w:t>项目实验过程使用紫外灯进行消毒灭菌，产生废灯管，根据企业提供，每年约产生10支废灯管，每支废灯管约0.5kg，则年产生废灯管</w:t>
            </w:r>
            <w:r>
              <w:rPr>
                <w:rFonts w:hint="eastAsia" w:cs="Times New Roman"/>
                <w:color w:val="auto"/>
                <w:kern w:val="0"/>
                <w:sz w:val="21"/>
                <w:szCs w:val="21"/>
                <w:highlight w:val="none"/>
                <w:lang w:val="en-US" w:eastAsia="zh-CN" w:bidi="ar-SA"/>
              </w:rPr>
              <w:t>0.005t/a</w:t>
            </w:r>
            <w:r>
              <w:rPr>
                <w:rFonts w:hint="eastAsia" w:ascii="Times New Roman" w:cs="Times New Roman"/>
                <w:color w:val="auto"/>
                <w:kern w:val="0"/>
                <w:sz w:val="21"/>
                <w:szCs w:val="21"/>
                <w:highlight w:val="none"/>
                <w:lang w:val="en-US" w:eastAsia="zh-CN" w:bidi="ar-SA"/>
              </w:rPr>
              <w:t>。</w:t>
            </w:r>
          </w:p>
          <w:p w14:paraId="64B4828F">
            <w:pPr>
              <w:keepNext w:val="0"/>
              <w:keepLines w:val="0"/>
              <w:pageBreakBefore w:val="0"/>
              <w:widowControl w:val="0"/>
              <w:kinsoku/>
              <w:bidi w:val="0"/>
              <w:snapToGrid/>
              <w:spacing w:line="360" w:lineRule="auto"/>
              <w:ind w:firstLine="420" w:firstLineChars="200"/>
              <w:jc w:val="left"/>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④</w:t>
            </w:r>
            <w:r>
              <w:rPr>
                <w:rFonts w:hint="eastAsia" w:cs="Times New Roman"/>
                <w:color w:val="auto"/>
                <w:sz w:val="21"/>
                <w:szCs w:val="21"/>
                <w:highlight w:val="none"/>
                <w:lang w:val="en-US" w:eastAsia="zh-CN"/>
              </w:rPr>
              <w:t>危废样品废物</w:t>
            </w:r>
          </w:p>
          <w:p w14:paraId="1B07D0E3">
            <w:pPr>
              <w:keepNext w:val="0"/>
              <w:keepLines w:val="0"/>
              <w:pageBreakBefore w:val="0"/>
              <w:widowControl w:val="0"/>
              <w:kinsoku/>
              <w:bidi w:val="0"/>
              <w:snapToGrid/>
              <w:spacing w:line="360" w:lineRule="auto"/>
              <w:ind w:firstLine="420" w:firstLineChars="200"/>
              <w:jc w:val="left"/>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项目样品检测的过程中产生含有危险物质的废土壤</w:t>
            </w:r>
            <w:r>
              <w:rPr>
                <w:rFonts w:hint="eastAsia" w:cs="Times New Roman"/>
                <w:color w:val="auto"/>
                <w:sz w:val="21"/>
                <w:szCs w:val="21"/>
                <w:highlight w:val="none"/>
                <w:lang w:val="en-US" w:eastAsia="zh-CN"/>
              </w:rPr>
              <w:t>样品、废固体废物样品</w:t>
            </w:r>
            <w:r>
              <w:rPr>
                <w:rFonts w:hint="default" w:ascii="Times New Roman" w:hAnsi="Times New Roman" w:eastAsia="宋体" w:cs="Times New Roman"/>
                <w:color w:val="auto"/>
                <w:sz w:val="21"/>
                <w:szCs w:val="21"/>
                <w:highlight w:val="none"/>
                <w:lang w:val="en-US" w:eastAsia="zh-CN"/>
              </w:rPr>
              <w:t>，根据建设单位提供的资料，</w:t>
            </w:r>
            <w:r>
              <w:rPr>
                <w:rFonts w:hint="eastAsia" w:cs="Times New Roman"/>
                <w:color w:val="auto"/>
                <w:kern w:val="0"/>
                <w:sz w:val="21"/>
                <w:szCs w:val="21"/>
                <w:highlight w:val="none"/>
                <w:lang w:val="en-US" w:eastAsia="zh-CN" w:bidi="ar-SA"/>
              </w:rPr>
              <w:t>项目年检测</w:t>
            </w:r>
            <w:r>
              <w:rPr>
                <w:rFonts w:hint="eastAsia" w:cs="Times New Roman"/>
                <w:b w:val="0"/>
                <w:bCs/>
                <w:color w:val="auto"/>
                <w:sz w:val="21"/>
                <w:szCs w:val="21"/>
                <w:highlight w:val="none"/>
                <w:lang w:val="en-US" w:eastAsia="zh-CN"/>
              </w:rPr>
              <w:t>4</w:t>
            </w:r>
            <w:r>
              <w:rPr>
                <w:rFonts w:hint="default" w:ascii="Times New Roman" w:hAnsi="Times New Roman" w:eastAsia="宋体" w:cs="Times New Roman"/>
                <w:b w:val="0"/>
                <w:bCs/>
                <w:color w:val="auto"/>
                <w:sz w:val="21"/>
                <w:szCs w:val="21"/>
                <w:highlight w:val="none"/>
                <w:lang w:val="en-US" w:eastAsia="zh-CN"/>
              </w:rPr>
              <w:t>00份土壤样品、</w:t>
            </w:r>
            <w:r>
              <w:rPr>
                <w:rFonts w:hint="eastAsia" w:cs="Times New Roman"/>
                <w:b w:val="0"/>
                <w:bCs/>
                <w:color w:val="auto"/>
                <w:sz w:val="21"/>
                <w:szCs w:val="21"/>
                <w:highlight w:val="none"/>
                <w:lang w:val="en-US" w:eastAsia="zh-CN"/>
              </w:rPr>
              <w:t>4</w:t>
            </w:r>
            <w:r>
              <w:rPr>
                <w:rFonts w:hint="default" w:ascii="Times New Roman" w:hAnsi="Times New Roman" w:eastAsia="宋体" w:cs="Times New Roman"/>
                <w:b w:val="0"/>
                <w:bCs/>
                <w:color w:val="auto"/>
                <w:sz w:val="21"/>
                <w:szCs w:val="21"/>
                <w:highlight w:val="none"/>
                <w:lang w:val="en-US" w:eastAsia="zh-CN"/>
              </w:rPr>
              <w:t>00份固体废物样品</w:t>
            </w:r>
            <w:r>
              <w:rPr>
                <w:rFonts w:hint="eastAsia" w:cs="Times New Roman"/>
                <w:b w:val="0"/>
                <w:bCs/>
                <w:color w:val="auto"/>
                <w:sz w:val="21"/>
                <w:szCs w:val="21"/>
                <w:highlight w:val="none"/>
                <w:lang w:val="en-US" w:eastAsia="zh-CN"/>
              </w:rPr>
              <w:t>，</w:t>
            </w:r>
            <w:r>
              <w:rPr>
                <w:rFonts w:hint="eastAsia" w:cs="Times New Roman"/>
                <w:color w:val="auto"/>
                <w:kern w:val="0"/>
                <w:sz w:val="21"/>
                <w:szCs w:val="21"/>
                <w:highlight w:val="none"/>
                <w:lang w:val="en-US" w:eastAsia="zh-CN" w:bidi="ar-SA"/>
              </w:rPr>
              <w:t>单份土壤样品为1kg、单份固废样品为1kg，项目实际用于实验分析土壤和固废样品约占取样70%，接触试剂</w:t>
            </w:r>
            <w:r>
              <w:rPr>
                <w:rFonts w:hint="default" w:ascii="Times New Roman" w:hAnsi="Times New Roman" w:eastAsia="宋体" w:cs="Times New Roman"/>
                <w:color w:val="auto"/>
                <w:sz w:val="21"/>
                <w:szCs w:val="21"/>
                <w:highlight w:val="none"/>
                <w:lang w:val="en-US" w:eastAsia="zh-CN"/>
              </w:rPr>
              <w:t>含有危险物质的废土壤</w:t>
            </w:r>
            <w:r>
              <w:rPr>
                <w:rFonts w:hint="eastAsia" w:cs="Times New Roman"/>
                <w:color w:val="auto"/>
                <w:sz w:val="21"/>
                <w:szCs w:val="21"/>
                <w:highlight w:val="none"/>
                <w:lang w:val="en-US" w:eastAsia="zh-CN"/>
              </w:rPr>
              <w:t>样品</w:t>
            </w:r>
            <w:r>
              <w:rPr>
                <w:rFonts w:hint="default" w:ascii="Times New Roman" w:hAnsi="Times New Roman" w:eastAsia="宋体" w:cs="Times New Roman"/>
                <w:color w:val="auto"/>
                <w:sz w:val="21"/>
                <w:szCs w:val="21"/>
                <w:highlight w:val="none"/>
                <w:lang w:val="en-US" w:eastAsia="zh-CN"/>
              </w:rPr>
              <w:t>产生量约为0.</w:t>
            </w:r>
            <w:r>
              <w:rPr>
                <w:rFonts w:hint="eastAsia" w:cs="Times New Roman"/>
                <w:color w:val="auto"/>
                <w:sz w:val="21"/>
                <w:szCs w:val="21"/>
                <w:highlight w:val="none"/>
                <w:lang w:val="en-US" w:eastAsia="zh-CN"/>
              </w:rPr>
              <w:t>28</w:t>
            </w:r>
            <w:r>
              <w:rPr>
                <w:rFonts w:hint="default" w:ascii="Times New Roman" w:hAnsi="Times New Roman" w:eastAsia="宋体" w:cs="Times New Roman"/>
                <w:color w:val="auto"/>
                <w:sz w:val="21"/>
                <w:szCs w:val="21"/>
                <w:highlight w:val="none"/>
                <w:lang w:val="en-US" w:eastAsia="zh-CN"/>
              </w:rPr>
              <w:t>吨/年</w:t>
            </w:r>
            <w:r>
              <w:rPr>
                <w:rFonts w:hint="eastAsia"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含有危险物质的废</w:t>
            </w:r>
            <w:r>
              <w:rPr>
                <w:rFonts w:hint="eastAsia" w:cs="Times New Roman"/>
                <w:color w:val="auto"/>
                <w:sz w:val="21"/>
                <w:szCs w:val="21"/>
                <w:highlight w:val="none"/>
                <w:lang w:val="en-US" w:eastAsia="zh-CN"/>
              </w:rPr>
              <w:t>固体废物产生量为</w:t>
            </w:r>
            <w:r>
              <w:rPr>
                <w:rFonts w:hint="default" w:ascii="Times New Roman" w:hAnsi="Times New Roman" w:eastAsia="宋体" w:cs="Times New Roman"/>
                <w:color w:val="auto"/>
                <w:sz w:val="21"/>
                <w:szCs w:val="21"/>
                <w:highlight w:val="none"/>
                <w:lang w:val="en-US" w:eastAsia="zh-CN"/>
              </w:rPr>
              <w:t>0.</w:t>
            </w:r>
            <w:r>
              <w:rPr>
                <w:rFonts w:hint="eastAsia" w:cs="Times New Roman"/>
                <w:color w:val="auto"/>
                <w:sz w:val="21"/>
                <w:szCs w:val="21"/>
                <w:highlight w:val="none"/>
                <w:lang w:val="en-US" w:eastAsia="zh-CN"/>
              </w:rPr>
              <w:t>28</w:t>
            </w:r>
            <w:r>
              <w:rPr>
                <w:rFonts w:hint="default" w:ascii="Times New Roman" w:hAnsi="Times New Roman" w:eastAsia="宋体" w:cs="Times New Roman"/>
                <w:color w:val="auto"/>
                <w:sz w:val="21"/>
                <w:szCs w:val="21"/>
                <w:highlight w:val="none"/>
                <w:lang w:val="en-US" w:eastAsia="zh-CN"/>
              </w:rPr>
              <w:t>吨/年</w:t>
            </w:r>
            <w:r>
              <w:rPr>
                <w:rFonts w:hint="eastAsia" w:ascii="Times New Roman" w:hAnsi="Times New Roman" w:eastAsia="宋体" w:cs="Times New Roman"/>
                <w:color w:val="auto"/>
                <w:sz w:val="21"/>
                <w:szCs w:val="21"/>
                <w:highlight w:val="none"/>
                <w:lang w:val="en-US" w:eastAsia="zh-CN"/>
              </w:rPr>
              <w:t>，则危废样品</w:t>
            </w:r>
            <w:r>
              <w:rPr>
                <w:rFonts w:hint="eastAsia" w:cs="Times New Roman"/>
                <w:color w:val="auto"/>
                <w:sz w:val="21"/>
                <w:szCs w:val="21"/>
                <w:highlight w:val="none"/>
                <w:lang w:val="en-US" w:eastAsia="zh-CN"/>
              </w:rPr>
              <w:t>废物</w:t>
            </w:r>
            <w:r>
              <w:rPr>
                <w:rFonts w:hint="eastAsia" w:ascii="Times New Roman" w:hAnsi="Times New Roman" w:eastAsia="宋体" w:cs="Times New Roman"/>
                <w:color w:val="auto"/>
                <w:sz w:val="21"/>
                <w:szCs w:val="21"/>
                <w:highlight w:val="none"/>
                <w:lang w:val="en-US" w:eastAsia="zh-CN"/>
              </w:rPr>
              <w:t>产生量为0.</w:t>
            </w:r>
            <w:r>
              <w:rPr>
                <w:rFonts w:hint="eastAsia" w:cs="Times New Roman"/>
                <w:color w:val="auto"/>
                <w:sz w:val="21"/>
                <w:szCs w:val="21"/>
                <w:highlight w:val="none"/>
                <w:lang w:val="en-US" w:eastAsia="zh-CN"/>
              </w:rPr>
              <w:t>56</w:t>
            </w:r>
            <w:r>
              <w:rPr>
                <w:rFonts w:hint="eastAsia" w:ascii="Times New Roman" w:hAnsi="Times New Roman" w:eastAsia="宋体" w:cs="Times New Roman"/>
                <w:color w:val="auto"/>
                <w:sz w:val="21"/>
                <w:szCs w:val="21"/>
                <w:highlight w:val="none"/>
                <w:lang w:val="en-US" w:eastAsia="zh-CN"/>
              </w:rPr>
              <w:t>t/a</w:t>
            </w:r>
            <w:r>
              <w:rPr>
                <w:rFonts w:hint="default" w:ascii="Times New Roman" w:hAnsi="Times New Roman" w:eastAsia="宋体" w:cs="Times New Roman"/>
                <w:color w:val="auto"/>
                <w:sz w:val="21"/>
                <w:szCs w:val="21"/>
                <w:highlight w:val="none"/>
                <w:lang w:val="en-US" w:eastAsia="zh-CN"/>
              </w:rPr>
              <w:t>。</w:t>
            </w:r>
          </w:p>
          <w:p w14:paraId="06138B51">
            <w:pPr>
              <w:keepNext w:val="0"/>
              <w:keepLines w:val="0"/>
              <w:pageBreakBefore w:val="0"/>
              <w:widowControl w:val="0"/>
              <w:kinsoku/>
              <w:bidi w:val="0"/>
              <w:snapToGrid/>
              <w:spacing w:line="360" w:lineRule="auto"/>
              <w:ind w:firstLine="420" w:firstLineChars="200"/>
              <w:jc w:val="left"/>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⑤废试剂瓶</w:t>
            </w:r>
          </w:p>
          <w:p w14:paraId="3FA95AE1">
            <w:pPr>
              <w:keepNext w:val="0"/>
              <w:keepLines w:val="0"/>
              <w:pageBreakBefore w:val="0"/>
              <w:widowControl w:val="0"/>
              <w:kinsoku/>
              <w:bidi w:val="0"/>
              <w:snapToGrid/>
              <w:spacing w:line="360" w:lineRule="auto"/>
              <w:ind w:firstLine="482" w:firstLineChars="200"/>
              <w:jc w:val="center"/>
              <w:rPr>
                <w:rFonts w:hint="default" w:cs="Times New Roman"/>
                <w:b/>
                <w:bCs/>
                <w:color w:val="auto"/>
                <w:sz w:val="24"/>
                <w:szCs w:val="24"/>
                <w:highlight w:val="none"/>
                <w:lang w:val="en-US" w:eastAsia="zh-CN"/>
              </w:rPr>
            </w:pPr>
            <w:r>
              <w:rPr>
                <w:rFonts w:hint="eastAsia" w:cs="Times New Roman"/>
                <w:b/>
                <w:bCs/>
                <w:color w:val="auto"/>
                <w:sz w:val="24"/>
                <w:szCs w:val="24"/>
                <w:highlight w:val="none"/>
                <w:lang w:val="en-US" w:eastAsia="zh-CN"/>
              </w:rPr>
              <w:t>表42原辅材料废试剂瓶产生情况一览表</w:t>
            </w:r>
          </w:p>
          <w:tbl>
            <w:tblPr>
              <w:tblStyle w:val="33"/>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27"/>
              <w:gridCol w:w="1674"/>
              <w:gridCol w:w="899"/>
              <w:gridCol w:w="1392"/>
              <w:gridCol w:w="1419"/>
              <w:gridCol w:w="1086"/>
              <w:gridCol w:w="1389"/>
            </w:tblGrid>
            <w:tr w14:paraId="24A821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0" w:type="pct"/>
                  <w:noWrap w:val="0"/>
                  <w:vAlign w:val="center"/>
                </w:tcPr>
                <w:p w14:paraId="0B92FFF3">
                  <w:pPr>
                    <w:adjustRightInd w:val="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序号</w:t>
                  </w:r>
                </w:p>
              </w:tc>
              <w:tc>
                <w:tcPr>
                  <w:tcW w:w="986" w:type="pct"/>
                  <w:noWrap w:val="0"/>
                  <w:vAlign w:val="center"/>
                </w:tcPr>
                <w:p w14:paraId="2EA63E38">
                  <w:pPr>
                    <w:adjustRightInd w:val="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原材料名称</w:t>
                  </w:r>
                </w:p>
              </w:tc>
              <w:tc>
                <w:tcPr>
                  <w:tcW w:w="529" w:type="pct"/>
                  <w:noWrap w:val="0"/>
                  <w:vAlign w:val="center"/>
                </w:tcPr>
                <w:p w14:paraId="2BF0EC5C">
                  <w:pPr>
                    <w:adjustRightInd w:val="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年用量</w:t>
                  </w:r>
                </w:p>
              </w:tc>
              <w:tc>
                <w:tcPr>
                  <w:tcW w:w="820" w:type="pct"/>
                  <w:shd w:val="clear" w:color="auto" w:fill="auto"/>
                  <w:noWrap w:val="0"/>
                  <w:vAlign w:val="center"/>
                </w:tcPr>
                <w:p w14:paraId="06831090">
                  <w:pPr>
                    <w:pStyle w:val="100"/>
                    <w:widowControl/>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sz w:val="21"/>
                      <w:szCs w:val="21"/>
                      <w:highlight w:val="none"/>
                    </w:rPr>
                    <w:t>包装方式</w:t>
                  </w:r>
                </w:p>
              </w:tc>
              <w:tc>
                <w:tcPr>
                  <w:tcW w:w="836" w:type="pct"/>
                  <w:noWrap w:val="0"/>
                  <w:vAlign w:val="center"/>
                </w:tcPr>
                <w:p w14:paraId="7C3BE8E4">
                  <w:pPr>
                    <w:pStyle w:val="100"/>
                    <w:widowControl/>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单个空瓶重量/g</w:t>
                  </w:r>
                </w:p>
              </w:tc>
              <w:tc>
                <w:tcPr>
                  <w:tcW w:w="638" w:type="pct"/>
                  <w:noWrap w:val="0"/>
                  <w:vAlign w:val="center"/>
                </w:tcPr>
                <w:p w14:paraId="2CB719E2">
                  <w:pPr>
                    <w:pStyle w:val="100"/>
                    <w:widowControl/>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数量/瓶</w:t>
                  </w:r>
                </w:p>
              </w:tc>
              <w:tc>
                <w:tcPr>
                  <w:tcW w:w="818" w:type="pct"/>
                  <w:noWrap w:val="0"/>
                  <w:vAlign w:val="center"/>
                </w:tcPr>
                <w:p w14:paraId="4E013481">
                  <w:pPr>
                    <w:pStyle w:val="100"/>
                    <w:widowControl/>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总重量（g）</w:t>
                  </w:r>
                </w:p>
              </w:tc>
            </w:tr>
            <w:tr w14:paraId="5D8A99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70" w:type="pct"/>
                  <w:noWrap w:val="0"/>
                  <w:vAlign w:val="center"/>
                </w:tcPr>
                <w:p w14:paraId="3F7ADC37">
                  <w:pPr>
                    <w:widowControl/>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w:t>
                  </w:r>
                </w:p>
              </w:tc>
              <w:tc>
                <w:tcPr>
                  <w:tcW w:w="986" w:type="pct"/>
                  <w:noWrap w:val="0"/>
                  <w:vAlign w:val="center"/>
                </w:tcPr>
                <w:p w14:paraId="7BD6703C">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乙二胺四乙酸</w:t>
                  </w:r>
                </w:p>
              </w:tc>
              <w:tc>
                <w:tcPr>
                  <w:tcW w:w="529" w:type="pct"/>
                  <w:noWrap w:val="0"/>
                  <w:vAlign w:val="center"/>
                </w:tcPr>
                <w:p w14:paraId="24EC547C">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5kg</w:t>
                  </w:r>
                </w:p>
              </w:tc>
              <w:tc>
                <w:tcPr>
                  <w:tcW w:w="820" w:type="pct"/>
                  <w:shd w:val="clear" w:color="auto" w:fill="auto"/>
                  <w:noWrap w:val="0"/>
                  <w:vAlign w:val="center"/>
                </w:tcPr>
                <w:p w14:paraId="01D9CA0F">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rPr>
                    <w:t>500g</w:t>
                  </w:r>
                  <w:r>
                    <w:rPr>
                      <w:rFonts w:hint="eastAsia" w:cs="Times New Roman"/>
                      <w:bCs/>
                      <w:color w:val="auto"/>
                      <w:sz w:val="21"/>
                      <w:szCs w:val="21"/>
                      <w:highlight w:val="none"/>
                      <w:lang w:val="en-US" w:eastAsia="zh-CN"/>
                    </w:rPr>
                    <w:t>/瓶</w:t>
                  </w:r>
                </w:p>
              </w:tc>
              <w:tc>
                <w:tcPr>
                  <w:tcW w:w="836" w:type="pct"/>
                  <w:shd w:val="clear" w:color="auto" w:fill="auto"/>
                  <w:noWrap w:val="0"/>
                  <w:vAlign w:val="center"/>
                </w:tcPr>
                <w:p w14:paraId="448DEEBB">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50g</w:t>
                  </w:r>
                </w:p>
              </w:tc>
              <w:tc>
                <w:tcPr>
                  <w:tcW w:w="638" w:type="pct"/>
                  <w:noWrap w:val="0"/>
                  <w:vAlign w:val="center"/>
                </w:tcPr>
                <w:p w14:paraId="5638F33B">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10</w:t>
                  </w:r>
                </w:p>
              </w:tc>
              <w:tc>
                <w:tcPr>
                  <w:tcW w:w="818" w:type="pct"/>
                  <w:noWrap w:val="0"/>
                  <w:vAlign w:val="center"/>
                </w:tcPr>
                <w:p w14:paraId="5FF4C3D3">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500</w:t>
                  </w:r>
                </w:p>
              </w:tc>
            </w:tr>
            <w:tr w14:paraId="0EDC75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0" w:type="pct"/>
                  <w:noWrap w:val="0"/>
                  <w:vAlign w:val="center"/>
                </w:tcPr>
                <w:p w14:paraId="00C40886">
                  <w:pPr>
                    <w:widowControl/>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w:t>
                  </w:r>
                </w:p>
              </w:tc>
              <w:tc>
                <w:tcPr>
                  <w:tcW w:w="986" w:type="pct"/>
                  <w:noWrap w:val="0"/>
                  <w:vAlign w:val="center"/>
                </w:tcPr>
                <w:p w14:paraId="6369968C">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溴百里香酚蓝（BTB）</w:t>
                  </w:r>
                </w:p>
              </w:tc>
              <w:tc>
                <w:tcPr>
                  <w:tcW w:w="529" w:type="pct"/>
                  <w:noWrap w:val="0"/>
                  <w:vAlign w:val="center"/>
                </w:tcPr>
                <w:p w14:paraId="39CAD46E">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0.05kg</w:t>
                  </w:r>
                </w:p>
              </w:tc>
              <w:tc>
                <w:tcPr>
                  <w:tcW w:w="820" w:type="pct"/>
                  <w:shd w:val="clear" w:color="auto" w:fill="auto"/>
                  <w:noWrap w:val="0"/>
                  <w:vAlign w:val="center"/>
                </w:tcPr>
                <w:p w14:paraId="5DE96349">
                  <w:pPr>
                    <w:tabs>
                      <w:tab w:val="left" w:pos="1088"/>
                    </w:tabs>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rPr>
                    <w:t>95%</w:t>
                  </w:r>
                  <w:r>
                    <w:rPr>
                      <w:rFonts w:hint="eastAsia" w:cs="Times New Roman"/>
                      <w:bCs/>
                      <w:color w:val="auto"/>
                      <w:sz w:val="21"/>
                      <w:szCs w:val="21"/>
                      <w:highlight w:val="none"/>
                      <w:lang w:eastAsia="zh-CN"/>
                    </w:rPr>
                    <w:t>，</w:t>
                  </w:r>
                  <w:r>
                    <w:rPr>
                      <w:rFonts w:hint="eastAsia" w:cs="Times New Roman"/>
                      <w:bCs/>
                      <w:color w:val="auto"/>
                      <w:sz w:val="21"/>
                      <w:szCs w:val="21"/>
                      <w:highlight w:val="none"/>
                      <w:lang w:val="en-US" w:eastAsia="zh-CN"/>
                    </w:rPr>
                    <w:t>25g/瓶</w:t>
                  </w:r>
                </w:p>
              </w:tc>
              <w:tc>
                <w:tcPr>
                  <w:tcW w:w="836" w:type="pct"/>
                  <w:shd w:val="clear" w:color="auto" w:fill="auto"/>
                  <w:noWrap w:val="0"/>
                  <w:vAlign w:val="center"/>
                </w:tcPr>
                <w:p w14:paraId="02B81A2E">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25</w:t>
                  </w:r>
                </w:p>
              </w:tc>
              <w:tc>
                <w:tcPr>
                  <w:tcW w:w="638" w:type="pct"/>
                  <w:noWrap w:val="0"/>
                  <w:vAlign w:val="center"/>
                </w:tcPr>
                <w:p w14:paraId="45A3ACE3">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818" w:type="pct"/>
                  <w:noWrap w:val="0"/>
                  <w:vAlign w:val="center"/>
                </w:tcPr>
                <w:p w14:paraId="4007F601">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50</w:t>
                  </w:r>
                </w:p>
              </w:tc>
            </w:tr>
            <w:tr w14:paraId="5F7BFD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0" w:type="pct"/>
                  <w:noWrap w:val="0"/>
                  <w:vAlign w:val="center"/>
                </w:tcPr>
                <w:p w14:paraId="6A1EEABE">
                  <w:pPr>
                    <w:widowControl/>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w:t>
                  </w:r>
                </w:p>
              </w:tc>
              <w:tc>
                <w:tcPr>
                  <w:tcW w:w="986" w:type="pct"/>
                  <w:noWrap w:val="0"/>
                  <w:vAlign w:val="center"/>
                </w:tcPr>
                <w:p w14:paraId="43E2BEB3">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酚酞</w:t>
                  </w:r>
                </w:p>
              </w:tc>
              <w:tc>
                <w:tcPr>
                  <w:tcW w:w="529" w:type="pct"/>
                  <w:noWrap w:val="0"/>
                  <w:vAlign w:val="center"/>
                </w:tcPr>
                <w:p w14:paraId="4CFA17E0">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0.025kg</w:t>
                  </w:r>
                </w:p>
              </w:tc>
              <w:tc>
                <w:tcPr>
                  <w:tcW w:w="820" w:type="pct"/>
                  <w:shd w:val="clear" w:color="auto" w:fill="auto"/>
                  <w:noWrap w:val="0"/>
                  <w:vAlign w:val="center"/>
                </w:tcPr>
                <w:p w14:paraId="09E91A17">
                  <w:pPr>
                    <w:tabs>
                      <w:tab w:val="left" w:pos="1088"/>
                    </w:tabs>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rPr>
                    <w:t>科欧，25g</w:t>
                  </w:r>
                  <w:r>
                    <w:rPr>
                      <w:rFonts w:hint="eastAsia" w:cs="Times New Roman"/>
                      <w:bCs/>
                      <w:color w:val="auto"/>
                      <w:sz w:val="21"/>
                      <w:szCs w:val="21"/>
                      <w:highlight w:val="none"/>
                      <w:lang w:val="en-US" w:eastAsia="zh-CN"/>
                    </w:rPr>
                    <w:t>/瓶</w:t>
                  </w:r>
                </w:p>
              </w:tc>
              <w:tc>
                <w:tcPr>
                  <w:tcW w:w="836" w:type="pct"/>
                  <w:shd w:val="clear" w:color="auto" w:fill="auto"/>
                  <w:noWrap w:val="0"/>
                  <w:vAlign w:val="center"/>
                </w:tcPr>
                <w:p w14:paraId="29E354ED">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25</w:t>
                  </w:r>
                </w:p>
              </w:tc>
              <w:tc>
                <w:tcPr>
                  <w:tcW w:w="638" w:type="pct"/>
                  <w:noWrap w:val="0"/>
                  <w:vAlign w:val="center"/>
                </w:tcPr>
                <w:p w14:paraId="0C186BB0">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818" w:type="pct"/>
                  <w:noWrap w:val="0"/>
                  <w:vAlign w:val="center"/>
                </w:tcPr>
                <w:p w14:paraId="7DD8AFBB">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25</w:t>
                  </w:r>
                </w:p>
              </w:tc>
            </w:tr>
            <w:tr w14:paraId="729937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0" w:type="pct"/>
                  <w:noWrap w:val="0"/>
                  <w:vAlign w:val="center"/>
                </w:tcPr>
                <w:p w14:paraId="3936F260">
                  <w:pPr>
                    <w:widowControl/>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w:t>
                  </w:r>
                </w:p>
              </w:tc>
              <w:tc>
                <w:tcPr>
                  <w:tcW w:w="986" w:type="pct"/>
                  <w:noWrap w:val="0"/>
                  <w:vAlign w:val="center"/>
                </w:tcPr>
                <w:p w14:paraId="42B7E362">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甲基红</w:t>
                  </w:r>
                </w:p>
              </w:tc>
              <w:tc>
                <w:tcPr>
                  <w:tcW w:w="529" w:type="pct"/>
                  <w:noWrap w:val="0"/>
                  <w:vAlign w:val="center"/>
                </w:tcPr>
                <w:p w14:paraId="69FB37FF">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0.025kg</w:t>
                  </w:r>
                </w:p>
              </w:tc>
              <w:tc>
                <w:tcPr>
                  <w:tcW w:w="820" w:type="pct"/>
                  <w:shd w:val="clear" w:color="auto" w:fill="auto"/>
                  <w:noWrap w:val="0"/>
                  <w:vAlign w:val="center"/>
                </w:tcPr>
                <w:p w14:paraId="5A3F8A0E">
                  <w:pPr>
                    <w:tabs>
                      <w:tab w:val="left" w:pos="1088"/>
                    </w:tabs>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rPr>
                    <w:t>25g</w:t>
                  </w:r>
                  <w:r>
                    <w:rPr>
                      <w:rFonts w:hint="eastAsia" w:cs="Times New Roman"/>
                      <w:bCs/>
                      <w:color w:val="auto"/>
                      <w:sz w:val="21"/>
                      <w:szCs w:val="21"/>
                      <w:highlight w:val="none"/>
                      <w:lang w:val="en-US" w:eastAsia="zh-CN"/>
                    </w:rPr>
                    <w:t>/瓶</w:t>
                  </w:r>
                </w:p>
              </w:tc>
              <w:tc>
                <w:tcPr>
                  <w:tcW w:w="836" w:type="pct"/>
                  <w:shd w:val="clear" w:color="auto" w:fill="auto"/>
                  <w:noWrap w:val="0"/>
                  <w:vAlign w:val="center"/>
                </w:tcPr>
                <w:p w14:paraId="3CB82E5F">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25</w:t>
                  </w:r>
                </w:p>
              </w:tc>
              <w:tc>
                <w:tcPr>
                  <w:tcW w:w="638" w:type="pct"/>
                  <w:noWrap w:val="0"/>
                  <w:vAlign w:val="center"/>
                </w:tcPr>
                <w:p w14:paraId="3364BE6E">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818" w:type="pct"/>
                  <w:noWrap w:val="0"/>
                  <w:vAlign w:val="center"/>
                </w:tcPr>
                <w:p w14:paraId="4E3F947E">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25</w:t>
                  </w:r>
                </w:p>
              </w:tc>
            </w:tr>
            <w:tr w14:paraId="4D2093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7" w:hRule="atLeast"/>
                <w:jc w:val="center"/>
              </w:trPr>
              <w:tc>
                <w:tcPr>
                  <w:tcW w:w="370" w:type="pct"/>
                  <w:noWrap w:val="0"/>
                  <w:vAlign w:val="center"/>
                </w:tcPr>
                <w:p w14:paraId="7FF31EBC">
                  <w:pPr>
                    <w:widowControl/>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w:t>
                  </w:r>
                </w:p>
              </w:tc>
              <w:tc>
                <w:tcPr>
                  <w:tcW w:w="986" w:type="pct"/>
                  <w:noWrap w:val="0"/>
                  <w:vAlign w:val="center"/>
                </w:tcPr>
                <w:p w14:paraId="75D3D6D9">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百里香酚蓝</w:t>
                  </w:r>
                </w:p>
              </w:tc>
              <w:tc>
                <w:tcPr>
                  <w:tcW w:w="529" w:type="pct"/>
                  <w:noWrap w:val="0"/>
                  <w:vAlign w:val="center"/>
                </w:tcPr>
                <w:p w14:paraId="0A68820C">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0.125kg</w:t>
                  </w:r>
                </w:p>
              </w:tc>
              <w:tc>
                <w:tcPr>
                  <w:tcW w:w="820" w:type="pct"/>
                  <w:shd w:val="clear" w:color="auto" w:fill="auto"/>
                  <w:noWrap w:val="0"/>
                  <w:vAlign w:val="center"/>
                </w:tcPr>
                <w:p w14:paraId="35FCE118">
                  <w:pPr>
                    <w:tabs>
                      <w:tab w:val="left" w:pos="1088"/>
                    </w:tabs>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rPr>
                    <w:t>25g</w:t>
                  </w:r>
                  <w:r>
                    <w:rPr>
                      <w:rFonts w:hint="eastAsia" w:cs="Times New Roman"/>
                      <w:bCs/>
                      <w:color w:val="auto"/>
                      <w:sz w:val="21"/>
                      <w:szCs w:val="21"/>
                      <w:highlight w:val="none"/>
                      <w:lang w:val="en-US" w:eastAsia="zh-CN"/>
                    </w:rPr>
                    <w:t>/瓶</w:t>
                  </w:r>
                </w:p>
              </w:tc>
              <w:tc>
                <w:tcPr>
                  <w:tcW w:w="836" w:type="pct"/>
                  <w:shd w:val="clear" w:color="auto" w:fill="auto"/>
                  <w:noWrap w:val="0"/>
                  <w:vAlign w:val="center"/>
                </w:tcPr>
                <w:p w14:paraId="4DEB985D">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25</w:t>
                  </w:r>
                </w:p>
              </w:tc>
              <w:tc>
                <w:tcPr>
                  <w:tcW w:w="638" w:type="pct"/>
                  <w:noWrap w:val="0"/>
                  <w:vAlign w:val="center"/>
                </w:tcPr>
                <w:p w14:paraId="38E2D733">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5</w:t>
                  </w:r>
                </w:p>
              </w:tc>
              <w:tc>
                <w:tcPr>
                  <w:tcW w:w="818" w:type="pct"/>
                  <w:noWrap w:val="0"/>
                  <w:vAlign w:val="center"/>
                </w:tcPr>
                <w:p w14:paraId="50A7F332">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125</w:t>
                  </w:r>
                </w:p>
              </w:tc>
            </w:tr>
            <w:tr w14:paraId="0E8B90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0" w:type="pct"/>
                  <w:noWrap w:val="0"/>
                  <w:vAlign w:val="center"/>
                </w:tcPr>
                <w:p w14:paraId="3F1D92BD">
                  <w:pPr>
                    <w:widowControl/>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w:t>
                  </w:r>
                </w:p>
              </w:tc>
              <w:tc>
                <w:tcPr>
                  <w:tcW w:w="986" w:type="pct"/>
                  <w:noWrap w:val="0"/>
                  <w:vAlign w:val="center"/>
                </w:tcPr>
                <w:p w14:paraId="47CCEF7C">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甲基橙</w:t>
                  </w:r>
                </w:p>
              </w:tc>
              <w:tc>
                <w:tcPr>
                  <w:tcW w:w="529" w:type="pct"/>
                  <w:noWrap w:val="0"/>
                  <w:vAlign w:val="center"/>
                </w:tcPr>
                <w:p w14:paraId="059A4E29">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0.05kg</w:t>
                  </w:r>
                </w:p>
              </w:tc>
              <w:tc>
                <w:tcPr>
                  <w:tcW w:w="820" w:type="pct"/>
                  <w:shd w:val="clear" w:color="auto" w:fill="auto"/>
                  <w:noWrap w:val="0"/>
                  <w:vAlign w:val="center"/>
                </w:tcPr>
                <w:p w14:paraId="74BF79D6">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rPr>
                    <w:t>25g</w:t>
                  </w:r>
                  <w:r>
                    <w:rPr>
                      <w:rFonts w:hint="eastAsia" w:cs="Times New Roman"/>
                      <w:bCs/>
                      <w:color w:val="auto"/>
                      <w:sz w:val="21"/>
                      <w:szCs w:val="21"/>
                      <w:highlight w:val="none"/>
                      <w:lang w:val="en-US" w:eastAsia="zh-CN"/>
                    </w:rPr>
                    <w:t>/瓶</w:t>
                  </w:r>
                </w:p>
              </w:tc>
              <w:tc>
                <w:tcPr>
                  <w:tcW w:w="836" w:type="pct"/>
                  <w:shd w:val="clear" w:color="auto" w:fill="auto"/>
                  <w:noWrap w:val="0"/>
                  <w:vAlign w:val="center"/>
                </w:tcPr>
                <w:p w14:paraId="61E48F39">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25</w:t>
                  </w:r>
                </w:p>
              </w:tc>
              <w:tc>
                <w:tcPr>
                  <w:tcW w:w="638" w:type="pct"/>
                  <w:noWrap w:val="0"/>
                  <w:vAlign w:val="center"/>
                </w:tcPr>
                <w:p w14:paraId="373EFAE6">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818" w:type="pct"/>
                  <w:noWrap w:val="0"/>
                  <w:vAlign w:val="center"/>
                </w:tcPr>
                <w:p w14:paraId="60C0B9A6">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50</w:t>
                  </w:r>
                </w:p>
              </w:tc>
            </w:tr>
            <w:tr w14:paraId="52D8E6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0" w:type="pct"/>
                  <w:noWrap w:val="0"/>
                  <w:vAlign w:val="center"/>
                </w:tcPr>
                <w:p w14:paraId="2A7E5778">
                  <w:pPr>
                    <w:widowControl/>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7</w:t>
                  </w:r>
                </w:p>
              </w:tc>
              <w:tc>
                <w:tcPr>
                  <w:tcW w:w="986" w:type="pct"/>
                  <w:noWrap w:val="0"/>
                  <w:vAlign w:val="center"/>
                </w:tcPr>
                <w:p w14:paraId="598EF001">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水杨酸</w:t>
                  </w:r>
                </w:p>
              </w:tc>
              <w:tc>
                <w:tcPr>
                  <w:tcW w:w="529" w:type="pct"/>
                  <w:noWrap w:val="0"/>
                  <w:vAlign w:val="center"/>
                </w:tcPr>
                <w:p w14:paraId="7DA54340">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1kg</w:t>
                  </w:r>
                </w:p>
              </w:tc>
              <w:tc>
                <w:tcPr>
                  <w:tcW w:w="820" w:type="pct"/>
                  <w:shd w:val="clear" w:color="auto" w:fill="auto"/>
                  <w:noWrap w:val="0"/>
                  <w:vAlign w:val="center"/>
                </w:tcPr>
                <w:p w14:paraId="6A7B04F0">
                  <w:pPr>
                    <w:tabs>
                      <w:tab w:val="left" w:pos="1088"/>
                    </w:tabs>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rPr>
                    <w:t>250g</w:t>
                  </w:r>
                  <w:r>
                    <w:rPr>
                      <w:rFonts w:hint="eastAsia" w:cs="Times New Roman"/>
                      <w:bCs/>
                      <w:color w:val="auto"/>
                      <w:sz w:val="21"/>
                      <w:szCs w:val="21"/>
                      <w:highlight w:val="none"/>
                      <w:lang w:val="en-US" w:eastAsia="zh-CN"/>
                    </w:rPr>
                    <w:t>/瓶</w:t>
                  </w:r>
                </w:p>
              </w:tc>
              <w:tc>
                <w:tcPr>
                  <w:tcW w:w="836" w:type="pct"/>
                  <w:shd w:val="clear" w:color="auto" w:fill="auto"/>
                  <w:noWrap w:val="0"/>
                  <w:vAlign w:val="center"/>
                </w:tcPr>
                <w:p w14:paraId="521CF6A0">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40</w:t>
                  </w:r>
                </w:p>
              </w:tc>
              <w:tc>
                <w:tcPr>
                  <w:tcW w:w="638" w:type="pct"/>
                  <w:noWrap w:val="0"/>
                  <w:vAlign w:val="center"/>
                </w:tcPr>
                <w:p w14:paraId="5F03D8F4">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4</w:t>
                  </w:r>
                </w:p>
              </w:tc>
              <w:tc>
                <w:tcPr>
                  <w:tcW w:w="818" w:type="pct"/>
                  <w:noWrap w:val="0"/>
                  <w:vAlign w:val="center"/>
                </w:tcPr>
                <w:p w14:paraId="4EC9092B">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160</w:t>
                  </w:r>
                </w:p>
              </w:tc>
            </w:tr>
            <w:tr w14:paraId="71CD37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0" w:type="pct"/>
                  <w:noWrap w:val="0"/>
                  <w:vAlign w:val="center"/>
                </w:tcPr>
                <w:p w14:paraId="0B8D27C7">
                  <w:pPr>
                    <w:widowControl/>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w:t>
                  </w:r>
                </w:p>
              </w:tc>
              <w:tc>
                <w:tcPr>
                  <w:tcW w:w="986" w:type="pct"/>
                  <w:noWrap w:val="0"/>
                  <w:vAlign w:val="center"/>
                </w:tcPr>
                <w:p w14:paraId="71AB6864">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草酸钠</w:t>
                  </w:r>
                </w:p>
              </w:tc>
              <w:tc>
                <w:tcPr>
                  <w:tcW w:w="529" w:type="pct"/>
                  <w:noWrap w:val="0"/>
                  <w:vAlign w:val="center"/>
                </w:tcPr>
                <w:p w14:paraId="3D82D047">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2.5kg</w:t>
                  </w:r>
                </w:p>
              </w:tc>
              <w:tc>
                <w:tcPr>
                  <w:tcW w:w="820" w:type="pct"/>
                  <w:shd w:val="clear" w:color="auto" w:fill="auto"/>
                  <w:noWrap w:val="0"/>
                  <w:vAlign w:val="center"/>
                </w:tcPr>
                <w:p w14:paraId="71BBC7E9">
                  <w:pPr>
                    <w:tabs>
                      <w:tab w:val="left" w:pos="1088"/>
                    </w:tabs>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rPr>
                    <w:t>500g</w:t>
                  </w:r>
                  <w:r>
                    <w:rPr>
                      <w:rFonts w:hint="eastAsia" w:cs="Times New Roman"/>
                      <w:bCs/>
                      <w:color w:val="auto"/>
                      <w:sz w:val="21"/>
                      <w:szCs w:val="21"/>
                      <w:highlight w:val="none"/>
                      <w:lang w:val="en-US" w:eastAsia="zh-CN"/>
                    </w:rPr>
                    <w:t>/瓶</w:t>
                  </w:r>
                </w:p>
              </w:tc>
              <w:tc>
                <w:tcPr>
                  <w:tcW w:w="836" w:type="pct"/>
                  <w:shd w:val="clear" w:color="auto" w:fill="auto"/>
                  <w:noWrap w:val="0"/>
                  <w:vAlign w:val="center"/>
                </w:tcPr>
                <w:p w14:paraId="6AD78CAA">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50</w:t>
                  </w:r>
                </w:p>
              </w:tc>
              <w:tc>
                <w:tcPr>
                  <w:tcW w:w="638" w:type="pct"/>
                  <w:noWrap w:val="0"/>
                  <w:vAlign w:val="center"/>
                </w:tcPr>
                <w:p w14:paraId="694019EB">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5</w:t>
                  </w:r>
                </w:p>
              </w:tc>
              <w:tc>
                <w:tcPr>
                  <w:tcW w:w="818" w:type="pct"/>
                  <w:noWrap w:val="0"/>
                  <w:vAlign w:val="center"/>
                </w:tcPr>
                <w:p w14:paraId="374DDACA">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250</w:t>
                  </w:r>
                </w:p>
              </w:tc>
            </w:tr>
            <w:tr w14:paraId="29FCF0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0" w:type="pct"/>
                  <w:noWrap w:val="0"/>
                  <w:vAlign w:val="center"/>
                </w:tcPr>
                <w:p w14:paraId="1DCEC3D9">
                  <w:pPr>
                    <w:widowControl/>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9</w:t>
                  </w:r>
                </w:p>
              </w:tc>
              <w:tc>
                <w:tcPr>
                  <w:tcW w:w="986" w:type="pct"/>
                  <w:noWrap w:val="0"/>
                  <w:vAlign w:val="center"/>
                </w:tcPr>
                <w:p w14:paraId="0A1C29C5">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无水乙酸钠</w:t>
                  </w:r>
                </w:p>
              </w:tc>
              <w:tc>
                <w:tcPr>
                  <w:tcW w:w="529" w:type="pct"/>
                  <w:noWrap w:val="0"/>
                  <w:vAlign w:val="center"/>
                </w:tcPr>
                <w:p w14:paraId="76B4CABD">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1kg</w:t>
                  </w:r>
                </w:p>
              </w:tc>
              <w:tc>
                <w:tcPr>
                  <w:tcW w:w="820" w:type="pct"/>
                  <w:shd w:val="clear" w:color="auto" w:fill="auto"/>
                  <w:noWrap w:val="0"/>
                  <w:vAlign w:val="center"/>
                </w:tcPr>
                <w:p w14:paraId="2C14048B">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rPr>
                    <w:t>500g</w:t>
                  </w:r>
                  <w:r>
                    <w:rPr>
                      <w:rFonts w:hint="eastAsia" w:cs="Times New Roman"/>
                      <w:bCs/>
                      <w:color w:val="auto"/>
                      <w:sz w:val="21"/>
                      <w:szCs w:val="21"/>
                      <w:highlight w:val="none"/>
                      <w:lang w:val="en-US" w:eastAsia="zh-CN"/>
                    </w:rPr>
                    <w:t>/瓶</w:t>
                  </w:r>
                </w:p>
              </w:tc>
              <w:tc>
                <w:tcPr>
                  <w:tcW w:w="836" w:type="pct"/>
                  <w:shd w:val="clear" w:color="auto" w:fill="auto"/>
                  <w:noWrap w:val="0"/>
                  <w:vAlign w:val="center"/>
                </w:tcPr>
                <w:p w14:paraId="1C13F1F6">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50</w:t>
                  </w:r>
                </w:p>
              </w:tc>
              <w:tc>
                <w:tcPr>
                  <w:tcW w:w="638" w:type="pct"/>
                  <w:noWrap w:val="0"/>
                  <w:vAlign w:val="center"/>
                </w:tcPr>
                <w:p w14:paraId="611EE369">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818" w:type="pct"/>
                  <w:noWrap w:val="0"/>
                  <w:vAlign w:val="center"/>
                </w:tcPr>
                <w:p w14:paraId="7EB1229D">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100</w:t>
                  </w:r>
                </w:p>
              </w:tc>
            </w:tr>
            <w:tr w14:paraId="6DFF08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70" w:type="pct"/>
                  <w:noWrap w:val="0"/>
                  <w:vAlign w:val="center"/>
                </w:tcPr>
                <w:p w14:paraId="529C1E84">
                  <w:pPr>
                    <w:widowControl/>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10</w:t>
                  </w:r>
                </w:p>
              </w:tc>
              <w:tc>
                <w:tcPr>
                  <w:tcW w:w="986" w:type="pct"/>
                  <w:noWrap w:val="0"/>
                  <w:vAlign w:val="center"/>
                </w:tcPr>
                <w:p w14:paraId="4CA00F17">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尿素</w:t>
                  </w:r>
                </w:p>
              </w:tc>
              <w:tc>
                <w:tcPr>
                  <w:tcW w:w="529" w:type="pct"/>
                  <w:noWrap w:val="0"/>
                  <w:vAlign w:val="center"/>
                </w:tcPr>
                <w:p w14:paraId="697831F5">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1kg</w:t>
                  </w:r>
                </w:p>
              </w:tc>
              <w:tc>
                <w:tcPr>
                  <w:tcW w:w="820" w:type="pct"/>
                  <w:shd w:val="clear" w:color="auto" w:fill="auto"/>
                  <w:noWrap w:val="0"/>
                  <w:vAlign w:val="center"/>
                </w:tcPr>
                <w:p w14:paraId="0BC563DE">
                  <w:pPr>
                    <w:tabs>
                      <w:tab w:val="left" w:pos="1088"/>
                    </w:tabs>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rPr>
                    <w:t>500g</w:t>
                  </w:r>
                  <w:r>
                    <w:rPr>
                      <w:rFonts w:hint="eastAsia" w:cs="Times New Roman"/>
                      <w:bCs/>
                      <w:color w:val="auto"/>
                      <w:sz w:val="21"/>
                      <w:szCs w:val="21"/>
                      <w:highlight w:val="none"/>
                      <w:lang w:val="en-US" w:eastAsia="zh-CN"/>
                    </w:rPr>
                    <w:t>/瓶</w:t>
                  </w:r>
                </w:p>
              </w:tc>
              <w:tc>
                <w:tcPr>
                  <w:tcW w:w="836" w:type="pct"/>
                  <w:shd w:val="clear" w:color="auto" w:fill="auto"/>
                  <w:noWrap w:val="0"/>
                  <w:vAlign w:val="center"/>
                </w:tcPr>
                <w:p w14:paraId="3BF05151">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50</w:t>
                  </w:r>
                </w:p>
              </w:tc>
              <w:tc>
                <w:tcPr>
                  <w:tcW w:w="638" w:type="pct"/>
                  <w:noWrap w:val="0"/>
                  <w:vAlign w:val="center"/>
                </w:tcPr>
                <w:p w14:paraId="7D50B0D5">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818" w:type="pct"/>
                  <w:noWrap w:val="0"/>
                  <w:vAlign w:val="center"/>
                </w:tcPr>
                <w:p w14:paraId="69418B1C">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100</w:t>
                  </w:r>
                </w:p>
              </w:tc>
            </w:tr>
            <w:tr w14:paraId="6039E4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0" w:type="pct"/>
                  <w:noWrap w:val="0"/>
                  <w:vAlign w:val="center"/>
                </w:tcPr>
                <w:p w14:paraId="5F76D467">
                  <w:pPr>
                    <w:widowControl/>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11</w:t>
                  </w:r>
                </w:p>
              </w:tc>
              <w:tc>
                <w:tcPr>
                  <w:tcW w:w="986" w:type="pct"/>
                  <w:noWrap w:val="0"/>
                  <w:vAlign w:val="center"/>
                </w:tcPr>
                <w:p w14:paraId="2A48A2F5">
                  <w:pPr>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rPr>
                    <w:t>甲醇</w:t>
                  </w:r>
                </w:p>
              </w:tc>
              <w:tc>
                <w:tcPr>
                  <w:tcW w:w="529" w:type="pct"/>
                  <w:noWrap w:val="0"/>
                  <w:vAlign w:val="center"/>
                </w:tcPr>
                <w:p w14:paraId="57EE1F92">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2.5</w:t>
                  </w:r>
                  <w:r>
                    <w:rPr>
                      <w:rFonts w:hint="default" w:ascii="Times New Roman" w:hAnsi="Times New Roman" w:eastAsia="宋体" w:cs="Times New Roman"/>
                      <w:color w:val="auto"/>
                      <w:sz w:val="21"/>
                      <w:szCs w:val="21"/>
                      <w:highlight w:val="none"/>
                      <w:lang w:val="en-US" w:eastAsia="zh-CN"/>
                    </w:rPr>
                    <w:t>kg</w:t>
                  </w:r>
                </w:p>
              </w:tc>
              <w:tc>
                <w:tcPr>
                  <w:tcW w:w="820" w:type="pct"/>
                  <w:shd w:val="clear" w:color="auto" w:fill="auto"/>
                  <w:noWrap w:val="0"/>
                  <w:vAlign w:val="center"/>
                </w:tcPr>
                <w:p w14:paraId="7084F958">
                  <w:pPr>
                    <w:tabs>
                      <w:tab w:val="left" w:pos="1088"/>
                    </w:tabs>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rPr>
                    <w:t>500ml</w:t>
                  </w:r>
                  <w:r>
                    <w:rPr>
                      <w:rFonts w:hint="eastAsia" w:cs="Times New Roman"/>
                      <w:bCs/>
                      <w:color w:val="auto"/>
                      <w:sz w:val="21"/>
                      <w:szCs w:val="21"/>
                      <w:highlight w:val="none"/>
                      <w:lang w:val="en-US" w:eastAsia="zh-CN"/>
                    </w:rPr>
                    <w:t>/瓶（395.2g/瓶）</w:t>
                  </w:r>
                </w:p>
              </w:tc>
              <w:tc>
                <w:tcPr>
                  <w:tcW w:w="836" w:type="pct"/>
                  <w:shd w:val="clear" w:color="auto" w:fill="auto"/>
                  <w:noWrap w:val="0"/>
                  <w:vAlign w:val="center"/>
                </w:tcPr>
                <w:p w14:paraId="2296AAF7">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250</w:t>
                  </w:r>
                </w:p>
              </w:tc>
              <w:tc>
                <w:tcPr>
                  <w:tcW w:w="638" w:type="pct"/>
                  <w:noWrap w:val="0"/>
                  <w:vAlign w:val="center"/>
                </w:tcPr>
                <w:p w14:paraId="2B47E93F">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7</w:t>
                  </w:r>
                </w:p>
              </w:tc>
              <w:tc>
                <w:tcPr>
                  <w:tcW w:w="818" w:type="pct"/>
                  <w:noWrap w:val="0"/>
                  <w:vAlign w:val="center"/>
                </w:tcPr>
                <w:p w14:paraId="4ED86F0A">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1750</w:t>
                  </w:r>
                </w:p>
              </w:tc>
            </w:tr>
            <w:tr w14:paraId="47EB50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0" w:type="pct"/>
                  <w:noWrap w:val="0"/>
                  <w:vAlign w:val="center"/>
                </w:tcPr>
                <w:p w14:paraId="0665393D">
                  <w:pPr>
                    <w:widowControl/>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12</w:t>
                  </w:r>
                </w:p>
              </w:tc>
              <w:tc>
                <w:tcPr>
                  <w:tcW w:w="986" w:type="pct"/>
                  <w:noWrap w:val="0"/>
                  <w:vAlign w:val="center"/>
                </w:tcPr>
                <w:p w14:paraId="23DD69BE">
                  <w:pPr>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rPr>
                    <w:t>无水乙醇</w:t>
                  </w:r>
                </w:p>
              </w:tc>
              <w:tc>
                <w:tcPr>
                  <w:tcW w:w="529" w:type="pct"/>
                  <w:noWrap w:val="0"/>
                  <w:vAlign w:val="center"/>
                </w:tcPr>
                <w:p w14:paraId="132BAEA5">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4</w:t>
                  </w:r>
                  <w:r>
                    <w:rPr>
                      <w:rFonts w:hint="default" w:ascii="Times New Roman" w:hAnsi="Times New Roman" w:eastAsia="宋体" w:cs="Times New Roman"/>
                      <w:color w:val="auto"/>
                      <w:sz w:val="21"/>
                      <w:szCs w:val="21"/>
                      <w:highlight w:val="none"/>
                      <w:lang w:val="en-US" w:eastAsia="zh-CN"/>
                    </w:rPr>
                    <w:t>kg</w:t>
                  </w:r>
                </w:p>
              </w:tc>
              <w:tc>
                <w:tcPr>
                  <w:tcW w:w="820" w:type="pct"/>
                  <w:shd w:val="clear" w:color="auto" w:fill="auto"/>
                  <w:noWrap w:val="0"/>
                  <w:vAlign w:val="center"/>
                </w:tcPr>
                <w:p w14:paraId="13A2A52B">
                  <w:pPr>
                    <w:tabs>
                      <w:tab w:val="left" w:pos="1088"/>
                    </w:tabs>
                    <w:jc w:val="center"/>
                    <w:rPr>
                      <w:rFonts w:hint="eastAsia"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rPr>
                    <w:t>500ml</w:t>
                  </w:r>
                  <w:r>
                    <w:rPr>
                      <w:rFonts w:hint="eastAsia" w:cs="Times New Roman"/>
                      <w:bCs/>
                      <w:color w:val="auto"/>
                      <w:sz w:val="21"/>
                      <w:szCs w:val="21"/>
                      <w:highlight w:val="none"/>
                      <w:lang w:val="en-US" w:eastAsia="zh-CN"/>
                    </w:rPr>
                    <w:t>/瓶</w:t>
                  </w:r>
                </w:p>
                <w:p w14:paraId="07D29414">
                  <w:pPr>
                    <w:tabs>
                      <w:tab w:val="left" w:pos="1088"/>
                    </w:tabs>
                    <w:jc w:val="center"/>
                    <w:rPr>
                      <w:rFonts w:hint="default" w:cs="Times New Roman"/>
                      <w:bCs/>
                      <w:color w:val="auto"/>
                      <w:sz w:val="21"/>
                      <w:szCs w:val="21"/>
                      <w:highlight w:val="none"/>
                      <w:lang w:val="en-US" w:eastAsia="zh-CN"/>
                    </w:rPr>
                  </w:pPr>
                  <w:r>
                    <w:rPr>
                      <w:rFonts w:hint="eastAsia" w:cs="Times New Roman"/>
                      <w:bCs/>
                      <w:color w:val="auto"/>
                      <w:sz w:val="21"/>
                      <w:szCs w:val="21"/>
                      <w:highlight w:val="none"/>
                      <w:lang w:val="en-US" w:eastAsia="zh-CN"/>
                    </w:rPr>
                    <w:t>（394.5g/瓶）</w:t>
                  </w:r>
                </w:p>
              </w:tc>
              <w:tc>
                <w:tcPr>
                  <w:tcW w:w="836" w:type="pct"/>
                  <w:shd w:val="clear" w:color="auto" w:fill="auto"/>
                  <w:noWrap w:val="0"/>
                  <w:vAlign w:val="center"/>
                </w:tcPr>
                <w:p w14:paraId="04F43B49">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250</w:t>
                  </w:r>
                </w:p>
              </w:tc>
              <w:tc>
                <w:tcPr>
                  <w:tcW w:w="638" w:type="pct"/>
                  <w:noWrap w:val="0"/>
                  <w:vAlign w:val="center"/>
                </w:tcPr>
                <w:p w14:paraId="049E50F9">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11</w:t>
                  </w:r>
                </w:p>
              </w:tc>
              <w:tc>
                <w:tcPr>
                  <w:tcW w:w="818" w:type="pct"/>
                  <w:noWrap w:val="0"/>
                  <w:vAlign w:val="center"/>
                </w:tcPr>
                <w:p w14:paraId="59A62C43">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2750</w:t>
                  </w:r>
                </w:p>
              </w:tc>
            </w:tr>
            <w:tr w14:paraId="3D3255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0" w:type="pct"/>
                  <w:noWrap w:val="0"/>
                  <w:vAlign w:val="center"/>
                </w:tcPr>
                <w:p w14:paraId="09A86968">
                  <w:pPr>
                    <w:widowControl/>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13</w:t>
                  </w:r>
                </w:p>
              </w:tc>
              <w:tc>
                <w:tcPr>
                  <w:tcW w:w="986" w:type="pct"/>
                  <w:noWrap w:val="0"/>
                  <w:vAlign w:val="center"/>
                </w:tcPr>
                <w:p w14:paraId="30E8255F">
                  <w:pPr>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rPr>
                    <w:t>丙酮</w:t>
                  </w:r>
                </w:p>
              </w:tc>
              <w:tc>
                <w:tcPr>
                  <w:tcW w:w="529" w:type="pct"/>
                  <w:noWrap w:val="0"/>
                  <w:vAlign w:val="center"/>
                </w:tcPr>
                <w:p w14:paraId="0881463D">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5.5</w:t>
                  </w:r>
                  <w:r>
                    <w:rPr>
                      <w:rFonts w:hint="default" w:ascii="Times New Roman" w:hAnsi="Times New Roman" w:eastAsia="宋体" w:cs="Times New Roman"/>
                      <w:color w:val="auto"/>
                      <w:sz w:val="21"/>
                      <w:szCs w:val="21"/>
                      <w:highlight w:val="none"/>
                      <w:lang w:val="en-US" w:eastAsia="zh-CN"/>
                    </w:rPr>
                    <w:t>kg</w:t>
                  </w:r>
                </w:p>
              </w:tc>
              <w:tc>
                <w:tcPr>
                  <w:tcW w:w="820" w:type="pct"/>
                  <w:shd w:val="clear" w:color="auto" w:fill="auto"/>
                  <w:noWrap w:val="0"/>
                  <w:vAlign w:val="center"/>
                </w:tcPr>
                <w:p w14:paraId="3BE0D7E9">
                  <w:pPr>
                    <w:tabs>
                      <w:tab w:val="left" w:pos="1088"/>
                    </w:tabs>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rPr>
                    <w:t>99.5%，500ml</w:t>
                  </w:r>
                  <w:r>
                    <w:rPr>
                      <w:rFonts w:hint="eastAsia" w:cs="Times New Roman"/>
                      <w:bCs/>
                      <w:color w:val="auto"/>
                      <w:sz w:val="21"/>
                      <w:szCs w:val="21"/>
                      <w:highlight w:val="none"/>
                      <w:lang w:val="en-US" w:eastAsia="zh-CN"/>
                    </w:rPr>
                    <w:t>/瓶（394g/瓶）</w:t>
                  </w:r>
                </w:p>
              </w:tc>
              <w:tc>
                <w:tcPr>
                  <w:tcW w:w="836" w:type="pct"/>
                  <w:shd w:val="clear" w:color="auto" w:fill="auto"/>
                  <w:noWrap w:val="0"/>
                  <w:vAlign w:val="center"/>
                </w:tcPr>
                <w:p w14:paraId="45BDA4D2">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250</w:t>
                  </w:r>
                </w:p>
              </w:tc>
              <w:tc>
                <w:tcPr>
                  <w:tcW w:w="638" w:type="pct"/>
                  <w:noWrap w:val="0"/>
                  <w:vAlign w:val="center"/>
                </w:tcPr>
                <w:p w14:paraId="6320F6F9">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14</w:t>
                  </w:r>
                </w:p>
              </w:tc>
              <w:tc>
                <w:tcPr>
                  <w:tcW w:w="818" w:type="pct"/>
                  <w:noWrap w:val="0"/>
                  <w:vAlign w:val="center"/>
                </w:tcPr>
                <w:p w14:paraId="5B71A2B8">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3500</w:t>
                  </w:r>
                </w:p>
              </w:tc>
            </w:tr>
            <w:tr w14:paraId="77FDE6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0" w:type="pct"/>
                  <w:noWrap w:val="0"/>
                  <w:vAlign w:val="center"/>
                </w:tcPr>
                <w:p w14:paraId="5AC089F2">
                  <w:pPr>
                    <w:widowControl/>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14</w:t>
                  </w:r>
                </w:p>
              </w:tc>
              <w:tc>
                <w:tcPr>
                  <w:tcW w:w="986" w:type="pct"/>
                  <w:noWrap w:val="0"/>
                  <w:vAlign w:val="center"/>
                </w:tcPr>
                <w:p w14:paraId="7035943A">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苯酚</w:t>
                  </w:r>
                </w:p>
              </w:tc>
              <w:tc>
                <w:tcPr>
                  <w:tcW w:w="529" w:type="pct"/>
                  <w:noWrap w:val="0"/>
                  <w:vAlign w:val="center"/>
                </w:tcPr>
                <w:p w14:paraId="298AAAE6">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1kg</w:t>
                  </w:r>
                </w:p>
              </w:tc>
              <w:tc>
                <w:tcPr>
                  <w:tcW w:w="820" w:type="pct"/>
                  <w:shd w:val="clear" w:color="auto" w:fill="auto"/>
                  <w:noWrap w:val="0"/>
                  <w:vAlign w:val="center"/>
                </w:tcPr>
                <w:p w14:paraId="5E304BF3">
                  <w:pPr>
                    <w:tabs>
                      <w:tab w:val="left" w:pos="1088"/>
                    </w:tabs>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rPr>
                    <w:t>500g</w:t>
                  </w:r>
                  <w:r>
                    <w:rPr>
                      <w:rFonts w:hint="eastAsia" w:cs="Times New Roman"/>
                      <w:bCs/>
                      <w:color w:val="auto"/>
                      <w:sz w:val="21"/>
                      <w:szCs w:val="21"/>
                      <w:highlight w:val="none"/>
                      <w:lang w:val="en-US" w:eastAsia="zh-CN"/>
                    </w:rPr>
                    <w:t>/瓶</w:t>
                  </w:r>
                </w:p>
              </w:tc>
              <w:tc>
                <w:tcPr>
                  <w:tcW w:w="836" w:type="pct"/>
                  <w:shd w:val="clear" w:color="auto" w:fill="auto"/>
                  <w:noWrap w:val="0"/>
                  <w:vAlign w:val="center"/>
                </w:tcPr>
                <w:p w14:paraId="513CE055">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50</w:t>
                  </w:r>
                </w:p>
              </w:tc>
              <w:tc>
                <w:tcPr>
                  <w:tcW w:w="638" w:type="pct"/>
                  <w:noWrap w:val="0"/>
                  <w:vAlign w:val="center"/>
                </w:tcPr>
                <w:p w14:paraId="10A4FD56">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818" w:type="pct"/>
                  <w:noWrap w:val="0"/>
                  <w:vAlign w:val="center"/>
                </w:tcPr>
                <w:p w14:paraId="1367260F">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100</w:t>
                  </w:r>
                </w:p>
              </w:tc>
            </w:tr>
            <w:tr w14:paraId="5EFD43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370" w:type="pct"/>
                  <w:noWrap w:val="0"/>
                  <w:vAlign w:val="center"/>
                </w:tcPr>
                <w:p w14:paraId="14C427F3">
                  <w:pPr>
                    <w:widowControl/>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15</w:t>
                  </w:r>
                </w:p>
              </w:tc>
              <w:tc>
                <w:tcPr>
                  <w:tcW w:w="986" w:type="pct"/>
                  <w:noWrap w:val="0"/>
                  <w:vAlign w:val="center"/>
                </w:tcPr>
                <w:p w14:paraId="492F0501">
                  <w:pPr>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rPr>
                    <w:t>磷酸氢二铵</w:t>
                  </w:r>
                </w:p>
              </w:tc>
              <w:tc>
                <w:tcPr>
                  <w:tcW w:w="529" w:type="pct"/>
                  <w:noWrap w:val="0"/>
                  <w:vAlign w:val="center"/>
                </w:tcPr>
                <w:p w14:paraId="44BAA30E">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3.5kg</w:t>
                  </w:r>
                </w:p>
              </w:tc>
              <w:tc>
                <w:tcPr>
                  <w:tcW w:w="820" w:type="pct"/>
                  <w:shd w:val="clear" w:color="auto" w:fill="auto"/>
                  <w:noWrap w:val="0"/>
                  <w:vAlign w:val="center"/>
                </w:tcPr>
                <w:p w14:paraId="34C1364F">
                  <w:pPr>
                    <w:tabs>
                      <w:tab w:val="left" w:pos="1088"/>
                    </w:tabs>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rPr>
                    <w:t>500g</w:t>
                  </w:r>
                  <w:r>
                    <w:rPr>
                      <w:rFonts w:hint="eastAsia" w:cs="Times New Roman"/>
                      <w:bCs/>
                      <w:color w:val="auto"/>
                      <w:sz w:val="21"/>
                      <w:szCs w:val="21"/>
                      <w:highlight w:val="none"/>
                      <w:lang w:val="en-US" w:eastAsia="zh-CN"/>
                    </w:rPr>
                    <w:t>/瓶</w:t>
                  </w:r>
                </w:p>
              </w:tc>
              <w:tc>
                <w:tcPr>
                  <w:tcW w:w="836" w:type="pct"/>
                  <w:shd w:val="clear" w:color="auto" w:fill="auto"/>
                  <w:noWrap w:val="0"/>
                  <w:vAlign w:val="center"/>
                </w:tcPr>
                <w:p w14:paraId="21B3007F">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50</w:t>
                  </w:r>
                </w:p>
              </w:tc>
              <w:tc>
                <w:tcPr>
                  <w:tcW w:w="638" w:type="pct"/>
                  <w:noWrap w:val="0"/>
                  <w:vAlign w:val="center"/>
                </w:tcPr>
                <w:p w14:paraId="65325094">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7</w:t>
                  </w:r>
                </w:p>
              </w:tc>
              <w:tc>
                <w:tcPr>
                  <w:tcW w:w="818" w:type="pct"/>
                  <w:noWrap w:val="0"/>
                  <w:vAlign w:val="center"/>
                </w:tcPr>
                <w:p w14:paraId="56D2691E">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350</w:t>
                  </w:r>
                </w:p>
              </w:tc>
            </w:tr>
            <w:tr w14:paraId="37D180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0" w:type="pct"/>
                  <w:noWrap w:val="0"/>
                  <w:vAlign w:val="center"/>
                </w:tcPr>
                <w:p w14:paraId="79C8CE26">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16</w:t>
                  </w:r>
                </w:p>
              </w:tc>
              <w:tc>
                <w:tcPr>
                  <w:tcW w:w="986" w:type="pct"/>
                  <w:noWrap w:val="0"/>
                  <w:vAlign w:val="center"/>
                </w:tcPr>
                <w:p w14:paraId="648C1D25">
                  <w:pPr>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rPr>
                    <w:t>氯化铵</w:t>
                  </w:r>
                </w:p>
              </w:tc>
              <w:tc>
                <w:tcPr>
                  <w:tcW w:w="529" w:type="pct"/>
                  <w:noWrap w:val="0"/>
                  <w:vAlign w:val="center"/>
                </w:tcPr>
                <w:p w14:paraId="05BD82DF">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3kg</w:t>
                  </w:r>
                </w:p>
              </w:tc>
              <w:tc>
                <w:tcPr>
                  <w:tcW w:w="820" w:type="pct"/>
                  <w:shd w:val="clear" w:color="auto" w:fill="auto"/>
                  <w:noWrap w:val="0"/>
                  <w:vAlign w:val="center"/>
                </w:tcPr>
                <w:p w14:paraId="7E53AEF6">
                  <w:pPr>
                    <w:tabs>
                      <w:tab w:val="left" w:pos="1088"/>
                    </w:tabs>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rPr>
                    <w:t>500g</w:t>
                  </w:r>
                  <w:r>
                    <w:rPr>
                      <w:rFonts w:hint="eastAsia" w:cs="Times New Roman"/>
                      <w:bCs/>
                      <w:color w:val="auto"/>
                      <w:sz w:val="21"/>
                      <w:szCs w:val="21"/>
                      <w:highlight w:val="none"/>
                      <w:lang w:val="en-US" w:eastAsia="zh-CN"/>
                    </w:rPr>
                    <w:t>/瓶</w:t>
                  </w:r>
                </w:p>
              </w:tc>
              <w:tc>
                <w:tcPr>
                  <w:tcW w:w="836" w:type="pct"/>
                  <w:shd w:val="clear" w:color="auto" w:fill="auto"/>
                  <w:noWrap w:val="0"/>
                  <w:vAlign w:val="center"/>
                </w:tcPr>
                <w:p w14:paraId="482E8376">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50</w:t>
                  </w:r>
                </w:p>
              </w:tc>
              <w:tc>
                <w:tcPr>
                  <w:tcW w:w="638" w:type="pct"/>
                  <w:noWrap w:val="0"/>
                  <w:vAlign w:val="center"/>
                </w:tcPr>
                <w:p w14:paraId="0E737D5E">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6</w:t>
                  </w:r>
                </w:p>
              </w:tc>
              <w:tc>
                <w:tcPr>
                  <w:tcW w:w="818" w:type="pct"/>
                  <w:noWrap w:val="0"/>
                  <w:vAlign w:val="center"/>
                </w:tcPr>
                <w:p w14:paraId="77136240">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300</w:t>
                  </w:r>
                </w:p>
              </w:tc>
            </w:tr>
            <w:tr w14:paraId="74FE11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0" w:type="pct"/>
                  <w:noWrap w:val="0"/>
                  <w:vAlign w:val="center"/>
                </w:tcPr>
                <w:p w14:paraId="739245F8">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17</w:t>
                  </w:r>
                </w:p>
              </w:tc>
              <w:tc>
                <w:tcPr>
                  <w:tcW w:w="986" w:type="pct"/>
                  <w:noWrap w:val="0"/>
                  <w:vAlign w:val="center"/>
                </w:tcPr>
                <w:p w14:paraId="7F7F8072">
                  <w:pPr>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rPr>
                    <w:t>氯化钠</w:t>
                  </w:r>
                </w:p>
              </w:tc>
              <w:tc>
                <w:tcPr>
                  <w:tcW w:w="529" w:type="pct"/>
                  <w:noWrap w:val="0"/>
                  <w:vAlign w:val="center"/>
                </w:tcPr>
                <w:p w14:paraId="51A64112">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3</w:t>
                  </w:r>
                  <w:r>
                    <w:rPr>
                      <w:rFonts w:hint="default" w:ascii="Times New Roman" w:hAnsi="Times New Roman" w:eastAsia="宋体" w:cs="Times New Roman"/>
                      <w:color w:val="auto"/>
                      <w:sz w:val="21"/>
                      <w:szCs w:val="21"/>
                      <w:highlight w:val="none"/>
                      <w:lang w:val="en-US" w:eastAsia="zh-CN"/>
                    </w:rPr>
                    <w:t>.5</w:t>
                  </w:r>
                  <w:r>
                    <w:rPr>
                      <w:rFonts w:hint="default" w:ascii="Times New Roman" w:hAnsi="Times New Roman" w:eastAsia="宋体" w:cs="Times New Roman"/>
                      <w:color w:val="auto"/>
                      <w:sz w:val="21"/>
                      <w:szCs w:val="21"/>
                      <w:highlight w:val="none"/>
                    </w:rPr>
                    <w:t>kg</w:t>
                  </w:r>
                </w:p>
              </w:tc>
              <w:tc>
                <w:tcPr>
                  <w:tcW w:w="820" w:type="pct"/>
                  <w:shd w:val="clear" w:color="auto" w:fill="auto"/>
                  <w:noWrap w:val="0"/>
                  <w:vAlign w:val="center"/>
                </w:tcPr>
                <w:p w14:paraId="19D3DC7F">
                  <w:pPr>
                    <w:tabs>
                      <w:tab w:val="left" w:pos="1088"/>
                    </w:tabs>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rPr>
                    <w:t>500g</w:t>
                  </w:r>
                  <w:r>
                    <w:rPr>
                      <w:rFonts w:hint="eastAsia" w:cs="Times New Roman"/>
                      <w:bCs/>
                      <w:color w:val="auto"/>
                      <w:sz w:val="21"/>
                      <w:szCs w:val="21"/>
                      <w:highlight w:val="none"/>
                      <w:lang w:val="en-US" w:eastAsia="zh-CN"/>
                    </w:rPr>
                    <w:t>/瓶</w:t>
                  </w:r>
                </w:p>
              </w:tc>
              <w:tc>
                <w:tcPr>
                  <w:tcW w:w="836" w:type="pct"/>
                  <w:shd w:val="clear" w:color="auto" w:fill="auto"/>
                  <w:noWrap w:val="0"/>
                  <w:vAlign w:val="center"/>
                </w:tcPr>
                <w:p w14:paraId="67B8EA4E">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50</w:t>
                  </w:r>
                </w:p>
              </w:tc>
              <w:tc>
                <w:tcPr>
                  <w:tcW w:w="638" w:type="pct"/>
                  <w:noWrap w:val="0"/>
                  <w:vAlign w:val="center"/>
                </w:tcPr>
                <w:p w14:paraId="13C0E765">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7</w:t>
                  </w:r>
                </w:p>
              </w:tc>
              <w:tc>
                <w:tcPr>
                  <w:tcW w:w="818" w:type="pct"/>
                  <w:noWrap w:val="0"/>
                  <w:vAlign w:val="center"/>
                </w:tcPr>
                <w:p w14:paraId="34846AB6">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350</w:t>
                  </w:r>
                </w:p>
              </w:tc>
            </w:tr>
            <w:tr w14:paraId="2E154F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0" w:type="pct"/>
                  <w:noWrap w:val="0"/>
                  <w:vAlign w:val="center"/>
                </w:tcPr>
                <w:p w14:paraId="6C5E148E">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18</w:t>
                  </w:r>
                </w:p>
              </w:tc>
              <w:tc>
                <w:tcPr>
                  <w:tcW w:w="986" w:type="pct"/>
                  <w:noWrap w:val="0"/>
                  <w:vAlign w:val="center"/>
                </w:tcPr>
                <w:p w14:paraId="3E05DE39">
                  <w:pPr>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rPr>
                    <w:t>氢氧化钠</w:t>
                  </w:r>
                </w:p>
              </w:tc>
              <w:tc>
                <w:tcPr>
                  <w:tcW w:w="529" w:type="pct"/>
                  <w:noWrap w:val="0"/>
                  <w:vAlign w:val="center"/>
                </w:tcPr>
                <w:p w14:paraId="5A020D8A">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1</w:t>
                  </w:r>
                  <w:r>
                    <w:rPr>
                      <w:rFonts w:hint="default" w:ascii="Times New Roman" w:hAnsi="Times New Roman" w:eastAsia="宋体" w:cs="Times New Roman"/>
                      <w:color w:val="auto"/>
                      <w:sz w:val="21"/>
                      <w:szCs w:val="21"/>
                      <w:highlight w:val="none"/>
                      <w:lang w:val="en-US" w:eastAsia="zh-CN"/>
                    </w:rPr>
                    <w:t>6</w:t>
                  </w:r>
                  <w:r>
                    <w:rPr>
                      <w:rFonts w:hint="default" w:ascii="Times New Roman" w:hAnsi="Times New Roman" w:eastAsia="宋体" w:cs="Times New Roman"/>
                      <w:color w:val="auto"/>
                      <w:sz w:val="21"/>
                      <w:szCs w:val="21"/>
                      <w:highlight w:val="none"/>
                    </w:rPr>
                    <w:t>kg</w:t>
                  </w:r>
                </w:p>
              </w:tc>
              <w:tc>
                <w:tcPr>
                  <w:tcW w:w="820" w:type="pct"/>
                  <w:shd w:val="clear" w:color="auto" w:fill="auto"/>
                  <w:noWrap w:val="0"/>
                  <w:vAlign w:val="center"/>
                </w:tcPr>
                <w:p w14:paraId="15B9AB84">
                  <w:pPr>
                    <w:tabs>
                      <w:tab w:val="left" w:pos="1088"/>
                    </w:tabs>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rPr>
                    <w:t>500g</w:t>
                  </w:r>
                  <w:r>
                    <w:rPr>
                      <w:rFonts w:hint="eastAsia" w:cs="Times New Roman"/>
                      <w:bCs/>
                      <w:color w:val="auto"/>
                      <w:sz w:val="21"/>
                      <w:szCs w:val="21"/>
                      <w:highlight w:val="none"/>
                      <w:lang w:val="en-US" w:eastAsia="zh-CN"/>
                    </w:rPr>
                    <w:t>/瓶</w:t>
                  </w:r>
                </w:p>
              </w:tc>
              <w:tc>
                <w:tcPr>
                  <w:tcW w:w="836" w:type="pct"/>
                  <w:shd w:val="clear" w:color="auto" w:fill="auto"/>
                  <w:noWrap w:val="0"/>
                  <w:vAlign w:val="center"/>
                </w:tcPr>
                <w:p w14:paraId="5E777CCB">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50</w:t>
                  </w:r>
                </w:p>
              </w:tc>
              <w:tc>
                <w:tcPr>
                  <w:tcW w:w="638" w:type="pct"/>
                  <w:noWrap w:val="0"/>
                  <w:vAlign w:val="center"/>
                </w:tcPr>
                <w:p w14:paraId="7F9522FC">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32</w:t>
                  </w:r>
                </w:p>
              </w:tc>
              <w:tc>
                <w:tcPr>
                  <w:tcW w:w="818" w:type="pct"/>
                  <w:noWrap w:val="0"/>
                  <w:vAlign w:val="center"/>
                </w:tcPr>
                <w:p w14:paraId="59F4607A">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1600</w:t>
                  </w:r>
                </w:p>
              </w:tc>
            </w:tr>
            <w:tr w14:paraId="3C7F7E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0" w:type="pct"/>
                  <w:noWrap w:val="0"/>
                  <w:vAlign w:val="center"/>
                </w:tcPr>
                <w:p w14:paraId="42C86AEE">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19</w:t>
                  </w:r>
                </w:p>
              </w:tc>
              <w:tc>
                <w:tcPr>
                  <w:tcW w:w="986" w:type="pct"/>
                  <w:noWrap w:val="0"/>
                  <w:vAlign w:val="center"/>
                </w:tcPr>
                <w:p w14:paraId="62F98713">
                  <w:pPr>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rPr>
                    <w:t>碳酸氢钠</w:t>
                  </w:r>
                </w:p>
              </w:tc>
              <w:tc>
                <w:tcPr>
                  <w:tcW w:w="529" w:type="pct"/>
                  <w:noWrap w:val="0"/>
                  <w:vAlign w:val="center"/>
                </w:tcPr>
                <w:p w14:paraId="53926DF9">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3kg</w:t>
                  </w:r>
                </w:p>
              </w:tc>
              <w:tc>
                <w:tcPr>
                  <w:tcW w:w="820" w:type="pct"/>
                  <w:shd w:val="clear" w:color="auto" w:fill="auto"/>
                  <w:noWrap w:val="0"/>
                  <w:vAlign w:val="center"/>
                </w:tcPr>
                <w:p w14:paraId="5342ECA0">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rPr>
                    <w:t>500g</w:t>
                  </w:r>
                  <w:r>
                    <w:rPr>
                      <w:rFonts w:hint="eastAsia" w:cs="Times New Roman"/>
                      <w:bCs/>
                      <w:color w:val="auto"/>
                      <w:sz w:val="21"/>
                      <w:szCs w:val="21"/>
                      <w:highlight w:val="none"/>
                      <w:lang w:val="en-US" w:eastAsia="zh-CN"/>
                    </w:rPr>
                    <w:t>/瓶</w:t>
                  </w:r>
                </w:p>
              </w:tc>
              <w:tc>
                <w:tcPr>
                  <w:tcW w:w="836" w:type="pct"/>
                  <w:shd w:val="clear" w:color="auto" w:fill="auto"/>
                  <w:noWrap w:val="0"/>
                  <w:vAlign w:val="center"/>
                </w:tcPr>
                <w:p w14:paraId="3794D337">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50</w:t>
                  </w:r>
                </w:p>
              </w:tc>
              <w:tc>
                <w:tcPr>
                  <w:tcW w:w="638" w:type="pct"/>
                  <w:noWrap w:val="0"/>
                  <w:vAlign w:val="center"/>
                </w:tcPr>
                <w:p w14:paraId="0411B593">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6</w:t>
                  </w:r>
                </w:p>
              </w:tc>
              <w:tc>
                <w:tcPr>
                  <w:tcW w:w="818" w:type="pct"/>
                  <w:noWrap w:val="0"/>
                  <w:vAlign w:val="center"/>
                </w:tcPr>
                <w:p w14:paraId="3312FBB2">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300</w:t>
                  </w:r>
                </w:p>
              </w:tc>
            </w:tr>
            <w:tr w14:paraId="49AB2E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0" w:type="pct"/>
                  <w:noWrap w:val="0"/>
                  <w:vAlign w:val="center"/>
                </w:tcPr>
                <w:p w14:paraId="0BE35B7C">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20</w:t>
                  </w:r>
                </w:p>
              </w:tc>
              <w:tc>
                <w:tcPr>
                  <w:tcW w:w="986" w:type="pct"/>
                  <w:noWrap w:val="0"/>
                  <w:vAlign w:val="center"/>
                </w:tcPr>
                <w:p w14:paraId="3ECE6BF5">
                  <w:pPr>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rPr>
                    <w:t>硫酸铜</w:t>
                  </w:r>
                </w:p>
              </w:tc>
              <w:tc>
                <w:tcPr>
                  <w:tcW w:w="529" w:type="pct"/>
                  <w:noWrap w:val="0"/>
                  <w:vAlign w:val="center"/>
                </w:tcPr>
                <w:p w14:paraId="5B1F6FCF">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2.5kg</w:t>
                  </w:r>
                </w:p>
              </w:tc>
              <w:tc>
                <w:tcPr>
                  <w:tcW w:w="820" w:type="pct"/>
                  <w:shd w:val="clear" w:color="auto" w:fill="auto"/>
                  <w:noWrap w:val="0"/>
                  <w:vAlign w:val="center"/>
                </w:tcPr>
                <w:p w14:paraId="216A7AC2">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rPr>
                    <w:t>500g</w:t>
                  </w:r>
                  <w:r>
                    <w:rPr>
                      <w:rFonts w:hint="eastAsia" w:cs="Times New Roman"/>
                      <w:bCs/>
                      <w:color w:val="auto"/>
                      <w:sz w:val="21"/>
                      <w:szCs w:val="21"/>
                      <w:highlight w:val="none"/>
                      <w:lang w:val="en-US" w:eastAsia="zh-CN"/>
                    </w:rPr>
                    <w:t>/瓶</w:t>
                  </w:r>
                </w:p>
              </w:tc>
              <w:tc>
                <w:tcPr>
                  <w:tcW w:w="836" w:type="pct"/>
                  <w:shd w:val="clear" w:color="auto" w:fill="auto"/>
                  <w:noWrap w:val="0"/>
                  <w:vAlign w:val="center"/>
                </w:tcPr>
                <w:p w14:paraId="56D20527">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50</w:t>
                  </w:r>
                </w:p>
              </w:tc>
              <w:tc>
                <w:tcPr>
                  <w:tcW w:w="638" w:type="pct"/>
                  <w:noWrap w:val="0"/>
                  <w:vAlign w:val="center"/>
                </w:tcPr>
                <w:p w14:paraId="25DD083A">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5</w:t>
                  </w:r>
                </w:p>
              </w:tc>
              <w:tc>
                <w:tcPr>
                  <w:tcW w:w="818" w:type="pct"/>
                  <w:noWrap w:val="0"/>
                  <w:vAlign w:val="center"/>
                </w:tcPr>
                <w:p w14:paraId="6382B167">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250</w:t>
                  </w:r>
                </w:p>
              </w:tc>
            </w:tr>
            <w:tr w14:paraId="42986F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0" w:type="pct"/>
                  <w:noWrap w:val="0"/>
                  <w:vAlign w:val="center"/>
                </w:tcPr>
                <w:p w14:paraId="43702E8C">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21</w:t>
                  </w:r>
                </w:p>
              </w:tc>
              <w:tc>
                <w:tcPr>
                  <w:tcW w:w="986" w:type="pct"/>
                  <w:noWrap w:val="0"/>
                  <w:vAlign w:val="center"/>
                </w:tcPr>
                <w:p w14:paraId="08CDC087">
                  <w:pPr>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rPr>
                    <w:t>硫酸钾</w:t>
                  </w:r>
                </w:p>
              </w:tc>
              <w:tc>
                <w:tcPr>
                  <w:tcW w:w="529" w:type="pct"/>
                  <w:noWrap w:val="0"/>
                  <w:vAlign w:val="center"/>
                </w:tcPr>
                <w:p w14:paraId="7A7D8F52">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2.5kg</w:t>
                  </w:r>
                </w:p>
              </w:tc>
              <w:tc>
                <w:tcPr>
                  <w:tcW w:w="820" w:type="pct"/>
                  <w:shd w:val="clear" w:color="auto" w:fill="auto"/>
                  <w:noWrap w:val="0"/>
                  <w:vAlign w:val="center"/>
                </w:tcPr>
                <w:p w14:paraId="230DBEFD">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rPr>
                    <w:t>500g</w:t>
                  </w:r>
                  <w:r>
                    <w:rPr>
                      <w:rFonts w:hint="eastAsia" w:cs="Times New Roman"/>
                      <w:bCs/>
                      <w:color w:val="auto"/>
                      <w:sz w:val="21"/>
                      <w:szCs w:val="21"/>
                      <w:highlight w:val="none"/>
                      <w:lang w:val="en-US" w:eastAsia="zh-CN"/>
                    </w:rPr>
                    <w:t>/瓶</w:t>
                  </w:r>
                </w:p>
              </w:tc>
              <w:tc>
                <w:tcPr>
                  <w:tcW w:w="836" w:type="pct"/>
                  <w:shd w:val="clear" w:color="auto" w:fill="auto"/>
                  <w:noWrap w:val="0"/>
                  <w:vAlign w:val="center"/>
                </w:tcPr>
                <w:p w14:paraId="2F66AAAA">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50</w:t>
                  </w:r>
                </w:p>
              </w:tc>
              <w:tc>
                <w:tcPr>
                  <w:tcW w:w="638" w:type="pct"/>
                  <w:noWrap w:val="0"/>
                  <w:vAlign w:val="center"/>
                </w:tcPr>
                <w:p w14:paraId="452C1AC3">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5</w:t>
                  </w:r>
                </w:p>
              </w:tc>
              <w:tc>
                <w:tcPr>
                  <w:tcW w:w="818" w:type="pct"/>
                  <w:noWrap w:val="0"/>
                  <w:vAlign w:val="center"/>
                </w:tcPr>
                <w:p w14:paraId="2A44D6F2">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250</w:t>
                  </w:r>
                </w:p>
              </w:tc>
            </w:tr>
            <w:tr w14:paraId="156862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0" w:type="pct"/>
                  <w:noWrap w:val="0"/>
                  <w:vAlign w:val="center"/>
                </w:tcPr>
                <w:p w14:paraId="36BCCA79">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22</w:t>
                  </w:r>
                </w:p>
              </w:tc>
              <w:tc>
                <w:tcPr>
                  <w:tcW w:w="986" w:type="pct"/>
                  <w:noWrap w:val="0"/>
                  <w:vAlign w:val="center"/>
                </w:tcPr>
                <w:p w14:paraId="6634190D">
                  <w:pPr>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rPr>
                    <w:t>重铬酸钾</w:t>
                  </w:r>
                </w:p>
              </w:tc>
              <w:tc>
                <w:tcPr>
                  <w:tcW w:w="529" w:type="pct"/>
                  <w:noWrap w:val="0"/>
                  <w:vAlign w:val="center"/>
                </w:tcPr>
                <w:p w14:paraId="1994A7E2">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4kg</w:t>
                  </w:r>
                </w:p>
              </w:tc>
              <w:tc>
                <w:tcPr>
                  <w:tcW w:w="820" w:type="pct"/>
                  <w:shd w:val="clear" w:color="auto" w:fill="auto"/>
                  <w:noWrap w:val="0"/>
                  <w:vAlign w:val="center"/>
                </w:tcPr>
                <w:p w14:paraId="3BD8FE71">
                  <w:pPr>
                    <w:tabs>
                      <w:tab w:val="left" w:pos="1088"/>
                    </w:tabs>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rPr>
                    <w:t>500g</w:t>
                  </w:r>
                  <w:r>
                    <w:rPr>
                      <w:rFonts w:hint="eastAsia" w:cs="Times New Roman"/>
                      <w:bCs/>
                      <w:color w:val="auto"/>
                      <w:sz w:val="21"/>
                      <w:szCs w:val="21"/>
                      <w:highlight w:val="none"/>
                      <w:lang w:val="en-US" w:eastAsia="zh-CN"/>
                    </w:rPr>
                    <w:t>/瓶</w:t>
                  </w:r>
                </w:p>
              </w:tc>
              <w:tc>
                <w:tcPr>
                  <w:tcW w:w="836" w:type="pct"/>
                  <w:shd w:val="clear" w:color="auto" w:fill="auto"/>
                  <w:noWrap w:val="0"/>
                  <w:vAlign w:val="center"/>
                </w:tcPr>
                <w:p w14:paraId="5AEF2BE7">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50</w:t>
                  </w:r>
                </w:p>
              </w:tc>
              <w:tc>
                <w:tcPr>
                  <w:tcW w:w="638" w:type="pct"/>
                  <w:noWrap w:val="0"/>
                  <w:vAlign w:val="center"/>
                </w:tcPr>
                <w:p w14:paraId="393B4B28">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8</w:t>
                  </w:r>
                </w:p>
              </w:tc>
              <w:tc>
                <w:tcPr>
                  <w:tcW w:w="818" w:type="pct"/>
                  <w:noWrap w:val="0"/>
                  <w:vAlign w:val="center"/>
                </w:tcPr>
                <w:p w14:paraId="2AA24B3C">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400</w:t>
                  </w:r>
                </w:p>
              </w:tc>
            </w:tr>
            <w:tr w14:paraId="3BFA41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0" w:type="pct"/>
                  <w:noWrap w:val="0"/>
                  <w:vAlign w:val="center"/>
                </w:tcPr>
                <w:p w14:paraId="65983E83">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23</w:t>
                  </w:r>
                </w:p>
              </w:tc>
              <w:tc>
                <w:tcPr>
                  <w:tcW w:w="986" w:type="pct"/>
                  <w:noWrap w:val="0"/>
                  <w:vAlign w:val="center"/>
                </w:tcPr>
                <w:p w14:paraId="1BD2F841">
                  <w:pPr>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rPr>
                    <w:t>硼酸</w:t>
                  </w:r>
                </w:p>
              </w:tc>
              <w:tc>
                <w:tcPr>
                  <w:tcW w:w="529" w:type="pct"/>
                  <w:noWrap w:val="0"/>
                  <w:vAlign w:val="center"/>
                </w:tcPr>
                <w:p w14:paraId="388B515C">
                  <w:pPr>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rPr>
                    <w:t>9kg</w:t>
                  </w:r>
                </w:p>
              </w:tc>
              <w:tc>
                <w:tcPr>
                  <w:tcW w:w="820" w:type="pct"/>
                  <w:shd w:val="clear" w:color="auto" w:fill="auto"/>
                  <w:noWrap w:val="0"/>
                  <w:vAlign w:val="center"/>
                </w:tcPr>
                <w:p w14:paraId="727D4C1B">
                  <w:pPr>
                    <w:tabs>
                      <w:tab w:val="left" w:pos="1088"/>
                    </w:tabs>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rPr>
                    <w:t>500g</w:t>
                  </w:r>
                  <w:r>
                    <w:rPr>
                      <w:rFonts w:hint="eastAsia" w:cs="Times New Roman"/>
                      <w:bCs/>
                      <w:color w:val="auto"/>
                      <w:sz w:val="21"/>
                      <w:szCs w:val="21"/>
                      <w:highlight w:val="none"/>
                      <w:lang w:val="en-US" w:eastAsia="zh-CN"/>
                    </w:rPr>
                    <w:t>/瓶</w:t>
                  </w:r>
                </w:p>
              </w:tc>
              <w:tc>
                <w:tcPr>
                  <w:tcW w:w="836" w:type="pct"/>
                  <w:shd w:val="clear" w:color="auto" w:fill="auto"/>
                  <w:noWrap w:val="0"/>
                  <w:vAlign w:val="center"/>
                </w:tcPr>
                <w:p w14:paraId="6B986813">
                  <w:pPr>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2"/>
                      <w:sz w:val="21"/>
                      <w:szCs w:val="21"/>
                      <w:highlight w:val="none"/>
                      <w:lang w:val="en-US" w:eastAsia="zh-CN" w:bidi="ar-SA"/>
                    </w:rPr>
                    <w:t>50</w:t>
                  </w:r>
                </w:p>
              </w:tc>
              <w:tc>
                <w:tcPr>
                  <w:tcW w:w="638" w:type="pct"/>
                  <w:noWrap w:val="0"/>
                  <w:vAlign w:val="center"/>
                </w:tcPr>
                <w:p w14:paraId="3298A192">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18</w:t>
                  </w:r>
                </w:p>
              </w:tc>
              <w:tc>
                <w:tcPr>
                  <w:tcW w:w="818" w:type="pct"/>
                  <w:noWrap w:val="0"/>
                  <w:vAlign w:val="center"/>
                </w:tcPr>
                <w:p w14:paraId="00D47A76">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900</w:t>
                  </w:r>
                </w:p>
              </w:tc>
            </w:tr>
            <w:tr w14:paraId="430850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0" w:type="pct"/>
                  <w:noWrap w:val="0"/>
                  <w:vAlign w:val="center"/>
                </w:tcPr>
                <w:p w14:paraId="76E20238">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24</w:t>
                  </w:r>
                </w:p>
              </w:tc>
              <w:tc>
                <w:tcPr>
                  <w:tcW w:w="986" w:type="pct"/>
                  <w:noWrap w:val="0"/>
                  <w:vAlign w:val="center"/>
                </w:tcPr>
                <w:p w14:paraId="13374AED">
                  <w:pPr>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rPr>
                    <w:t>无水硫酸钠</w:t>
                  </w:r>
                </w:p>
              </w:tc>
              <w:tc>
                <w:tcPr>
                  <w:tcW w:w="529" w:type="pct"/>
                  <w:noWrap w:val="0"/>
                  <w:vAlign w:val="center"/>
                </w:tcPr>
                <w:p w14:paraId="728B7DC5">
                  <w:pPr>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rPr>
                    <w:t>1.5kg</w:t>
                  </w:r>
                </w:p>
              </w:tc>
              <w:tc>
                <w:tcPr>
                  <w:tcW w:w="820" w:type="pct"/>
                  <w:shd w:val="clear" w:color="auto" w:fill="auto"/>
                  <w:noWrap w:val="0"/>
                  <w:vAlign w:val="center"/>
                </w:tcPr>
                <w:p w14:paraId="35F2A2FD">
                  <w:pPr>
                    <w:tabs>
                      <w:tab w:val="left" w:pos="1088"/>
                    </w:tabs>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rPr>
                    <w:t>500g</w:t>
                  </w:r>
                  <w:r>
                    <w:rPr>
                      <w:rFonts w:hint="eastAsia" w:cs="Times New Roman"/>
                      <w:bCs/>
                      <w:color w:val="auto"/>
                      <w:sz w:val="21"/>
                      <w:szCs w:val="21"/>
                      <w:highlight w:val="none"/>
                      <w:lang w:val="en-US" w:eastAsia="zh-CN"/>
                    </w:rPr>
                    <w:t>/瓶</w:t>
                  </w:r>
                </w:p>
              </w:tc>
              <w:tc>
                <w:tcPr>
                  <w:tcW w:w="836" w:type="pct"/>
                  <w:shd w:val="clear" w:color="auto" w:fill="auto"/>
                  <w:noWrap w:val="0"/>
                  <w:vAlign w:val="center"/>
                </w:tcPr>
                <w:p w14:paraId="137E295A">
                  <w:pPr>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2"/>
                      <w:sz w:val="21"/>
                      <w:szCs w:val="21"/>
                      <w:highlight w:val="none"/>
                      <w:lang w:val="en-US" w:eastAsia="zh-CN" w:bidi="ar-SA"/>
                    </w:rPr>
                    <w:t>50</w:t>
                  </w:r>
                </w:p>
              </w:tc>
              <w:tc>
                <w:tcPr>
                  <w:tcW w:w="638" w:type="pct"/>
                  <w:noWrap w:val="0"/>
                  <w:vAlign w:val="center"/>
                </w:tcPr>
                <w:p w14:paraId="6FD79876">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w:t>
                  </w:r>
                </w:p>
              </w:tc>
              <w:tc>
                <w:tcPr>
                  <w:tcW w:w="818" w:type="pct"/>
                  <w:noWrap w:val="0"/>
                  <w:vAlign w:val="center"/>
                </w:tcPr>
                <w:p w14:paraId="741155FE">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150</w:t>
                  </w:r>
                </w:p>
              </w:tc>
            </w:tr>
            <w:tr w14:paraId="37C92D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0" w:type="pct"/>
                  <w:noWrap w:val="0"/>
                  <w:vAlign w:val="center"/>
                </w:tcPr>
                <w:p w14:paraId="0F1E6C8B">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25</w:t>
                  </w:r>
                </w:p>
              </w:tc>
              <w:tc>
                <w:tcPr>
                  <w:tcW w:w="986" w:type="pct"/>
                  <w:noWrap w:val="0"/>
                  <w:vAlign w:val="center"/>
                </w:tcPr>
                <w:p w14:paraId="6B69C869">
                  <w:pPr>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rPr>
                    <w:t>亚硝酸钠</w:t>
                  </w:r>
                </w:p>
              </w:tc>
              <w:tc>
                <w:tcPr>
                  <w:tcW w:w="529" w:type="pct"/>
                  <w:noWrap w:val="0"/>
                  <w:vAlign w:val="center"/>
                </w:tcPr>
                <w:p w14:paraId="0CA0F9FB">
                  <w:pPr>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rPr>
                    <w:t>1kg</w:t>
                  </w:r>
                </w:p>
              </w:tc>
              <w:tc>
                <w:tcPr>
                  <w:tcW w:w="820" w:type="pct"/>
                  <w:shd w:val="clear" w:color="auto" w:fill="auto"/>
                  <w:noWrap w:val="0"/>
                  <w:vAlign w:val="center"/>
                </w:tcPr>
                <w:p w14:paraId="1D8FE0AD">
                  <w:pPr>
                    <w:tabs>
                      <w:tab w:val="left" w:pos="1088"/>
                    </w:tabs>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rPr>
                    <w:t>500g</w:t>
                  </w:r>
                  <w:r>
                    <w:rPr>
                      <w:rFonts w:hint="eastAsia" w:cs="Times New Roman"/>
                      <w:bCs/>
                      <w:color w:val="auto"/>
                      <w:sz w:val="21"/>
                      <w:szCs w:val="21"/>
                      <w:highlight w:val="none"/>
                      <w:lang w:val="en-US" w:eastAsia="zh-CN"/>
                    </w:rPr>
                    <w:t>/瓶</w:t>
                  </w:r>
                </w:p>
              </w:tc>
              <w:tc>
                <w:tcPr>
                  <w:tcW w:w="836" w:type="pct"/>
                  <w:shd w:val="clear" w:color="auto" w:fill="auto"/>
                  <w:noWrap w:val="0"/>
                  <w:vAlign w:val="center"/>
                </w:tcPr>
                <w:p w14:paraId="51A812F0">
                  <w:pPr>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2"/>
                      <w:sz w:val="21"/>
                      <w:szCs w:val="21"/>
                      <w:highlight w:val="none"/>
                      <w:lang w:val="en-US" w:eastAsia="zh-CN" w:bidi="ar-SA"/>
                    </w:rPr>
                    <w:t>50</w:t>
                  </w:r>
                </w:p>
              </w:tc>
              <w:tc>
                <w:tcPr>
                  <w:tcW w:w="638" w:type="pct"/>
                  <w:noWrap w:val="0"/>
                  <w:vAlign w:val="center"/>
                </w:tcPr>
                <w:p w14:paraId="6F807348">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818" w:type="pct"/>
                  <w:noWrap w:val="0"/>
                  <w:vAlign w:val="center"/>
                </w:tcPr>
                <w:p w14:paraId="5773C163">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100</w:t>
                  </w:r>
                </w:p>
              </w:tc>
            </w:tr>
            <w:tr w14:paraId="024DCC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0" w:type="pct"/>
                  <w:noWrap w:val="0"/>
                  <w:vAlign w:val="center"/>
                </w:tcPr>
                <w:p w14:paraId="659BA094">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26</w:t>
                  </w:r>
                </w:p>
              </w:tc>
              <w:tc>
                <w:tcPr>
                  <w:tcW w:w="986" w:type="pct"/>
                  <w:noWrap w:val="0"/>
                  <w:vAlign w:val="center"/>
                </w:tcPr>
                <w:p w14:paraId="5BF173D1">
                  <w:pPr>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rPr>
                    <w:t>亚硫酸氢钠</w:t>
                  </w:r>
                </w:p>
              </w:tc>
              <w:tc>
                <w:tcPr>
                  <w:tcW w:w="529" w:type="pct"/>
                  <w:noWrap w:val="0"/>
                  <w:vAlign w:val="center"/>
                </w:tcPr>
                <w:p w14:paraId="4A18673F">
                  <w:pPr>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rPr>
                    <w:t>1kg</w:t>
                  </w:r>
                </w:p>
              </w:tc>
              <w:tc>
                <w:tcPr>
                  <w:tcW w:w="820" w:type="pct"/>
                  <w:shd w:val="clear" w:color="auto" w:fill="auto"/>
                  <w:noWrap w:val="0"/>
                  <w:vAlign w:val="center"/>
                </w:tcPr>
                <w:p w14:paraId="7B48179B">
                  <w:pPr>
                    <w:tabs>
                      <w:tab w:val="left" w:pos="1088"/>
                    </w:tabs>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rPr>
                    <w:t>500g</w:t>
                  </w:r>
                  <w:r>
                    <w:rPr>
                      <w:rFonts w:hint="eastAsia" w:cs="Times New Roman"/>
                      <w:bCs/>
                      <w:color w:val="auto"/>
                      <w:sz w:val="21"/>
                      <w:szCs w:val="21"/>
                      <w:highlight w:val="none"/>
                      <w:lang w:val="en-US" w:eastAsia="zh-CN"/>
                    </w:rPr>
                    <w:t>/瓶</w:t>
                  </w:r>
                </w:p>
              </w:tc>
              <w:tc>
                <w:tcPr>
                  <w:tcW w:w="836" w:type="pct"/>
                  <w:shd w:val="clear" w:color="auto" w:fill="auto"/>
                  <w:noWrap w:val="0"/>
                  <w:vAlign w:val="center"/>
                </w:tcPr>
                <w:p w14:paraId="407447C7">
                  <w:pPr>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2"/>
                      <w:sz w:val="21"/>
                      <w:szCs w:val="21"/>
                      <w:highlight w:val="none"/>
                      <w:lang w:val="en-US" w:eastAsia="zh-CN" w:bidi="ar-SA"/>
                    </w:rPr>
                    <w:t>50</w:t>
                  </w:r>
                </w:p>
              </w:tc>
              <w:tc>
                <w:tcPr>
                  <w:tcW w:w="638" w:type="pct"/>
                  <w:noWrap w:val="0"/>
                  <w:vAlign w:val="center"/>
                </w:tcPr>
                <w:p w14:paraId="2614BC93">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818" w:type="pct"/>
                  <w:noWrap w:val="0"/>
                  <w:vAlign w:val="center"/>
                </w:tcPr>
                <w:p w14:paraId="31B8F95F">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100</w:t>
                  </w:r>
                </w:p>
              </w:tc>
            </w:tr>
            <w:tr w14:paraId="35F174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0" w:type="pct"/>
                  <w:noWrap w:val="0"/>
                  <w:vAlign w:val="center"/>
                </w:tcPr>
                <w:p w14:paraId="4364C196">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27</w:t>
                  </w:r>
                </w:p>
              </w:tc>
              <w:tc>
                <w:tcPr>
                  <w:tcW w:w="986" w:type="pct"/>
                  <w:noWrap w:val="0"/>
                  <w:vAlign w:val="center"/>
                </w:tcPr>
                <w:p w14:paraId="55AF97AD">
                  <w:pPr>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rPr>
                    <w:t>硫代硫酸钠</w:t>
                  </w:r>
                </w:p>
              </w:tc>
              <w:tc>
                <w:tcPr>
                  <w:tcW w:w="529" w:type="pct"/>
                  <w:noWrap w:val="0"/>
                  <w:vAlign w:val="center"/>
                </w:tcPr>
                <w:p w14:paraId="25733E37">
                  <w:pPr>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rPr>
                    <w:t>1kg</w:t>
                  </w:r>
                </w:p>
              </w:tc>
              <w:tc>
                <w:tcPr>
                  <w:tcW w:w="820" w:type="pct"/>
                  <w:shd w:val="clear" w:color="auto" w:fill="auto"/>
                  <w:noWrap w:val="0"/>
                  <w:vAlign w:val="center"/>
                </w:tcPr>
                <w:p w14:paraId="3B4F1DDE">
                  <w:pPr>
                    <w:tabs>
                      <w:tab w:val="left" w:pos="1088"/>
                    </w:tabs>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rPr>
                    <w:t>500g</w:t>
                  </w:r>
                  <w:r>
                    <w:rPr>
                      <w:rFonts w:hint="eastAsia" w:cs="Times New Roman"/>
                      <w:bCs/>
                      <w:color w:val="auto"/>
                      <w:sz w:val="21"/>
                      <w:szCs w:val="21"/>
                      <w:highlight w:val="none"/>
                      <w:lang w:val="en-US" w:eastAsia="zh-CN"/>
                    </w:rPr>
                    <w:t>/瓶</w:t>
                  </w:r>
                </w:p>
              </w:tc>
              <w:tc>
                <w:tcPr>
                  <w:tcW w:w="836" w:type="pct"/>
                  <w:shd w:val="clear" w:color="auto" w:fill="auto"/>
                  <w:noWrap w:val="0"/>
                  <w:vAlign w:val="center"/>
                </w:tcPr>
                <w:p w14:paraId="03E18A06">
                  <w:pPr>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2"/>
                      <w:sz w:val="21"/>
                      <w:szCs w:val="21"/>
                      <w:highlight w:val="none"/>
                      <w:lang w:val="en-US" w:eastAsia="zh-CN" w:bidi="ar-SA"/>
                    </w:rPr>
                    <w:t>50</w:t>
                  </w:r>
                </w:p>
              </w:tc>
              <w:tc>
                <w:tcPr>
                  <w:tcW w:w="638" w:type="pct"/>
                  <w:noWrap w:val="0"/>
                  <w:vAlign w:val="center"/>
                </w:tcPr>
                <w:p w14:paraId="54122796">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818" w:type="pct"/>
                  <w:noWrap w:val="0"/>
                  <w:vAlign w:val="center"/>
                </w:tcPr>
                <w:p w14:paraId="5808CEA6">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100</w:t>
                  </w:r>
                </w:p>
              </w:tc>
            </w:tr>
            <w:tr w14:paraId="39481A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0" w:type="pct"/>
                  <w:noWrap w:val="0"/>
                  <w:vAlign w:val="center"/>
                </w:tcPr>
                <w:p w14:paraId="738515E7">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28</w:t>
                  </w:r>
                </w:p>
              </w:tc>
              <w:tc>
                <w:tcPr>
                  <w:tcW w:w="986" w:type="pct"/>
                  <w:noWrap w:val="0"/>
                  <w:vAlign w:val="center"/>
                </w:tcPr>
                <w:p w14:paraId="4CB9525F">
                  <w:pPr>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rPr>
                    <w:t>磷酸氢二钠</w:t>
                  </w:r>
                </w:p>
              </w:tc>
              <w:tc>
                <w:tcPr>
                  <w:tcW w:w="529" w:type="pct"/>
                  <w:noWrap w:val="0"/>
                  <w:vAlign w:val="center"/>
                </w:tcPr>
                <w:p w14:paraId="1CDF8733">
                  <w:pPr>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rPr>
                    <w:t>0.5kg</w:t>
                  </w:r>
                </w:p>
              </w:tc>
              <w:tc>
                <w:tcPr>
                  <w:tcW w:w="820" w:type="pct"/>
                  <w:shd w:val="clear" w:color="auto" w:fill="auto"/>
                  <w:noWrap w:val="0"/>
                  <w:vAlign w:val="center"/>
                </w:tcPr>
                <w:p w14:paraId="18E7E1C2">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rPr>
                    <w:t>500g</w:t>
                  </w:r>
                  <w:r>
                    <w:rPr>
                      <w:rFonts w:hint="eastAsia" w:cs="Times New Roman"/>
                      <w:bCs/>
                      <w:color w:val="auto"/>
                      <w:sz w:val="21"/>
                      <w:szCs w:val="21"/>
                      <w:highlight w:val="none"/>
                      <w:lang w:val="en-US" w:eastAsia="zh-CN"/>
                    </w:rPr>
                    <w:t>/瓶</w:t>
                  </w:r>
                </w:p>
              </w:tc>
              <w:tc>
                <w:tcPr>
                  <w:tcW w:w="836" w:type="pct"/>
                  <w:shd w:val="clear" w:color="auto" w:fill="auto"/>
                  <w:noWrap w:val="0"/>
                  <w:vAlign w:val="center"/>
                </w:tcPr>
                <w:p w14:paraId="720224B6">
                  <w:pPr>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2"/>
                      <w:sz w:val="21"/>
                      <w:szCs w:val="21"/>
                      <w:highlight w:val="none"/>
                      <w:lang w:val="en-US" w:eastAsia="zh-CN" w:bidi="ar-SA"/>
                    </w:rPr>
                    <w:t>50</w:t>
                  </w:r>
                </w:p>
              </w:tc>
              <w:tc>
                <w:tcPr>
                  <w:tcW w:w="638" w:type="pct"/>
                  <w:noWrap w:val="0"/>
                  <w:vAlign w:val="center"/>
                </w:tcPr>
                <w:p w14:paraId="458CCF30">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818" w:type="pct"/>
                  <w:noWrap w:val="0"/>
                  <w:vAlign w:val="center"/>
                </w:tcPr>
                <w:p w14:paraId="0D94D3FF">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50</w:t>
                  </w:r>
                </w:p>
              </w:tc>
            </w:tr>
            <w:tr w14:paraId="74124D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0" w:type="pct"/>
                  <w:noWrap w:val="0"/>
                  <w:vAlign w:val="center"/>
                </w:tcPr>
                <w:p w14:paraId="6F333B12">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29</w:t>
                  </w:r>
                </w:p>
              </w:tc>
              <w:tc>
                <w:tcPr>
                  <w:tcW w:w="986" w:type="pct"/>
                  <w:noWrap w:val="0"/>
                  <w:vAlign w:val="center"/>
                </w:tcPr>
                <w:p w14:paraId="62EBA36C">
                  <w:pPr>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rPr>
                    <w:t>无水碳酸钾</w:t>
                  </w:r>
                </w:p>
              </w:tc>
              <w:tc>
                <w:tcPr>
                  <w:tcW w:w="529" w:type="pct"/>
                  <w:noWrap w:val="0"/>
                  <w:vAlign w:val="center"/>
                </w:tcPr>
                <w:p w14:paraId="75481351">
                  <w:pPr>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rPr>
                    <w:t>1kg</w:t>
                  </w:r>
                </w:p>
              </w:tc>
              <w:tc>
                <w:tcPr>
                  <w:tcW w:w="820" w:type="pct"/>
                  <w:shd w:val="clear" w:color="auto" w:fill="auto"/>
                  <w:noWrap w:val="0"/>
                  <w:vAlign w:val="center"/>
                </w:tcPr>
                <w:p w14:paraId="6EA08475">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rPr>
                    <w:t>500g</w:t>
                  </w:r>
                  <w:r>
                    <w:rPr>
                      <w:rFonts w:hint="eastAsia" w:cs="Times New Roman"/>
                      <w:bCs/>
                      <w:color w:val="auto"/>
                      <w:sz w:val="21"/>
                      <w:szCs w:val="21"/>
                      <w:highlight w:val="none"/>
                      <w:lang w:val="en-US" w:eastAsia="zh-CN"/>
                    </w:rPr>
                    <w:t>/瓶</w:t>
                  </w:r>
                </w:p>
              </w:tc>
              <w:tc>
                <w:tcPr>
                  <w:tcW w:w="836" w:type="pct"/>
                  <w:shd w:val="clear" w:color="auto" w:fill="auto"/>
                  <w:noWrap w:val="0"/>
                  <w:vAlign w:val="center"/>
                </w:tcPr>
                <w:p w14:paraId="20CAC7B5">
                  <w:pPr>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2"/>
                      <w:sz w:val="21"/>
                      <w:szCs w:val="21"/>
                      <w:highlight w:val="none"/>
                      <w:lang w:val="en-US" w:eastAsia="zh-CN" w:bidi="ar-SA"/>
                    </w:rPr>
                    <w:t>50</w:t>
                  </w:r>
                </w:p>
              </w:tc>
              <w:tc>
                <w:tcPr>
                  <w:tcW w:w="638" w:type="pct"/>
                  <w:noWrap w:val="0"/>
                  <w:vAlign w:val="center"/>
                </w:tcPr>
                <w:p w14:paraId="72DA7CEC">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818" w:type="pct"/>
                  <w:noWrap w:val="0"/>
                  <w:vAlign w:val="center"/>
                </w:tcPr>
                <w:p w14:paraId="7809ABCC">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100</w:t>
                  </w:r>
                </w:p>
              </w:tc>
            </w:tr>
            <w:tr w14:paraId="56876B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0" w:type="pct"/>
                  <w:noWrap w:val="0"/>
                  <w:vAlign w:val="center"/>
                </w:tcPr>
                <w:p w14:paraId="7284627C">
                  <w:pPr>
                    <w:widowControl/>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30</w:t>
                  </w:r>
                </w:p>
              </w:tc>
              <w:tc>
                <w:tcPr>
                  <w:tcW w:w="986" w:type="pct"/>
                  <w:noWrap w:val="0"/>
                  <w:vAlign w:val="center"/>
                </w:tcPr>
                <w:p w14:paraId="2F31AFB2">
                  <w:pPr>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rPr>
                    <w:t>硝酸钾</w:t>
                  </w:r>
                </w:p>
              </w:tc>
              <w:tc>
                <w:tcPr>
                  <w:tcW w:w="529" w:type="pct"/>
                  <w:noWrap w:val="0"/>
                  <w:vAlign w:val="center"/>
                </w:tcPr>
                <w:p w14:paraId="4765A156">
                  <w:pPr>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rPr>
                    <w:t>1kg</w:t>
                  </w:r>
                </w:p>
              </w:tc>
              <w:tc>
                <w:tcPr>
                  <w:tcW w:w="820" w:type="pct"/>
                  <w:shd w:val="clear" w:color="auto" w:fill="auto"/>
                  <w:noWrap w:val="0"/>
                  <w:vAlign w:val="center"/>
                </w:tcPr>
                <w:p w14:paraId="194331A2">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rPr>
                    <w:t>500g</w:t>
                  </w:r>
                  <w:r>
                    <w:rPr>
                      <w:rFonts w:hint="eastAsia" w:cs="Times New Roman"/>
                      <w:bCs/>
                      <w:color w:val="auto"/>
                      <w:sz w:val="21"/>
                      <w:szCs w:val="21"/>
                      <w:highlight w:val="none"/>
                      <w:lang w:val="en-US" w:eastAsia="zh-CN"/>
                    </w:rPr>
                    <w:t>/瓶</w:t>
                  </w:r>
                </w:p>
              </w:tc>
              <w:tc>
                <w:tcPr>
                  <w:tcW w:w="836" w:type="pct"/>
                  <w:shd w:val="clear" w:color="auto" w:fill="auto"/>
                  <w:noWrap w:val="0"/>
                  <w:vAlign w:val="center"/>
                </w:tcPr>
                <w:p w14:paraId="3F76A4F0">
                  <w:pPr>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2"/>
                      <w:sz w:val="21"/>
                      <w:szCs w:val="21"/>
                      <w:highlight w:val="none"/>
                      <w:lang w:val="en-US" w:eastAsia="zh-CN" w:bidi="ar-SA"/>
                    </w:rPr>
                    <w:t>50</w:t>
                  </w:r>
                </w:p>
              </w:tc>
              <w:tc>
                <w:tcPr>
                  <w:tcW w:w="638" w:type="pct"/>
                  <w:noWrap w:val="0"/>
                  <w:vAlign w:val="center"/>
                </w:tcPr>
                <w:p w14:paraId="430CA295">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818" w:type="pct"/>
                  <w:noWrap w:val="0"/>
                  <w:vAlign w:val="center"/>
                </w:tcPr>
                <w:p w14:paraId="0133A377">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100</w:t>
                  </w:r>
                </w:p>
              </w:tc>
            </w:tr>
            <w:tr w14:paraId="3B45A1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0" w:type="pct"/>
                  <w:noWrap w:val="0"/>
                  <w:vAlign w:val="center"/>
                </w:tcPr>
                <w:p w14:paraId="682FB0A6">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31</w:t>
                  </w:r>
                </w:p>
              </w:tc>
              <w:tc>
                <w:tcPr>
                  <w:tcW w:w="986" w:type="pct"/>
                  <w:noWrap w:val="0"/>
                  <w:vAlign w:val="center"/>
                </w:tcPr>
                <w:p w14:paraId="7364FA6A">
                  <w:pPr>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rPr>
                    <w:t>氯化钡</w:t>
                  </w:r>
                </w:p>
              </w:tc>
              <w:tc>
                <w:tcPr>
                  <w:tcW w:w="529" w:type="pct"/>
                  <w:noWrap w:val="0"/>
                  <w:vAlign w:val="center"/>
                </w:tcPr>
                <w:p w14:paraId="0F1D054C">
                  <w:pPr>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rPr>
                    <w:t>2.5kg</w:t>
                  </w:r>
                </w:p>
              </w:tc>
              <w:tc>
                <w:tcPr>
                  <w:tcW w:w="820" w:type="pct"/>
                  <w:shd w:val="clear" w:color="auto" w:fill="auto"/>
                  <w:noWrap w:val="0"/>
                  <w:vAlign w:val="center"/>
                </w:tcPr>
                <w:p w14:paraId="094858CA">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rPr>
                    <w:t>500g</w:t>
                  </w:r>
                  <w:r>
                    <w:rPr>
                      <w:rFonts w:hint="eastAsia" w:cs="Times New Roman"/>
                      <w:bCs/>
                      <w:color w:val="auto"/>
                      <w:sz w:val="21"/>
                      <w:szCs w:val="21"/>
                      <w:highlight w:val="none"/>
                      <w:lang w:val="en-US" w:eastAsia="zh-CN"/>
                    </w:rPr>
                    <w:t>/瓶</w:t>
                  </w:r>
                </w:p>
              </w:tc>
              <w:tc>
                <w:tcPr>
                  <w:tcW w:w="836" w:type="pct"/>
                  <w:shd w:val="clear" w:color="auto" w:fill="auto"/>
                  <w:noWrap w:val="0"/>
                  <w:vAlign w:val="center"/>
                </w:tcPr>
                <w:p w14:paraId="0C041FDD">
                  <w:pPr>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2"/>
                      <w:sz w:val="21"/>
                      <w:szCs w:val="21"/>
                      <w:highlight w:val="none"/>
                      <w:lang w:val="en-US" w:eastAsia="zh-CN" w:bidi="ar-SA"/>
                    </w:rPr>
                    <w:t>50</w:t>
                  </w:r>
                </w:p>
              </w:tc>
              <w:tc>
                <w:tcPr>
                  <w:tcW w:w="638" w:type="pct"/>
                  <w:noWrap w:val="0"/>
                  <w:vAlign w:val="center"/>
                </w:tcPr>
                <w:p w14:paraId="3E37A40F">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w:t>
                  </w:r>
                </w:p>
              </w:tc>
              <w:tc>
                <w:tcPr>
                  <w:tcW w:w="818" w:type="pct"/>
                  <w:noWrap w:val="0"/>
                  <w:vAlign w:val="center"/>
                </w:tcPr>
                <w:p w14:paraId="32250906">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250</w:t>
                  </w:r>
                </w:p>
              </w:tc>
            </w:tr>
            <w:tr w14:paraId="39B0F2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0" w:type="pct"/>
                  <w:noWrap w:val="0"/>
                  <w:vAlign w:val="center"/>
                </w:tcPr>
                <w:p w14:paraId="78C98527">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32</w:t>
                  </w:r>
                </w:p>
              </w:tc>
              <w:tc>
                <w:tcPr>
                  <w:tcW w:w="986" w:type="pct"/>
                  <w:noWrap w:val="0"/>
                  <w:vAlign w:val="center"/>
                </w:tcPr>
                <w:p w14:paraId="73092C2A">
                  <w:pPr>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rPr>
                    <w:t>高锰酸钾</w:t>
                  </w:r>
                </w:p>
              </w:tc>
              <w:tc>
                <w:tcPr>
                  <w:tcW w:w="529" w:type="pct"/>
                  <w:noWrap w:val="0"/>
                  <w:vAlign w:val="center"/>
                </w:tcPr>
                <w:p w14:paraId="5DE1081F">
                  <w:pPr>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rPr>
                    <w:t>0.5kg</w:t>
                  </w:r>
                </w:p>
              </w:tc>
              <w:tc>
                <w:tcPr>
                  <w:tcW w:w="820" w:type="pct"/>
                  <w:shd w:val="clear" w:color="auto" w:fill="auto"/>
                  <w:noWrap w:val="0"/>
                  <w:vAlign w:val="center"/>
                </w:tcPr>
                <w:p w14:paraId="3F0E9FBB">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rPr>
                    <w:t>500g</w:t>
                  </w:r>
                  <w:r>
                    <w:rPr>
                      <w:rFonts w:hint="eastAsia" w:cs="Times New Roman"/>
                      <w:bCs/>
                      <w:color w:val="auto"/>
                      <w:sz w:val="21"/>
                      <w:szCs w:val="21"/>
                      <w:highlight w:val="none"/>
                      <w:lang w:val="en-US" w:eastAsia="zh-CN"/>
                    </w:rPr>
                    <w:t>/瓶</w:t>
                  </w:r>
                </w:p>
              </w:tc>
              <w:tc>
                <w:tcPr>
                  <w:tcW w:w="836" w:type="pct"/>
                  <w:shd w:val="clear" w:color="auto" w:fill="auto"/>
                  <w:noWrap w:val="0"/>
                  <w:vAlign w:val="center"/>
                </w:tcPr>
                <w:p w14:paraId="5C6F30F8">
                  <w:pPr>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2"/>
                      <w:sz w:val="21"/>
                      <w:szCs w:val="21"/>
                      <w:highlight w:val="none"/>
                      <w:lang w:val="en-US" w:eastAsia="zh-CN" w:bidi="ar-SA"/>
                    </w:rPr>
                    <w:t>50</w:t>
                  </w:r>
                </w:p>
              </w:tc>
              <w:tc>
                <w:tcPr>
                  <w:tcW w:w="638" w:type="pct"/>
                  <w:noWrap w:val="0"/>
                  <w:vAlign w:val="center"/>
                </w:tcPr>
                <w:p w14:paraId="3EAFE9B2">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818" w:type="pct"/>
                  <w:noWrap w:val="0"/>
                  <w:vAlign w:val="center"/>
                </w:tcPr>
                <w:p w14:paraId="7D7E4551">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50</w:t>
                  </w:r>
                </w:p>
              </w:tc>
            </w:tr>
            <w:tr w14:paraId="511BB6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0" w:type="pct"/>
                  <w:noWrap w:val="0"/>
                  <w:vAlign w:val="center"/>
                </w:tcPr>
                <w:p w14:paraId="0D3B45CD">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33</w:t>
                  </w:r>
                </w:p>
              </w:tc>
              <w:tc>
                <w:tcPr>
                  <w:tcW w:w="986" w:type="pct"/>
                  <w:noWrap w:val="0"/>
                  <w:vAlign w:val="center"/>
                </w:tcPr>
                <w:p w14:paraId="01F9CAF8">
                  <w:pPr>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rPr>
                    <w:t>二氧化硅（粉）</w:t>
                  </w:r>
                </w:p>
              </w:tc>
              <w:tc>
                <w:tcPr>
                  <w:tcW w:w="529" w:type="pct"/>
                  <w:noWrap w:val="0"/>
                  <w:vAlign w:val="center"/>
                </w:tcPr>
                <w:p w14:paraId="2253A981">
                  <w:pPr>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rPr>
                    <w:t>0.5kg</w:t>
                  </w:r>
                </w:p>
              </w:tc>
              <w:tc>
                <w:tcPr>
                  <w:tcW w:w="820" w:type="pct"/>
                  <w:shd w:val="clear" w:color="auto" w:fill="auto"/>
                  <w:noWrap w:val="0"/>
                  <w:vAlign w:val="center"/>
                </w:tcPr>
                <w:p w14:paraId="264D107C">
                  <w:pPr>
                    <w:tabs>
                      <w:tab w:val="left" w:pos="1088"/>
                    </w:tabs>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rPr>
                    <w:t>500g</w:t>
                  </w:r>
                  <w:r>
                    <w:rPr>
                      <w:rFonts w:hint="eastAsia" w:cs="Times New Roman"/>
                      <w:bCs/>
                      <w:color w:val="auto"/>
                      <w:sz w:val="21"/>
                      <w:szCs w:val="21"/>
                      <w:highlight w:val="none"/>
                      <w:lang w:val="en-US" w:eastAsia="zh-CN"/>
                    </w:rPr>
                    <w:t>/瓶</w:t>
                  </w:r>
                </w:p>
              </w:tc>
              <w:tc>
                <w:tcPr>
                  <w:tcW w:w="836" w:type="pct"/>
                  <w:shd w:val="clear" w:color="auto" w:fill="auto"/>
                  <w:noWrap w:val="0"/>
                  <w:vAlign w:val="center"/>
                </w:tcPr>
                <w:p w14:paraId="0FA6C824">
                  <w:pPr>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2"/>
                      <w:sz w:val="21"/>
                      <w:szCs w:val="21"/>
                      <w:highlight w:val="none"/>
                      <w:lang w:val="en-US" w:eastAsia="zh-CN" w:bidi="ar-SA"/>
                    </w:rPr>
                    <w:t>50</w:t>
                  </w:r>
                </w:p>
              </w:tc>
              <w:tc>
                <w:tcPr>
                  <w:tcW w:w="638" w:type="pct"/>
                  <w:noWrap w:val="0"/>
                  <w:vAlign w:val="center"/>
                </w:tcPr>
                <w:p w14:paraId="2CECCF8A">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818" w:type="pct"/>
                  <w:noWrap w:val="0"/>
                  <w:vAlign w:val="center"/>
                </w:tcPr>
                <w:p w14:paraId="1C5B3EC9">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50</w:t>
                  </w:r>
                </w:p>
              </w:tc>
            </w:tr>
            <w:tr w14:paraId="7B836B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0" w:type="pct"/>
                  <w:noWrap w:val="0"/>
                  <w:vAlign w:val="center"/>
                </w:tcPr>
                <w:p w14:paraId="3F36B155">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34</w:t>
                  </w:r>
                </w:p>
              </w:tc>
              <w:tc>
                <w:tcPr>
                  <w:tcW w:w="986" w:type="pct"/>
                  <w:noWrap w:val="0"/>
                  <w:vAlign w:val="center"/>
                </w:tcPr>
                <w:p w14:paraId="1873BA95">
                  <w:pPr>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rPr>
                    <w:t>氯化钾</w:t>
                  </w:r>
                </w:p>
              </w:tc>
              <w:tc>
                <w:tcPr>
                  <w:tcW w:w="529" w:type="pct"/>
                  <w:noWrap w:val="0"/>
                  <w:vAlign w:val="center"/>
                </w:tcPr>
                <w:p w14:paraId="3949E026">
                  <w:pPr>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rPr>
                    <w:t>1</w:t>
                  </w:r>
                  <w:r>
                    <w:rPr>
                      <w:rFonts w:hint="default" w:ascii="Times New Roman" w:hAnsi="Times New Roman" w:eastAsia="宋体" w:cs="Times New Roman"/>
                      <w:color w:val="auto"/>
                      <w:sz w:val="21"/>
                      <w:szCs w:val="21"/>
                      <w:highlight w:val="none"/>
                      <w:lang w:val="en-US" w:eastAsia="zh-CN"/>
                    </w:rPr>
                    <w:t>kg</w:t>
                  </w:r>
                </w:p>
              </w:tc>
              <w:tc>
                <w:tcPr>
                  <w:tcW w:w="820" w:type="pct"/>
                  <w:shd w:val="clear" w:color="auto" w:fill="auto"/>
                  <w:noWrap w:val="0"/>
                  <w:vAlign w:val="center"/>
                </w:tcPr>
                <w:p w14:paraId="062A5F17">
                  <w:pPr>
                    <w:tabs>
                      <w:tab w:val="left" w:pos="1088"/>
                    </w:tabs>
                    <w:jc w:val="center"/>
                    <w:rPr>
                      <w:rFonts w:hint="eastAsia"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rPr>
                    <w:t>500ml</w:t>
                  </w:r>
                  <w:r>
                    <w:rPr>
                      <w:rFonts w:hint="eastAsia" w:cs="Times New Roman"/>
                      <w:bCs/>
                      <w:color w:val="auto"/>
                      <w:sz w:val="21"/>
                      <w:szCs w:val="21"/>
                      <w:highlight w:val="none"/>
                      <w:lang w:val="en-US" w:eastAsia="zh-CN"/>
                    </w:rPr>
                    <w:t>/瓶</w:t>
                  </w:r>
                </w:p>
                <w:p w14:paraId="5FAB2AF1">
                  <w:pPr>
                    <w:tabs>
                      <w:tab w:val="left" w:pos="1088"/>
                    </w:tabs>
                    <w:jc w:val="center"/>
                    <w:rPr>
                      <w:rFonts w:hint="default" w:cs="Times New Roman"/>
                      <w:bCs/>
                      <w:color w:val="auto"/>
                      <w:sz w:val="21"/>
                      <w:szCs w:val="21"/>
                      <w:highlight w:val="none"/>
                      <w:lang w:val="en-US" w:eastAsia="zh-CN"/>
                    </w:rPr>
                  </w:pPr>
                  <w:r>
                    <w:rPr>
                      <w:rFonts w:hint="eastAsia" w:cs="Times New Roman"/>
                      <w:bCs/>
                      <w:color w:val="auto"/>
                      <w:sz w:val="21"/>
                      <w:szCs w:val="21"/>
                      <w:highlight w:val="none"/>
                      <w:lang w:val="en-US" w:eastAsia="zh-CN"/>
                    </w:rPr>
                    <w:t>（590g/瓶）</w:t>
                  </w:r>
                </w:p>
              </w:tc>
              <w:tc>
                <w:tcPr>
                  <w:tcW w:w="836" w:type="pct"/>
                  <w:shd w:val="clear" w:color="auto" w:fill="auto"/>
                  <w:noWrap w:val="0"/>
                  <w:vAlign w:val="center"/>
                </w:tcPr>
                <w:p w14:paraId="0D7B48C2">
                  <w:pPr>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250</w:t>
                  </w:r>
                </w:p>
              </w:tc>
              <w:tc>
                <w:tcPr>
                  <w:tcW w:w="638" w:type="pct"/>
                  <w:noWrap w:val="0"/>
                  <w:vAlign w:val="center"/>
                </w:tcPr>
                <w:p w14:paraId="7FC6E4AF">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818" w:type="pct"/>
                  <w:noWrap w:val="0"/>
                  <w:vAlign w:val="center"/>
                </w:tcPr>
                <w:p w14:paraId="45F8BB9F">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500</w:t>
                  </w:r>
                </w:p>
              </w:tc>
            </w:tr>
            <w:tr w14:paraId="53496D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0" w:type="pct"/>
                  <w:noWrap w:val="0"/>
                  <w:vAlign w:val="center"/>
                </w:tcPr>
                <w:p w14:paraId="46ADE8FB">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35</w:t>
                  </w:r>
                </w:p>
              </w:tc>
              <w:tc>
                <w:tcPr>
                  <w:tcW w:w="986" w:type="pct"/>
                  <w:noWrap w:val="0"/>
                  <w:vAlign w:val="center"/>
                </w:tcPr>
                <w:p w14:paraId="2C2BA562">
                  <w:pPr>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rPr>
                    <w:t>硫酸铁</w:t>
                  </w:r>
                </w:p>
              </w:tc>
              <w:tc>
                <w:tcPr>
                  <w:tcW w:w="529" w:type="pct"/>
                  <w:noWrap w:val="0"/>
                  <w:vAlign w:val="center"/>
                </w:tcPr>
                <w:p w14:paraId="52D2F53A">
                  <w:pPr>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rPr>
                    <w:t>0.5kg</w:t>
                  </w:r>
                </w:p>
              </w:tc>
              <w:tc>
                <w:tcPr>
                  <w:tcW w:w="820" w:type="pct"/>
                  <w:shd w:val="clear" w:color="auto" w:fill="auto"/>
                  <w:noWrap w:val="0"/>
                  <w:vAlign w:val="center"/>
                </w:tcPr>
                <w:p w14:paraId="48559D80">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rPr>
                    <w:t>500g</w:t>
                  </w:r>
                  <w:r>
                    <w:rPr>
                      <w:rFonts w:hint="eastAsia" w:cs="Times New Roman"/>
                      <w:bCs/>
                      <w:color w:val="auto"/>
                      <w:sz w:val="21"/>
                      <w:szCs w:val="21"/>
                      <w:highlight w:val="none"/>
                      <w:lang w:val="en-US" w:eastAsia="zh-CN"/>
                    </w:rPr>
                    <w:t>/瓶</w:t>
                  </w:r>
                </w:p>
              </w:tc>
              <w:tc>
                <w:tcPr>
                  <w:tcW w:w="836" w:type="pct"/>
                  <w:shd w:val="clear" w:color="auto" w:fill="auto"/>
                  <w:noWrap w:val="0"/>
                  <w:vAlign w:val="center"/>
                </w:tcPr>
                <w:p w14:paraId="12174A00">
                  <w:pPr>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50</w:t>
                  </w:r>
                </w:p>
              </w:tc>
              <w:tc>
                <w:tcPr>
                  <w:tcW w:w="638" w:type="pct"/>
                  <w:noWrap w:val="0"/>
                  <w:vAlign w:val="center"/>
                </w:tcPr>
                <w:p w14:paraId="31371697">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818" w:type="pct"/>
                  <w:noWrap w:val="0"/>
                  <w:vAlign w:val="center"/>
                </w:tcPr>
                <w:p w14:paraId="6474E823">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50</w:t>
                  </w:r>
                </w:p>
              </w:tc>
            </w:tr>
            <w:tr w14:paraId="1A4872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0" w:type="pct"/>
                  <w:noWrap w:val="0"/>
                  <w:vAlign w:val="center"/>
                </w:tcPr>
                <w:p w14:paraId="290D4FA7">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36</w:t>
                  </w:r>
                </w:p>
              </w:tc>
              <w:tc>
                <w:tcPr>
                  <w:tcW w:w="986" w:type="pct"/>
                  <w:noWrap w:val="0"/>
                  <w:vAlign w:val="center"/>
                </w:tcPr>
                <w:p w14:paraId="6FD15069">
                  <w:pPr>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rPr>
                    <w:t>盐酸</w:t>
                  </w:r>
                </w:p>
              </w:tc>
              <w:tc>
                <w:tcPr>
                  <w:tcW w:w="529" w:type="pct"/>
                  <w:noWrap w:val="0"/>
                  <w:vAlign w:val="center"/>
                </w:tcPr>
                <w:p w14:paraId="0052EFDF">
                  <w:pPr>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rPr>
                    <w:t>11</w:t>
                  </w:r>
                  <w:r>
                    <w:rPr>
                      <w:rFonts w:hint="default" w:ascii="Times New Roman" w:hAnsi="Times New Roman" w:eastAsia="宋体" w:cs="Times New Roman"/>
                      <w:color w:val="auto"/>
                      <w:sz w:val="21"/>
                      <w:szCs w:val="21"/>
                      <w:highlight w:val="none"/>
                      <w:lang w:val="en-US" w:eastAsia="zh-CN"/>
                    </w:rPr>
                    <w:t>kg</w:t>
                  </w:r>
                </w:p>
              </w:tc>
              <w:tc>
                <w:tcPr>
                  <w:tcW w:w="820" w:type="pct"/>
                  <w:shd w:val="clear" w:color="auto" w:fill="auto"/>
                  <w:noWrap w:val="0"/>
                  <w:vAlign w:val="center"/>
                </w:tcPr>
                <w:p w14:paraId="4116A5F5">
                  <w:pPr>
                    <w:tabs>
                      <w:tab w:val="left" w:pos="1088"/>
                    </w:tabs>
                    <w:jc w:val="center"/>
                    <w:rPr>
                      <w:rFonts w:hint="eastAsia"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rPr>
                    <w:t>500ml</w:t>
                  </w:r>
                  <w:r>
                    <w:rPr>
                      <w:rFonts w:hint="eastAsia" w:cs="Times New Roman"/>
                      <w:bCs/>
                      <w:color w:val="auto"/>
                      <w:sz w:val="21"/>
                      <w:szCs w:val="21"/>
                      <w:highlight w:val="none"/>
                      <w:lang w:val="en-US" w:eastAsia="zh-CN"/>
                    </w:rPr>
                    <w:t>/瓶</w:t>
                  </w:r>
                </w:p>
                <w:p w14:paraId="2FE58A37">
                  <w:pPr>
                    <w:tabs>
                      <w:tab w:val="left" w:pos="1088"/>
                    </w:tabs>
                    <w:jc w:val="center"/>
                    <w:rPr>
                      <w:rFonts w:hint="default" w:cs="Times New Roman"/>
                      <w:bCs/>
                      <w:color w:val="auto"/>
                      <w:sz w:val="21"/>
                      <w:szCs w:val="21"/>
                      <w:highlight w:val="none"/>
                      <w:lang w:val="en-US" w:eastAsia="zh-CN"/>
                    </w:rPr>
                  </w:pPr>
                  <w:r>
                    <w:rPr>
                      <w:rFonts w:hint="eastAsia" w:cs="Times New Roman"/>
                      <w:bCs/>
                      <w:color w:val="auto"/>
                      <w:sz w:val="21"/>
                      <w:szCs w:val="21"/>
                      <w:highlight w:val="none"/>
                      <w:lang w:val="en-US" w:eastAsia="zh-CN"/>
                    </w:rPr>
                    <w:t>（590g/瓶）</w:t>
                  </w:r>
                </w:p>
              </w:tc>
              <w:tc>
                <w:tcPr>
                  <w:tcW w:w="836" w:type="pct"/>
                  <w:shd w:val="clear" w:color="auto" w:fill="auto"/>
                  <w:noWrap w:val="0"/>
                  <w:vAlign w:val="center"/>
                </w:tcPr>
                <w:p w14:paraId="2D5CCB71">
                  <w:pPr>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250</w:t>
                  </w:r>
                </w:p>
              </w:tc>
              <w:tc>
                <w:tcPr>
                  <w:tcW w:w="638" w:type="pct"/>
                  <w:noWrap w:val="0"/>
                  <w:vAlign w:val="center"/>
                </w:tcPr>
                <w:p w14:paraId="385E40D1">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19</w:t>
                  </w:r>
                </w:p>
              </w:tc>
              <w:tc>
                <w:tcPr>
                  <w:tcW w:w="818" w:type="pct"/>
                  <w:noWrap w:val="0"/>
                  <w:vAlign w:val="center"/>
                </w:tcPr>
                <w:p w14:paraId="76E9F43A">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i w:val="0"/>
                      <w:iCs w:val="0"/>
                      <w:color w:val="auto"/>
                      <w:kern w:val="0"/>
                      <w:sz w:val="21"/>
                      <w:szCs w:val="21"/>
                      <w:highlight w:val="none"/>
                      <w:u w:val="none"/>
                      <w:lang w:val="en-US" w:eastAsia="zh-CN" w:bidi="ar"/>
                    </w:rPr>
                    <w:t>4750</w:t>
                  </w:r>
                </w:p>
              </w:tc>
            </w:tr>
            <w:tr w14:paraId="74222D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0" w:type="pct"/>
                  <w:noWrap w:val="0"/>
                  <w:vAlign w:val="center"/>
                </w:tcPr>
                <w:p w14:paraId="7B5C4CE3">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37</w:t>
                  </w:r>
                </w:p>
              </w:tc>
              <w:tc>
                <w:tcPr>
                  <w:tcW w:w="986" w:type="pct"/>
                  <w:noWrap w:val="0"/>
                  <w:vAlign w:val="center"/>
                </w:tcPr>
                <w:p w14:paraId="0AC97C62">
                  <w:pPr>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rPr>
                    <w:t>磷酸</w:t>
                  </w:r>
                </w:p>
              </w:tc>
              <w:tc>
                <w:tcPr>
                  <w:tcW w:w="529" w:type="pct"/>
                  <w:noWrap w:val="0"/>
                  <w:vAlign w:val="center"/>
                </w:tcPr>
                <w:p w14:paraId="324345EC">
                  <w:pPr>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rPr>
                    <w:t>1.5</w:t>
                  </w:r>
                  <w:r>
                    <w:rPr>
                      <w:rFonts w:hint="default" w:ascii="Times New Roman" w:hAnsi="Times New Roman" w:eastAsia="宋体" w:cs="Times New Roman"/>
                      <w:color w:val="auto"/>
                      <w:sz w:val="21"/>
                      <w:szCs w:val="21"/>
                      <w:highlight w:val="none"/>
                      <w:lang w:val="en-US" w:eastAsia="zh-CN"/>
                    </w:rPr>
                    <w:t>kg</w:t>
                  </w:r>
                </w:p>
              </w:tc>
              <w:tc>
                <w:tcPr>
                  <w:tcW w:w="820" w:type="pct"/>
                  <w:shd w:val="clear" w:color="auto" w:fill="auto"/>
                  <w:noWrap w:val="0"/>
                  <w:vAlign w:val="center"/>
                </w:tcPr>
                <w:p w14:paraId="24E64588">
                  <w:pPr>
                    <w:tabs>
                      <w:tab w:val="left" w:pos="1088"/>
                    </w:tabs>
                    <w:jc w:val="center"/>
                    <w:rPr>
                      <w:rFonts w:hint="eastAsia"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rPr>
                    <w:t>500ml</w:t>
                  </w:r>
                  <w:r>
                    <w:rPr>
                      <w:rFonts w:hint="eastAsia" w:cs="Times New Roman"/>
                      <w:bCs/>
                      <w:color w:val="auto"/>
                      <w:sz w:val="21"/>
                      <w:szCs w:val="21"/>
                      <w:highlight w:val="none"/>
                      <w:lang w:val="en-US" w:eastAsia="zh-CN"/>
                    </w:rPr>
                    <w:t>/瓶</w:t>
                  </w:r>
                </w:p>
                <w:p w14:paraId="5FEC4008">
                  <w:pPr>
                    <w:tabs>
                      <w:tab w:val="left" w:pos="1088"/>
                    </w:tabs>
                    <w:jc w:val="center"/>
                    <w:rPr>
                      <w:rFonts w:hint="default" w:cs="Times New Roman"/>
                      <w:bCs/>
                      <w:color w:val="auto"/>
                      <w:sz w:val="21"/>
                      <w:szCs w:val="21"/>
                      <w:highlight w:val="none"/>
                      <w:lang w:val="en-US" w:eastAsia="zh-CN"/>
                    </w:rPr>
                  </w:pPr>
                  <w:r>
                    <w:rPr>
                      <w:rFonts w:hint="eastAsia" w:cs="Times New Roman"/>
                      <w:bCs/>
                      <w:color w:val="auto"/>
                      <w:sz w:val="21"/>
                      <w:szCs w:val="21"/>
                      <w:highlight w:val="none"/>
                      <w:lang w:val="en-US" w:eastAsia="zh-CN"/>
                    </w:rPr>
                    <w:t>（842.5g/瓶）</w:t>
                  </w:r>
                </w:p>
              </w:tc>
              <w:tc>
                <w:tcPr>
                  <w:tcW w:w="836" w:type="pct"/>
                  <w:shd w:val="clear" w:color="auto" w:fill="auto"/>
                  <w:noWrap w:val="0"/>
                  <w:vAlign w:val="center"/>
                </w:tcPr>
                <w:p w14:paraId="1088B02B">
                  <w:pPr>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250</w:t>
                  </w:r>
                </w:p>
              </w:tc>
              <w:tc>
                <w:tcPr>
                  <w:tcW w:w="638" w:type="pct"/>
                  <w:noWrap w:val="0"/>
                  <w:vAlign w:val="center"/>
                </w:tcPr>
                <w:p w14:paraId="76634E17">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818" w:type="pct"/>
                  <w:noWrap w:val="0"/>
                  <w:vAlign w:val="center"/>
                </w:tcPr>
                <w:p w14:paraId="0774F730">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500</w:t>
                  </w:r>
                </w:p>
              </w:tc>
            </w:tr>
            <w:tr w14:paraId="78323A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0" w:type="pct"/>
                  <w:noWrap w:val="0"/>
                  <w:vAlign w:val="center"/>
                </w:tcPr>
                <w:p w14:paraId="5F622A22">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38</w:t>
                  </w:r>
                </w:p>
              </w:tc>
              <w:tc>
                <w:tcPr>
                  <w:tcW w:w="986" w:type="pct"/>
                  <w:noWrap w:val="0"/>
                  <w:vAlign w:val="center"/>
                </w:tcPr>
                <w:p w14:paraId="3191645A">
                  <w:pPr>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rPr>
                    <w:t>硫酸</w:t>
                  </w:r>
                </w:p>
              </w:tc>
              <w:tc>
                <w:tcPr>
                  <w:tcW w:w="529" w:type="pct"/>
                  <w:noWrap w:val="0"/>
                  <w:vAlign w:val="center"/>
                </w:tcPr>
                <w:p w14:paraId="31E59E8F">
                  <w:pPr>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rPr>
                    <w:t>23.5</w:t>
                  </w:r>
                  <w:r>
                    <w:rPr>
                      <w:rFonts w:hint="default" w:ascii="Times New Roman" w:hAnsi="Times New Roman" w:eastAsia="宋体" w:cs="Times New Roman"/>
                      <w:color w:val="auto"/>
                      <w:sz w:val="21"/>
                      <w:szCs w:val="21"/>
                      <w:highlight w:val="none"/>
                      <w:lang w:val="en-US" w:eastAsia="zh-CN"/>
                    </w:rPr>
                    <w:t>kg</w:t>
                  </w:r>
                </w:p>
              </w:tc>
              <w:tc>
                <w:tcPr>
                  <w:tcW w:w="820" w:type="pct"/>
                  <w:shd w:val="clear" w:color="auto" w:fill="auto"/>
                  <w:noWrap w:val="0"/>
                  <w:vAlign w:val="center"/>
                </w:tcPr>
                <w:p w14:paraId="65FC18D5">
                  <w:pPr>
                    <w:tabs>
                      <w:tab w:val="left" w:pos="1088"/>
                    </w:tabs>
                    <w:jc w:val="center"/>
                    <w:rPr>
                      <w:rFonts w:hint="eastAsia"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rPr>
                    <w:t>500ml</w:t>
                  </w:r>
                  <w:r>
                    <w:rPr>
                      <w:rFonts w:hint="eastAsia" w:cs="Times New Roman"/>
                      <w:bCs/>
                      <w:color w:val="auto"/>
                      <w:sz w:val="21"/>
                      <w:szCs w:val="21"/>
                      <w:highlight w:val="none"/>
                      <w:lang w:val="en-US" w:eastAsia="zh-CN"/>
                    </w:rPr>
                    <w:t>/瓶</w:t>
                  </w:r>
                </w:p>
                <w:p w14:paraId="1A9FD4EC">
                  <w:pPr>
                    <w:tabs>
                      <w:tab w:val="left" w:pos="1088"/>
                    </w:tabs>
                    <w:jc w:val="center"/>
                    <w:rPr>
                      <w:rFonts w:hint="default" w:cs="Times New Roman"/>
                      <w:bCs/>
                      <w:color w:val="auto"/>
                      <w:sz w:val="21"/>
                      <w:szCs w:val="21"/>
                      <w:highlight w:val="none"/>
                      <w:lang w:val="en-US" w:eastAsia="zh-CN"/>
                    </w:rPr>
                  </w:pPr>
                  <w:r>
                    <w:rPr>
                      <w:rFonts w:hint="eastAsia" w:cs="Times New Roman"/>
                      <w:bCs/>
                      <w:color w:val="auto"/>
                      <w:sz w:val="21"/>
                      <w:szCs w:val="21"/>
                      <w:highlight w:val="none"/>
                      <w:lang w:val="en-US" w:eastAsia="zh-CN"/>
                    </w:rPr>
                    <w:t>(915g/瓶）</w:t>
                  </w:r>
                </w:p>
              </w:tc>
              <w:tc>
                <w:tcPr>
                  <w:tcW w:w="836" w:type="pct"/>
                  <w:shd w:val="clear" w:color="auto" w:fill="auto"/>
                  <w:noWrap w:val="0"/>
                  <w:vAlign w:val="center"/>
                </w:tcPr>
                <w:p w14:paraId="7A79B74D">
                  <w:pPr>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250</w:t>
                  </w:r>
                </w:p>
              </w:tc>
              <w:tc>
                <w:tcPr>
                  <w:tcW w:w="638" w:type="pct"/>
                  <w:noWrap w:val="0"/>
                  <w:vAlign w:val="center"/>
                </w:tcPr>
                <w:p w14:paraId="61843B8D">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w:t>
                  </w:r>
                  <w:r>
                    <w:rPr>
                      <w:rFonts w:hint="eastAsia" w:cs="Times New Roman"/>
                      <w:i w:val="0"/>
                      <w:iCs w:val="0"/>
                      <w:color w:val="auto"/>
                      <w:kern w:val="0"/>
                      <w:sz w:val="21"/>
                      <w:szCs w:val="21"/>
                      <w:highlight w:val="none"/>
                      <w:u w:val="none"/>
                      <w:lang w:val="en-US" w:eastAsia="zh-CN" w:bidi="ar"/>
                    </w:rPr>
                    <w:t>6</w:t>
                  </w:r>
                </w:p>
              </w:tc>
              <w:tc>
                <w:tcPr>
                  <w:tcW w:w="818" w:type="pct"/>
                  <w:noWrap w:val="0"/>
                  <w:vAlign w:val="center"/>
                </w:tcPr>
                <w:p w14:paraId="79552C0F">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6500</w:t>
                  </w:r>
                </w:p>
              </w:tc>
            </w:tr>
            <w:tr w14:paraId="0A0692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0" w:type="pct"/>
                  <w:noWrap w:val="0"/>
                  <w:vAlign w:val="center"/>
                </w:tcPr>
                <w:p w14:paraId="7C01DFD4">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39</w:t>
                  </w:r>
                </w:p>
              </w:tc>
              <w:tc>
                <w:tcPr>
                  <w:tcW w:w="986" w:type="pct"/>
                  <w:noWrap w:val="0"/>
                  <w:vAlign w:val="center"/>
                </w:tcPr>
                <w:p w14:paraId="11ABFD1C">
                  <w:pPr>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rPr>
                    <w:t>双氧水</w:t>
                  </w:r>
                </w:p>
              </w:tc>
              <w:tc>
                <w:tcPr>
                  <w:tcW w:w="529" w:type="pct"/>
                  <w:noWrap w:val="0"/>
                  <w:vAlign w:val="center"/>
                </w:tcPr>
                <w:p w14:paraId="77521659">
                  <w:pPr>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rPr>
                    <w:t>2</w:t>
                  </w:r>
                  <w:r>
                    <w:rPr>
                      <w:rFonts w:hint="default" w:ascii="Times New Roman" w:hAnsi="Times New Roman" w:eastAsia="宋体" w:cs="Times New Roman"/>
                      <w:color w:val="auto"/>
                      <w:sz w:val="21"/>
                      <w:szCs w:val="21"/>
                      <w:highlight w:val="none"/>
                      <w:lang w:val="en-US" w:eastAsia="zh-CN"/>
                    </w:rPr>
                    <w:t>kg</w:t>
                  </w:r>
                </w:p>
              </w:tc>
              <w:tc>
                <w:tcPr>
                  <w:tcW w:w="820" w:type="pct"/>
                  <w:shd w:val="clear" w:color="auto" w:fill="auto"/>
                  <w:noWrap w:val="0"/>
                  <w:vAlign w:val="center"/>
                </w:tcPr>
                <w:p w14:paraId="54308EC5">
                  <w:pPr>
                    <w:tabs>
                      <w:tab w:val="left" w:pos="1088"/>
                    </w:tabs>
                    <w:jc w:val="center"/>
                    <w:rPr>
                      <w:rFonts w:hint="eastAsia"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rPr>
                    <w:t>500ml</w:t>
                  </w:r>
                  <w:r>
                    <w:rPr>
                      <w:rFonts w:hint="eastAsia" w:cs="Times New Roman"/>
                      <w:bCs/>
                      <w:color w:val="auto"/>
                      <w:sz w:val="21"/>
                      <w:szCs w:val="21"/>
                      <w:highlight w:val="none"/>
                      <w:lang w:val="en-US" w:eastAsia="zh-CN"/>
                    </w:rPr>
                    <w:t>/瓶</w:t>
                  </w:r>
                </w:p>
                <w:p w14:paraId="0F12651B">
                  <w:pPr>
                    <w:tabs>
                      <w:tab w:val="left" w:pos="1088"/>
                    </w:tabs>
                    <w:jc w:val="center"/>
                    <w:rPr>
                      <w:rFonts w:hint="default" w:cs="Times New Roman"/>
                      <w:bCs/>
                      <w:color w:val="auto"/>
                      <w:sz w:val="21"/>
                      <w:szCs w:val="21"/>
                      <w:highlight w:val="none"/>
                      <w:lang w:val="en-US" w:eastAsia="zh-CN"/>
                    </w:rPr>
                  </w:pPr>
                  <w:r>
                    <w:rPr>
                      <w:rFonts w:hint="eastAsia" w:cs="Times New Roman"/>
                      <w:bCs/>
                      <w:color w:val="auto"/>
                      <w:sz w:val="21"/>
                      <w:szCs w:val="21"/>
                      <w:highlight w:val="none"/>
                      <w:lang w:val="en-US" w:eastAsia="zh-CN"/>
                    </w:rPr>
                    <w:t>（730g/瓶）</w:t>
                  </w:r>
                </w:p>
              </w:tc>
              <w:tc>
                <w:tcPr>
                  <w:tcW w:w="836" w:type="pct"/>
                  <w:shd w:val="clear" w:color="auto" w:fill="auto"/>
                  <w:noWrap w:val="0"/>
                  <w:vAlign w:val="center"/>
                </w:tcPr>
                <w:p w14:paraId="769066AE">
                  <w:pPr>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250</w:t>
                  </w:r>
                </w:p>
              </w:tc>
              <w:tc>
                <w:tcPr>
                  <w:tcW w:w="638" w:type="pct"/>
                  <w:noWrap w:val="0"/>
                  <w:vAlign w:val="center"/>
                </w:tcPr>
                <w:p w14:paraId="78F4152F">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w:t>
                  </w:r>
                </w:p>
              </w:tc>
              <w:tc>
                <w:tcPr>
                  <w:tcW w:w="818" w:type="pct"/>
                  <w:noWrap w:val="0"/>
                  <w:vAlign w:val="center"/>
                </w:tcPr>
                <w:p w14:paraId="0D04EC73">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750</w:t>
                  </w:r>
                </w:p>
              </w:tc>
            </w:tr>
            <w:tr w14:paraId="083623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0" w:type="pct"/>
                  <w:noWrap w:val="0"/>
                  <w:vAlign w:val="center"/>
                </w:tcPr>
                <w:p w14:paraId="1A30E90E">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40</w:t>
                  </w:r>
                </w:p>
              </w:tc>
              <w:tc>
                <w:tcPr>
                  <w:tcW w:w="986" w:type="pct"/>
                  <w:noWrap w:val="0"/>
                  <w:vAlign w:val="center"/>
                </w:tcPr>
                <w:p w14:paraId="2218C22C">
                  <w:pPr>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rPr>
                    <w:t>碳酸钠</w:t>
                  </w:r>
                </w:p>
              </w:tc>
              <w:tc>
                <w:tcPr>
                  <w:tcW w:w="529" w:type="pct"/>
                  <w:noWrap w:val="0"/>
                  <w:vAlign w:val="center"/>
                </w:tcPr>
                <w:p w14:paraId="40B0816B">
                  <w:pPr>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rPr>
                    <w:t>0.25kg</w:t>
                  </w:r>
                </w:p>
              </w:tc>
              <w:tc>
                <w:tcPr>
                  <w:tcW w:w="820" w:type="pct"/>
                  <w:shd w:val="clear" w:color="auto" w:fill="auto"/>
                  <w:noWrap w:val="0"/>
                  <w:vAlign w:val="center"/>
                </w:tcPr>
                <w:p w14:paraId="431F6C14">
                  <w:pPr>
                    <w:tabs>
                      <w:tab w:val="left" w:pos="1088"/>
                    </w:tabs>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rPr>
                    <w:t>250g</w:t>
                  </w:r>
                  <w:r>
                    <w:rPr>
                      <w:rFonts w:hint="eastAsia" w:cs="Times New Roman"/>
                      <w:bCs/>
                      <w:color w:val="auto"/>
                      <w:sz w:val="21"/>
                      <w:szCs w:val="21"/>
                      <w:highlight w:val="none"/>
                      <w:lang w:val="en-US" w:eastAsia="zh-CN"/>
                    </w:rPr>
                    <w:t>/瓶</w:t>
                  </w:r>
                </w:p>
              </w:tc>
              <w:tc>
                <w:tcPr>
                  <w:tcW w:w="836" w:type="pct"/>
                  <w:shd w:val="clear" w:color="auto" w:fill="auto"/>
                  <w:noWrap w:val="0"/>
                  <w:vAlign w:val="center"/>
                </w:tcPr>
                <w:p w14:paraId="69BD342C">
                  <w:pPr>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40</w:t>
                  </w:r>
                </w:p>
              </w:tc>
              <w:tc>
                <w:tcPr>
                  <w:tcW w:w="638" w:type="pct"/>
                  <w:noWrap w:val="0"/>
                  <w:vAlign w:val="center"/>
                </w:tcPr>
                <w:p w14:paraId="224B63F4">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818" w:type="pct"/>
                  <w:noWrap w:val="0"/>
                  <w:vAlign w:val="center"/>
                </w:tcPr>
                <w:p w14:paraId="4D8F3987">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40</w:t>
                  </w:r>
                </w:p>
              </w:tc>
            </w:tr>
            <w:tr w14:paraId="45AE23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0" w:type="pct"/>
                  <w:noWrap w:val="0"/>
                  <w:vAlign w:val="center"/>
                </w:tcPr>
                <w:p w14:paraId="21830182">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41</w:t>
                  </w:r>
                </w:p>
              </w:tc>
              <w:tc>
                <w:tcPr>
                  <w:tcW w:w="986" w:type="pct"/>
                  <w:noWrap w:val="0"/>
                  <w:vAlign w:val="center"/>
                </w:tcPr>
                <w:p w14:paraId="3BD33CBB">
                  <w:pPr>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rPr>
                    <w:t>氨水</w:t>
                  </w:r>
                </w:p>
              </w:tc>
              <w:tc>
                <w:tcPr>
                  <w:tcW w:w="529" w:type="pct"/>
                  <w:noWrap w:val="0"/>
                  <w:vAlign w:val="center"/>
                </w:tcPr>
                <w:p w14:paraId="1F130F4C">
                  <w:pPr>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rPr>
                    <w:t>4.5</w:t>
                  </w:r>
                  <w:r>
                    <w:rPr>
                      <w:rFonts w:hint="default" w:ascii="Times New Roman" w:hAnsi="Times New Roman" w:eastAsia="宋体" w:cs="Times New Roman"/>
                      <w:color w:val="auto"/>
                      <w:sz w:val="21"/>
                      <w:szCs w:val="21"/>
                      <w:highlight w:val="none"/>
                      <w:lang w:val="en-US" w:eastAsia="zh-CN"/>
                    </w:rPr>
                    <w:t>kg</w:t>
                  </w:r>
                </w:p>
              </w:tc>
              <w:tc>
                <w:tcPr>
                  <w:tcW w:w="820" w:type="pct"/>
                  <w:shd w:val="clear" w:color="auto" w:fill="auto"/>
                  <w:noWrap w:val="0"/>
                  <w:vAlign w:val="center"/>
                </w:tcPr>
                <w:p w14:paraId="4F2E0D4C">
                  <w:pPr>
                    <w:tabs>
                      <w:tab w:val="left" w:pos="1088"/>
                    </w:tabs>
                    <w:jc w:val="center"/>
                    <w:rPr>
                      <w:rFonts w:hint="eastAsia"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rPr>
                    <w:t>500ml</w:t>
                  </w:r>
                  <w:r>
                    <w:rPr>
                      <w:rFonts w:hint="eastAsia" w:cs="Times New Roman"/>
                      <w:bCs/>
                      <w:color w:val="auto"/>
                      <w:sz w:val="21"/>
                      <w:szCs w:val="21"/>
                      <w:highlight w:val="none"/>
                      <w:lang w:val="en-US" w:eastAsia="zh-CN"/>
                    </w:rPr>
                    <w:t>/瓶</w:t>
                  </w:r>
                </w:p>
                <w:p w14:paraId="03161398">
                  <w:pPr>
                    <w:tabs>
                      <w:tab w:val="left" w:pos="1088"/>
                    </w:tabs>
                    <w:jc w:val="center"/>
                    <w:rPr>
                      <w:rFonts w:hint="default" w:cs="Times New Roman"/>
                      <w:bCs/>
                      <w:color w:val="auto"/>
                      <w:sz w:val="21"/>
                      <w:szCs w:val="21"/>
                      <w:highlight w:val="none"/>
                      <w:lang w:val="en-US" w:eastAsia="zh-CN"/>
                    </w:rPr>
                  </w:pPr>
                  <w:r>
                    <w:rPr>
                      <w:rFonts w:hint="eastAsia" w:cs="Times New Roman"/>
                      <w:bCs/>
                      <w:color w:val="auto"/>
                      <w:sz w:val="21"/>
                      <w:szCs w:val="21"/>
                      <w:highlight w:val="none"/>
                      <w:lang w:val="en-US" w:eastAsia="zh-CN"/>
                    </w:rPr>
                    <w:t>（450g/瓶）</w:t>
                  </w:r>
                </w:p>
              </w:tc>
              <w:tc>
                <w:tcPr>
                  <w:tcW w:w="836" w:type="pct"/>
                  <w:shd w:val="clear" w:color="auto" w:fill="auto"/>
                  <w:noWrap w:val="0"/>
                  <w:vAlign w:val="center"/>
                </w:tcPr>
                <w:p w14:paraId="11859249">
                  <w:pPr>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250</w:t>
                  </w:r>
                </w:p>
              </w:tc>
              <w:tc>
                <w:tcPr>
                  <w:tcW w:w="638" w:type="pct"/>
                  <w:noWrap w:val="0"/>
                  <w:vAlign w:val="center"/>
                </w:tcPr>
                <w:p w14:paraId="610774ED">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10</w:t>
                  </w:r>
                </w:p>
              </w:tc>
              <w:tc>
                <w:tcPr>
                  <w:tcW w:w="818" w:type="pct"/>
                  <w:noWrap w:val="0"/>
                  <w:vAlign w:val="center"/>
                </w:tcPr>
                <w:p w14:paraId="30863DC7">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2500</w:t>
                  </w:r>
                </w:p>
              </w:tc>
            </w:tr>
            <w:tr w14:paraId="636914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0" w:type="pct"/>
                  <w:noWrap w:val="0"/>
                  <w:vAlign w:val="center"/>
                </w:tcPr>
                <w:p w14:paraId="6B8E1DBC">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42</w:t>
                  </w:r>
                </w:p>
              </w:tc>
              <w:tc>
                <w:tcPr>
                  <w:tcW w:w="986" w:type="pct"/>
                  <w:noWrap w:val="0"/>
                  <w:vAlign w:val="center"/>
                </w:tcPr>
                <w:p w14:paraId="136A04B7">
                  <w:pPr>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rPr>
                    <w:t>硝酸</w:t>
                  </w:r>
                </w:p>
              </w:tc>
              <w:tc>
                <w:tcPr>
                  <w:tcW w:w="529" w:type="pct"/>
                  <w:noWrap w:val="0"/>
                  <w:vAlign w:val="center"/>
                </w:tcPr>
                <w:p w14:paraId="32DD7A3E">
                  <w:pPr>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rPr>
                    <w:t>2.0</w:t>
                  </w:r>
                  <w:r>
                    <w:rPr>
                      <w:rFonts w:hint="default" w:ascii="Times New Roman" w:hAnsi="Times New Roman" w:eastAsia="宋体" w:cs="Times New Roman"/>
                      <w:color w:val="auto"/>
                      <w:sz w:val="21"/>
                      <w:szCs w:val="21"/>
                      <w:highlight w:val="none"/>
                      <w:lang w:val="en-US" w:eastAsia="zh-CN"/>
                    </w:rPr>
                    <w:t>kg</w:t>
                  </w:r>
                </w:p>
              </w:tc>
              <w:tc>
                <w:tcPr>
                  <w:tcW w:w="820" w:type="pct"/>
                  <w:shd w:val="clear" w:color="auto" w:fill="auto"/>
                  <w:noWrap w:val="0"/>
                  <w:vAlign w:val="center"/>
                </w:tcPr>
                <w:p w14:paraId="6368D1B5">
                  <w:pPr>
                    <w:tabs>
                      <w:tab w:val="left" w:pos="1088"/>
                    </w:tabs>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rPr>
                    <w:t>500ml</w:t>
                  </w:r>
                  <w:r>
                    <w:rPr>
                      <w:rFonts w:hint="eastAsia" w:cs="Times New Roman"/>
                      <w:bCs/>
                      <w:color w:val="auto"/>
                      <w:sz w:val="21"/>
                      <w:szCs w:val="21"/>
                      <w:highlight w:val="none"/>
                      <w:lang w:val="en-US" w:eastAsia="zh-CN"/>
                    </w:rPr>
                    <w:t>/瓶（700g/瓶）</w:t>
                  </w:r>
                </w:p>
              </w:tc>
              <w:tc>
                <w:tcPr>
                  <w:tcW w:w="836" w:type="pct"/>
                  <w:shd w:val="clear" w:color="auto" w:fill="auto"/>
                  <w:noWrap w:val="0"/>
                  <w:vAlign w:val="center"/>
                </w:tcPr>
                <w:p w14:paraId="461DE6F0">
                  <w:pPr>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250</w:t>
                  </w:r>
                </w:p>
              </w:tc>
              <w:tc>
                <w:tcPr>
                  <w:tcW w:w="638" w:type="pct"/>
                  <w:noWrap w:val="0"/>
                  <w:vAlign w:val="center"/>
                </w:tcPr>
                <w:p w14:paraId="4E4CDA6C">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w:t>
                  </w:r>
                </w:p>
              </w:tc>
              <w:tc>
                <w:tcPr>
                  <w:tcW w:w="818" w:type="pct"/>
                  <w:noWrap w:val="0"/>
                  <w:vAlign w:val="center"/>
                </w:tcPr>
                <w:p w14:paraId="0FE84C12">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750</w:t>
                  </w:r>
                </w:p>
              </w:tc>
            </w:tr>
            <w:tr w14:paraId="143ACE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0" w:type="pct"/>
                  <w:noWrap w:val="0"/>
                  <w:vAlign w:val="center"/>
                </w:tcPr>
                <w:p w14:paraId="10E50E88">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43</w:t>
                  </w:r>
                </w:p>
              </w:tc>
              <w:tc>
                <w:tcPr>
                  <w:tcW w:w="986" w:type="pct"/>
                  <w:noWrap w:val="0"/>
                  <w:vAlign w:val="center"/>
                </w:tcPr>
                <w:p w14:paraId="5E0BB5BF">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甲苯</w:t>
                  </w:r>
                </w:p>
              </w:tc>
              <w:tc>
                <w:tcPr>
                  <w:tcW w:w="529" w:type="pct"/>
                  <w:noWrap w:val="0"/>
                  <w:vAlign w:val="center"/>
                </w:tcPr>
                <w:p w14:paraId="4060BB2B">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5kg</w:t>
                  </w:r>
                </w:p>
              </w:tc>
              <w:tc>
                <w:tcPr>
                  <w:tcW w:w="820" w:type="pct"/>
                  <w:shd w:val="clear" w:color="auto" w:fill="auto"/>
                  <w:noWrap w:val="0"/>
                  <w:vAlign w:val="center"/>
                </w:tcPr>
                <w:p w14:paraId="27367D22">
                  <w:pPr>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sz w:val="21"/>
                      <w:szCs w:val="21"/>
                      <w:highlight w:val="none"/>
                    </w:rPr>
                    <w:t>500</w:t>
                  </w:r>
                  <w:r>
                    <w:rPr>
                      <w:rFonts w:hint="default" w:ascii="Times New Roman" w:hAnsi="Times New Roman" w:eastAsia="宋体" w:cs="Times New Roman"/>
                      <w:bCs/>
                      <w:color w:val="auto"/>
                      <w:sz w:val="21"/>
                      <w:szCs w:val="21"/>
                      <w:highlight w:val="none"/>
                      <w:lang w:val="en-US" w:eastAsia="zh-CN"/>
                    </w:rPr>
                    <w:t>g</w:t>
                  </w:r>
                  <w:r>
                    <w:rPr>
                      <w:rFonts w:hint="eastAsia" w:cs="Times New Roman"/>
                      <w:bCs/>
                      <w:color w:val="auto"/>
                      <w:sz w:val="21"/>
                      <w:szCs w:val="21"/>
                      <w:highlight w:val="none"/>
                      <w:lang w:val="en-US" w:eastAsia="zh-CN"/>
                    </w:rPr>
                    <w:t>/瓶</w:t>
                  </w:r>
                </w:p>
              </w:tc>
              <w:tc>
                <w:tcPr>
                  <w:tcW w:w="836" w:type="pct"/>
                  <w:shd w:val="clear" w:color="auto" w:fill="auto"/>
                  <w:noWrap w:val="0"/>
                  <w:vAlign w:val="center"/>
                </w:tcPr>
                <w:p w14:paraId="761FE03D">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50</w:t>
                  </w:r>
                </w:p>
              </w:tc>
              <w:tc>
                <w:tcPr>
                  <w:tcW w:w="638" w:type="pct"/>
                  <w:noWrap w:val="0"/>
                  <w:vAlign w:val="center"/>
                </w:tcPr>
                <w:p w14:paraId="2162E8A9">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10</w:t>
                  </w:r>
                </w:p>
              </w:tc>
              <w:tc>
                <w:tcPr>
                  <w:tcW w:w="818" w:type="pct"/>
                  <w:noWrap w:val="0"/>
                  <w:vAlign w:val="center"/>
                </w:tcPr>
                <w:p w14:paraId="31FEC68F">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500</w:t>
                  </w:r>
                </w:p>
              </w:tc>
            </w:tr>
            <w:tr w14:paraId="3A7E7C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0" w:hRule="atLeast"/>
                <w:jc w:val="center"/>
              </w:trPr>
              <w:tc>
                <w:tcPr>
                  <w:tcW w:w="370" w:type="pct"/>
                  <w:noWrap w:val="0"/>
                  <w:vAlign w:val="center"/>
                </w:tcPr>
                <w:p w14:paraId="2C3EA8E1">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44</w:t>
                  </w:r>
                </w:p>
              </w:tc>
              <w:tc>
                <w:tcPr>
                  <w:tcW w:w="986" w:type="pct"/>
                  <w:noWrap w:val="0"/>
                  <w:vAlign w:val="center"/>
                </w:tcPr>
                <w:p w14:paraId="35C9AF4E">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正己烷</w:t>
                  </w:r>
                </w:p>
              </w:tc>
              <w:tc>
                <w:tcPr>
                  <w:tcW w:w="529" w:type="pct"/>
                  <w:noWrap w:val="0"/>
                  <w:vAlign w:val="center"/>
                </w:tcPr>
                <w:p w14:paraId="214D8555">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5kg</w:t>
                  </w:r>
                </w:p>
              </w:tc>
              <w:tc>
                <w:tcPr>
                  <w:tcW w:w="820" w:type="pct"/>
                  <w:shd w:val="clear" w:color="auto" w:fill="auto"/>
                  <w:noWrap w:val="0"/>
                  <w:vAlign w:val="center"/>
                </w:tcPr>
                <w:p w14:paraId="738437A8">
                  <w:pPr>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sz w:val="21"/>
                      <w:szCs w:val="21"/>
                      <w:highlight w:val="none"/>
                    </w:rPr>
                    <w:t>500</w:t>
                  </w:r>
                  <w:r>
                    <w:rPr>
                      <w:rFonts w:hint="default" w:ascii="Times New Roman" w:hAnsi="Times New Roman" w:eastAsia="宋体" w:cs="Times New Roman"/>
                      <w:bCs/>
                      <w:color w:val="auto"/>
                      <w:sz w:val="21"/>
                      <w:szCs w:val="21"/>
                      <w:highlight w:val="none"/>
                      <w:lang w:val="en-US" w:eastAsia="zh-CN"/>
                    </w:rPr>
                    <w:t>g</w:t>
                  </w:r>
                  <w:r>
                    <w:rPr>
                      <w:rFonts w:hint="eastAsia" w:cs="Times New Roman"/>
                      <w:bCs/>
                      <w:color w:val="auto"/>
                      <w:sz w:val="21"/>
                      <w:szCs w:val="21"/>
                      <w:highlight w:val="none"/>
                      <w:lang w:val="en-US" w:eastAsia="zh-CN"/>
                    </w:rPr>
                    <w:t>/瓶</w:t>
                  </w:r>
                </w:p>
              </w:tc>
              <w:tc>
                <w:tcPr>
                  <w:tcW w:w="836" w:type="pct"/>
                  <w:shd w:val="clear" w:color="auto" w:fill="auto"/>
                  <w:noWrap w:val="0"/>
                  <w:vAlign w:val="center"/>
                </w:tcPr>
                <w:p w14:paraId="33C6D8C8">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50</w:t>
                  </w:r>
                </w:p>
              </w:tc>
              <w:tc>
                <w:tcPr>
                  <w:tcW w:w="638" w:type="pct"/>
                  <w:noWrap w:val="0"/>
                  <w:vAlign w:val="center"/>
                </w:tcPr>
                <w:p w14:paraId="16DF652A">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10</w:t>
                  </w:r>
                </w:p>
              </w:tc>
              <w:tc>
                <w:tcPr>
                  <w:tcW w:w="818" w:type="pct"/>
                  <w:noWrap w:val="0"/>
                  <w:vAlign w:val="center"/>
                </w:tcPr>
                <w:p w14:paraId="5E9AB880">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500</w:t>
                  </w:r>
                </w:p>
              </w:tc>
            </w:tr>
            <w:tr w14:paraId="436A62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0" w:hRule="atLeast"/>
                <w:jc w:val="center"/>
              </w:trPr>
              <w:tc>
                <w:tcPr>
                  <w:tcW w:w="4181" w:type="pct"/>
                  <w:gridSpan w:val="6"/>
                  <w:noWrap w:val="0"/>
                  <w:vAlign w:val="center"/>
                </w:tcPr>
                <w:p w14:paraId="4201642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合并</w:t>
                  </w:r>
                </w:p>
              </w:tc>
              <w:tc>
                <w:tcPr>
                  <w:tcW w:w="818" w:type="pct"/>
                  <w:noWrap w:val="0"/>
                  <w:vAlign w:val="center"/>
                </w:tcPr>
                <w:p w14:paraId="4E364B7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32575</w:t>
                  </w:r>
                  <w:r>
                    <w:rPr>
                      <w:rFonts w:hint="default" w:ascii="Times New Roman" w:hAnsi="Times New Roman" w:eastAsia="宋体" w:cs="Times New Roman"/>
                      <w:i w:val="0"/>
                      <w:iCs w:val="0"/>
                      <w:color w:val="auto"/>
                      <w:kern w:val="0"/>
                      <w:sz w:val="21"/>
                      <w:szCs w:val="21"/>
                      <w:highlight w:val="none"/>
                      <w:u w:val="none"/>
                      <w:lang w:val="en-US" w:eastAsia="zh-CN" w:bidi="ar"/>
                    </w:rPr>
                    <w:t>（0.0</w:t>
                  </w:r>
                  <w:r>
                    <w:rPr>
                      <w:rFonts w:hint="eastAsia" w:cs="Times New Roman"/>
                      <w:i w:val="0"/>
                      <w:iCs w:val="0"/>
                      <w:color w:val="auto"/>
                      <w:kern w:val="0"/>
                      <w:sz w:val="21"/>
                      <w:szCs w:val="21"/>
                      <w:highlight w:val="none"/>
                      <w:u w:val="none"/>
                      <w:lang w:val="en-US" w:eastAsia="zh-CN" w:bidi="ar"/>
                    </w:rPr>
                    <w:t>326t</w:t>
                  </w:r>
                  <w:r>
                    <w:rPr>
                      <w:rFonts w:hint="default" w:ascii="Times New Roman" w:hAnsi="Times New Roman" w:eastAsia="宋体" w:cs="Times New Roman"/>
                      <w:i w:val="0"/>
                      <w:iCs w:val="0"/>
                      <w:color w:val="auto"/>
                      <w:kern w:val="0"/>
                      <w:sz w:val="21"/>
                      <w:szCs w:val="21"/>
                      <w:highlight w:val="none"/>
                      <w:u w:val="none"/>
                      <w:lang w:val="en-US" w:eastAsia="zh-CN" w:bidi="ar"/>
                    </w:rPr>
                    <w:t>）</w:t>
                  </w:r>
                </w:p>
              </w:tc>
            </w:tr>
          </w:tbl>
          <w:p w14:paraId="0824494F">
            <w:pPr>
              <w:keepNext w:val="0"/>
              <w:keepLines w:val="0"/>
              <w:pageBreakBefore w:val="0"/>
              <w:widowControl w:val="0"/>
              <w:kinsoku/>
              <w:bidi w:val="0"/>
              <w:snapToGrid/>
              <w:spacing w:line="360" w:lineRule="auto"/>
              <w:ind w:firstLine="482" w:firstLineChars="200"/>
              <w:jc w:val="center"/>
              <w:rPr>
                <w:rFonts w:hint="eastAsia" w:cs="Times New Roman"/>
                <w:b/>
                <w:bCs/>
                <w:color w:val="auto"/>
                <w:kern w:val="0"/>
                <w:sz w:val="24"/>
                <w:szCs w:val="24"/>
                <w:highlight w:val="none"/>
                <w:lang w:val="en-US" w:eastAsia="zh-CN" w:bidi="ar-SA"/>
              </w:rPr>
            </w:pPr>
            <w:r>
              <w:rPr>
                <w:rFonts w:hint="eastAsia" w:cs="Times New Roman"/>
                <w:b/>
                <w:bCs/>
                <w:color w:val="auto"/>
                <w:kern w:val="0"/>
                <w:sz w:val="24"/>
                <w:szCs w:val="24"/>
                <w:highlight w:val="none"/>
                <w:lang w:val="en-US" w:eastAsia="zh-CN" w:bidi="ar-SA"/>
              </w:rPr>
              <w:t>表42-1液体原辅材料装载量一览表</w:t>
            </w:r>
          </w:p>
          <w:tbl>
            <w:tblPr>
              <w:tblStyle w:val="3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22"/>
              <w:gridCol w:w="2122"/>
              <w:gridCol w:w="2121"/>
              <w:gridCol w:w="2122"/>
            </w:tblGrid>
            <w:tr w14:paraId="72F718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2" w:type="dxa"/>
                </w:tcPr>
                <w:p w14:paraId="0AED576F">
                  <w:pPr>
                    <w:keepNext w:val="0"/>
                    <w:keepLines w:val="0"/>
                    <w:pageBreakBefore w:val="0"/>
                    <w:widowControl/>
                    <w:kinsoku/>
                    <w:wordWrap/>
                    <w:overflowPunct/>
                    <w:topLinePunct w:val="0"/>
                    <w:autoSpaceDE/>
                    <w:autoSpaceDN/>
                    <w:bidi w:val="0"/>
                    <w:adjustRightInd/>
                    <w:snapToGrid w:val="0"/>
                    <w:spacing w:before="0" w:beforeLines="0" w:after="0" w:line="240" w:lineRule="auto"/>
                    <w:ind w:right="0"/>
                    <w:jc w:val="center"/>
                    <w:textAlignment w:val="auto"/>
                    <w:rPr>
                      <w:rFonts w:hint="default" w:cs="Times New Roman"/>
                      <w:b/>
                      <w:bCs/>
                      <w:color w:val="auto"/>
                      <w:kern w:val="0"/>
                      <w:sz w:val="21"/>
                      <w:szCs w:val="21"/>
                      <w:highlight w:val="none"/>
                      <w:vertAlign w:val="baseline"/>
                      <w:lang w:val="en-US" w:eastAsia="zh-CN" w:bidi="ar-SA"/>
                    </w:rPr>
                  </w:pPr>
                  <w:r>
                    <w:rPr>
                      <w:rFonts w:hint="eastAsia" w:cs="Times New Roman"/>
                      <w:b/>
                      <w:bCs/>
                      <w:color w:val="auto"/>
                      <w:kern w:val="0"/>
                      <w:sz w:val="21"/>
                      <w:szCs w:val="21"/>
                      <w:highlight w:val="none"/>
                      <w:vertAlign w:val="baseline"/>
                      <w:lang w:val="en-US" w:eastAsia="zh-CN" w:bidi="ar-SA"/>
                    </w:rPr>
                    <w:t>名称</w:t>
                  </w:r>
                </w:p>
              </w:tc>
              <w:tc>
                <w:tcPr>
                  <w:tcW w:w="2122" w:type="dxa"/>
                </w:tcPr>
                <w:p w14:paraId="36AEF2F6">
                  <w:pPr>
                    <w:keepNext w:val="0"/>
                    <w:keepLines w:val="0"/>
                    <w:pageBreakBefore w:val="0"/>
                    <w:widowControl/>
                    <w:kinsoku/>
                    <w:wordWrap/>
                    <w:overflowPunct/>
                    <w:topLinePunct w:val="0"/>
                    <w:autoSpaceDE/>
                    <w:autoSpaceDN/>
                    <w:bidi w:val="0"/>
                    <w:adjustRightInd/>
                    <w:snapToGrid w:val="0"/>
                    <w:spacing w:before="0" w:beforeLines="0" w:after="0" w:line="240" w:lineRule="auto"/>
                    <w:ind w:right="0"/>
                    <w:jc w:val="center"/>
                    <w:textAlignment w:val="auto"/>
                    <w:rPr>
                      <w:rFonts w:hint="default" w:cs="Times New Roman"/>
                      <w:b/>
                      <w:bCs/>
                      <w:color w:val="auto"/>
                      <w:kern w:val="0"/>
                      <w:sz w:val="21"/>
                      <w:szCs w:val="21"/>
                      <w:highlight w:val="none"/>
                      <w:vertAlign w:val="baseline"/>
                      <w:lang w:val="en-US" w:eastAsia="zh-CN" w:bidi="ar-SA"/>
                    </w:rPr>
                  </w:pPr>
                  <w:r>
                    <w:rPr>
                      <w:rFonts w:hint="eastAsia" w:cs="Times New Roman"/>
                      <w:b/>
                      <w:bCs/>
                      <w:color w:val="auto"/>
                      <w:kern w:val="0"/>
                      <w:sz w:val="21"/>
                      <w:szCs w:val="21"/>
                      <w:highlight w:val="none"/>
                      <w:vertAlign w:val="baseline"/>
                      <w:lang w:val="en-US" w:eastAsia="zh-CN" w:bidi="ar-SA"/>
                    </w:rPr>
                    <w:t>试剂密度（g/cm</w:t>
                  </w:r>
                  <w:r>
                    <w:rPr>
                      <w:rFonts w:hint="eastAsia" w:cs="Times New Roman"/>
                      <w:b/>
                      <w:bCs/>
                      <w:color w:val="auto"/>
                      <w:kern w:val="0"/>
                      <w:sz w:val="21"/>
                      <w:szCs w:val="21"/>
                      <w:highlight w:val="none"/>
                      <w:vertAlign w:val="superscript"/>
                      <w:lang w:val="en-US" w:eastAsia="zh-CN" w:bidi="ar-SA"/>
                    </w:rPr>
                    <w:t>3</w:t>
                  </w:r>
                  <w:r>
                    <w:rPr>
                      <w:rFonts w:hint="eastAsia" w:cs="Times New Roman"/>
                      <w:b/>
                      <w:bCs/>
                      <w:color w:val="auto"/>
                      <w:kern w:val="0"/>
                      <w:sz w:val="21"/>
                      <w:szCs w:val="21"/>
                      <w:highlight w:val="none"/>
                      <w:vertAlign w:val="baseline"/>
                      <w:lang w:val="en-US" w:eastAsia="zh-CN" w:bidi="ar-SA"/>
                    </w:rPr>
                    <w:t>）</w:t>
                  </w:r>
                </w:p>
              </w:tc>
              <w:tc>
                <w:tcPr>
                  <w:tcW w:w="2121" w:type="dxa"/>
                </w:tcPr>
                <w:p w14:paraId="5E6B643C">
                  <w:pPr>
                    <w:keepNext w:val="0"/>
                    <w:keepLines w:val="0"/>
                    <w:pageBreakBefore w:val="0"/>
                    <w:widowControl/>
                    <w:kinsoku/>
                    <w:wordWrap/>
                    <w:overflowPunct/>
                    <w:topLinePunct w:val="0"/>
                    <w:autoSpaceDE/>
                    <w:autoSpaceDN/>
                    <w:bidi w:val="0"/>
                    <w:adjustRightInd/>
                    <w:snapToGrid w:val="0"/>
                    <w:spacing w:before="0" w:beforeLines="0" w:after="0" w:line="240" w:lineRule="auto"/>
                    <w:ind w:right="0"/>
                    <w:jc w:val="center"/>
                    <w:textAlignment w:val="auto"/>
                    <w:rPr>
                      <w:rFonts w:hint="default" w:cs="Times New Roman"/>
                      <w:b/>
                      <w:bCs/>
                      <w:color w:val="auto"/>
                      <w:kern w:val="0"/>
                      <w:sz w:val="21"/>
                      <w:szCs w:val="21"/>
                      <w:highlight w:val="none"/>
                      <w:vertAlign w:val="baseline"/>
                      <w:lang w:val="en-US" w:eastAsia="zh-CN" w:bidi="ar-SA"/>
                    </w:rPr>
                  </w:pPr>
                  <w:r>
                    <w:rPr>
                      <w:rFonts w:hint="eastAsia" w:cs="Times New Roman"/>
                      <w:b/>
                      <w:bCs/>
                      <w:color w:val="auto"/>
                      <w:kern w:val="0"/>
                      <w:sz w:val="21"/>
                      <w:szCs w:val="21"/>
                      <w:highlight w:val="none"/>
                      <w:vertAlign w:val="baseline"/>
                      <w:lang w:val="en-US" w:eastAsia="zh-CN" w:bidi="ar-SA"/>
                    </w:rPr>
                    <w:t>包装方式</w:t>
                  </w:r>
                </w:p>
              </w:tc>
              <w:tc>
                <w:tcPr>
                  <w:tcW w:w="2122" w:type="dxa"/>
                </w:tcPr>
                <w:p w14:paraId="1FE42B60">
                  <w:pPr>
                    <w:keepNext w:val="0"/>
                    <w:keepLines w:val="0"/>
                    <w:pageBreakBefore w:val="0"/>
                    <w:widowControl/>
                    <w:kinsoku/>
                    <w:wordWrap/>
                    <w:overflowPunct/>
                    <w:topLinePunct w:val="0"/>
                    <w:autoSpaceDE/>
                    <w:autoSpaceDN/>
                    <w:bidi w:val="0"/>
                    <w:adjustRightInd/>
                    <w:snapToGrid w:val="0"/>
                    <w:spacing w:before="0" w:beforeLines="0" w:after="0" w:line="240" w:lineRule="auto"/>
                    <w:ind w:right="0"/>
                    <w:jc w:val="center"/>
                    <w:textAlignment w:val="auto"/>
                    <w:rPr>
                      <w:rFonts w:hint="default" w:cs="Times New Roman"/>
                      <w:b/>
                      <w:bCs/>
                      <w:color w:val="auto"/>
                      <w:kern w:val="0"/>
                      <w:sz w:val="21"/>
                      <w:szCs w:val="21"/>
                      <w:highlight w:val="none"/>
                      <w:vertAlign w:val="baseline"/>
                      <w:lang w:val="en-US" w:eastAsia="zh-CN" w:bidi="ar-SA"/>
                    </w:rPr>
                  </w:pPr>
                  <w:r>
                    <w:rPr>
                      <w:rFonts w:hint="eastAsia" w:cs="Times New Roman"/>
                      <w:b/>
                      <w:bCs/>
                      <w:color w:val="auto"/>
                      <w:kern w:val="0"/>
                      <w:sz w:val="21"/>
                      <w:szCs w:val="21"/>
                      <w:highlight w:val="none"/>
                      <w:vertAlign w:val="baseline"/>
                      <w:lang w:val="en-US" w:eastAsia="zh-CN" w:bidi="ar-SA"/>
                    </w:rPr>
                    <w:t>装载量（g）</w:t>
                  </w:r>
                </w:p>
              </w:tc>
            </w:tr>
            <w:tr w14:paraId="613615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2" w:type="dxa"/>
                </w:tcPr>
                <w:p w14:paraId="0F98D3E4">
                  <w:pPr>
                    <w:keepNext w:val="0"/>
                    <w:keepLines w:val="0"/>
                    <w:pageBreakBefore w:val="0"/>
                    <w:widowControl/>
                    <w:kinsoku/>
                    <w:wordWrap/>
                    <w:overflowPunct/>
                    <w:topLinePunct w:val="0"/>
                    <w:autoSpaceDE/>
                    <w:autoSpaceDN/>
                    <w:bidi w:val="0"/>
                    <w:adjustRightInd/>
                    <w:snapToGrid w:val="0"/>
                    <w:spacing w:before="0" w:beforeLines="0" w:after="0" w:line="240" w:lineRule="auto"/>
                    <w:ind w:right="0"/>
                    <w:jc w:val="center"/>
                    <w:textAlignment w:val="auto"/>
                    <w:rPr>
                      <w:rFonts w:hint="default" w:cs="Times New Roman"/>
                      <w:color w:val="auto"/>
                      <w:kern w:val="0"/>
                      <w:sz w:val="21"/>
                      <w:szCs w:val="21"/>
                      <w:highlight w:val="none"/>
                      <w:vertAlign w:val="baseline"/>
                      <w:lang w:val="en-US" w:eastAsia="zh-CN" w:bidi="ar-SA"/>
                    </w:rPr>
                  </w:pPr>
                  <w:r>
                    <w:rPr>
                      <w:rFonts w:hint="default" w:cs="Times New Roman"/>
                      <w:color w:val="auto"/>
                      <w:sz w:val="21"/>
                      <w:szCs w:val="21"/>
                      <w:highlight w:val="none"/>
                      <w:lang w:val="en-US" w:eastAsia="zh-CN"/>
                    </w:rPr>
                    <w:t>甲醇</w:t>
                  </w:r>
                </w:p>
              </w:tc>
              <w:tc>
                <w:tcPr>
                  <w:tcW w:w="2122" w:type="dxa"/>
                </w:tcPr>
                <w:p w14:paraId="06B5E051">
                  <w:pPr>
                    <w:keepNext w:val="0"/>
                    <w:keepLines w:val="0"/>
                    <w:pageBreakBefore w:val="0"/>
                    <w:widowControl/>
                    <w:kinsoku/>
                    <w:wordWrap/>
                    <w:overflowPunct/>
                    <w:topLinePunct w:val="0"/>
                    <w:autoSpaceDE/>
                    <w:autoSpaceDN/>
                    <w:bidi w:val="0"/>
                    <w:adjustRightInd/>
                    <w:snapToGrid w:val="0"/>
                    <w:spacing w:before="0" w:beforeLines="0" w:after="0" w:line="240" w:lineRule="auto"/>
                    <w:ind w:right="0"/>
                    <w:jc w:val="center"/>
                    <w:textAlignment w:val="auto"/>
                    <w:rPr>
                      <w:rFonts w:hint="default" w:cs="Times New Roman"/>
                      <w:color w:val="auto"/>
                      <w:kern w:val="0"/>
                      <w:sz w:val="21"/>
                      <w:szCs w:val="21"/>
                      <w:highlight w:val="none"/>
                      <w:vertAlign w:val="baseline"/>
                      <w:lang w:val="en-US" w:eastAsia="zh-CN" w:bidi="ar-SA"/>
                    </w:rPr>
                  </w:pPr>
                  <w:r>
                    <w:rPr>
                      <w:rFonts w:hint="eastAsia" w:cs="Times New Roman"/>
                      <w:color w:val="auto"/>
                      <w:kern w:val="0"/>
                      <w:sz w:val="21"/>
                      <w:szCs w:val="21"/>
                      <w:highlight w:val="none"/>
                      <w:vertAlign w:val="baseline"/>
                      <w:lang w:val="en-US" w:eastAsia="zh-CN" w:bidi="ar-SA"/>
                    </w:rPr>
                    <w:t>0.791</w:t>
                  </w:r>
                </w:p>
              </w:tc>
              <w:tc>
                <w:tcPr>
                  <w:tcW w:w="2121" w:type="dxa"/>
                </w:tcPr>
                <w:p w14:paraId="4DBADB1A">
                  <w:pPr>
                    <w:keepNext w:val="0"/>
                    <w:keepLines w:val="0"/>
                    <w:pageBreakBefore w:val="0"/>
                    <w:widowControl/>
                    <w:kinsoku/>
                    <w:wordWrap/>
                    <w:overflowPunct/>
                    <w:topLinePunct w:val="0"/>
                    <w:autoSpaceDE/>
                    <w:autoSpaceDN/>
                    <w:bidi w:val="0"/>
                    <w:adjustRightInd/>
                    <w:snapToGrid w:val="0"/>
                    <w:spacing w:before="0" w:beforeLines="0" w:after="0" w:line="240" w:lineRule="auto"/>
                    <w:ind w:right="0"/>
                    <w:jc w:val="center"/>
                    <w:textAlignment w:val="auto"/>
                    <w:rPr>
                      <w:rFonts w:hint="default" w:eastAsia="宋体" w:cs="Times New Roman"/>
                      <w:color w:val="auto"/>
                      <w:kern w:val="0"/>
                      <w:sz w:val="21"/>
                      <w:szCs w:val="21"/>
                      <w:highlight w:val="none"/>
                      <w:vertAlign w:val="baseline"/>
                      <w:lang w:val="en-US" w:eastAsia="zh-CN" w:bidi="ar-SA"/>
                    </w:rPr>
                  </w:pPr>
                  <w:r>
                    <w:rPr>
                      <w:rFonts w:hint="default" w:ascii="Times New Roman" w:hAnsi="Times New Roman" w:cs="Times New Roman"/>
                      <w:bCs/>
                      <w:color w:val="auto"/>
                      <w:sz w:val="21"/>
                      <w:szCs w:val="21"/>
                      <w:highlight w:val="none"/>
                    </w:rPr>
                    <w:t>500ml</w:t>
                  </w:r>
                  <w:r>
                    <w:rPr>
                      <w:rFonts w:hint="eastAsia" w:ascii="Times New Roman" w:hAnsi="Times New Roman" w:cs="Times New Roman"/>
                      <w:bCs/>
                      <w:color w:val="auto"/>
                      <w:sz w:val="21"/>
                      <w:szCs w:val="21"/>
                      <w:highlight w:val="none"/>
                      <w:lang w:val="en-US" w:eastAsia="zh-CN"/>
                    </w:rPr>
                    <w:t>/瓶</w:t>
                  </w:r>
                </w:p>
              </w:tc>
              <w:tc>
                <w:tcPr>
                  <w:tcW w:w="2122" w:type="dxa"/>
                </w:tcPr>
                <w:p w14:paraId="263338C8">
                  <w:pPr>
                    <w:keepNext w:val="0"/>
                    <w:keepLines w:val="0"/>
                    <w:pageBreakBefore w:val="0"/>
                    <w:widowControl/>
                    <w:kinsoku/>
                    <w:wordWrap/>
                    <w:overflowPunct/>
                    <w:topLinePunct w:val="0"/>
                    <w:autoSpaceDE/>
                    <w:autoSpaceDN/>
                    <w:bidi w:val="0"/>
                    <w:adjustRightInd/>
                    <w:snapToGrid w:val="0"/>
                    <w:spacing w:before="0" w:beforeLines="0" w:after="0" w:line="240" w:lineRule="auto"/>
                    <w:ind w:right="0"/>
                    <w:jc w:val="center"/>
                    <w:textAlignment w:val="auto"/>
                    <w:rPr>
                      <w:rFonts w:hint="default" w:cs="Times New Roman"/>
                      <w:color w:val="auto"/>
                      <w:kern w:val="0"/>
                      <w:sz w:val="21"/>
                      <w:szCs w:val="21"/>
                      <w:highlight w:val="none"/>
                      <w:vertAlign w:val="baseline"/>
                      <w:lang w:val="en-US" w:eastAsia="zh-CN" w:bidi="ar-SA"/>
                    </w:rPr>
                  </w:pPr>
                  <w:r>
                    <w:rPr>
                      <w:rFonts w:hint="eastAsia" w:cs="Times New Roman"/>
                      <w:color w:val="auto"/>
                      <w:kern w:val="0"/>
                      <w:sz w:val="21"/>
                      <w:szCs w:val="21"/>
                      <w:highlight w:val="none"/>
                      <w:vertAlign w:val="baseline"/>
                      <w:lang w:val="en-US" w:eastAsia="zh-CN" w:bidi="ar-SA"/>
                    </w:rPr>
                    <w:t>395.2</w:t>
                  </w:r>
                </w:p>
              </w:tc>
            </w:tr>
            <w:tr w14:paraId="417187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2" w:type="dxa"/>
                </w:tcPr>
                <w:p w14:paraId="6D576EAC">
                  <w:pPr>
                    <w:keepNext w:val="0"/>
                    <w:keepLines w:val="0"/>
                    <w:pageBreakBefore w:val="0"/>
                    <w:widowControl/>
                    <w:kinsoku/>
                    <w:wordWrap/>
                    <w:overflowPunct/>
                    <w:topLinePunct w:val="0"/>
                    <w:autoSpaceDE/>
                    <w:autoSpaceDN/>
                    <w:bidi w:val="0"/>
                    <w:adjustRightInd/>
                    <w:snapToGrid w:val="0"/>
                    <w:spacing w:before="0" w:beforeLines="0" w:after="0" w:line="240" w:lineRule="auto"/>
                    <w:ind w:right="0"/>
                    <w:jc w:val="center"/>
                    <w:textAlignment w:val="auto"/>
                    <w:rPr>
                      <w:rFonts w:hint="default" w:cs="Times New Roman"/>
                      <w:color w:val="auto"/>
                      <w:kern w:val="0"/>
                      <w:sz w:val="21"/>
                      <w:szCs w:val="21"/>
                      <w:highlight w:val="none"/>
                      <w:vertAlign w:val="baseline"/>
                      <w:lang w:val="en-US" w:eastAsia="zh-CN" w:bidi="ar-SA"/>
                    </w:rPr>
                  </w:pPr>
                  <w:r>
                    <w:rPr>
                      <w:rFonts w:hint="default" w:cs="Times New Roman"/>
                      <w:color w:val="auto"/>
                      <w:sz w:val="21"/>
                      <w:szCs w:val="21"/>
                      <w:highlight w:val="none"/>
                      <w:lang w:val="en-US" w:eastAsia="zh-CN"/>
                    </w:rPr>
                    <w:t>无水乙醇</w:t>
                  </w:r>
                </w:p>
              </w:tc>
              <w:tc>
                <w:tcPr>
                  <w:tcW w:w="2122" w:type="dxa"/>
                </w:tcPr>
                <w:p w14:paraId="5C7A7840">
                  <w:pPr>
                    <w:keepNext w:val="0"/>
                    <w:keepLines w:val="0"/>
                    <w:pageBreakBefore w:val="0"/>
                    <w:widowControl/>
                    <w:kinsoku/>
                    <w:wordWrap/>
                    <w:overflowPunct/>
                    <w:topLinePunct w:val="0"/>
                    <w:autoSpaceDE/>
                    <w:autoSpaceDN/>
                    <w:bidi w:val="0"/>
                    <w:adjustRightInd/>
                    <w:snapToGrid w:val="0"/>
                    <w:spacing w:before="0" w:beforeLines="0" w:after="0" w:line="240" w:lineRule="auto"/>
                    <w:ind w:right="0"/>
                    <w:jc w:val="center"/>
                    <w:textAlignment w:val="auto"/>
                    <w:rPr>
                      <w:rFonts w:hint="default" w:cs="Times New Roman"/>
                      <w:color w:val="auto"/>
                      <w:kern w:val="0"/>
                      <w:sz w:val="21"/>
                      <w:szCs w:val="21"/>
                      <w:highlight w:val="none"/>
                      <w:vertAlign w:val="baseline"/>
                      <w:lang w:val="en-US" w:eastAsia="zh-CN" w:bidi="ar-SA"/>
                    </w:rPr>
                  </w:pPr>
                  <w:r>
                    <w:rPr>
                      <w:rFonts w:hint="eastAsia" w:cs="Times New Roman"/>
                      <w:color w:val="auto"/>
                      <w:sz w:val="21"/>
                      <w:szCs w:val="21"/>
                      <w:highlight w:val="none"/>
                      <w:lang w:val="en-US" w:eastAsia="zh-CN"/>
                    </w:rPr>
                    <w:t>0.789</w:t>
                  </w:r>
                </w:p>
              </w:tc>
              <w:tc>
                <w:tcPr>
                  <w:tcW w:w="2121" w:type="dxa"/>
                </w:tcPr>
                <w:p w14:paraId="551E94CA">
                  <w:pPr>
                    <w:keepNext w:val="0"/>
                    <w:keepLines w:val="0"/>
                    <w:pageBreakBefore w:val="0"/>
                    <w:widowControl/>
                    <w:kinsoku/>
                    <w:wordWrap/>
                    <w:overflowPunct/>
                    <w:topLinePunct w:val="0"/>
                    <w:autoSpaceDE/>
                    <w:autoSpaceDN/>
                    <w:bidi w:val="0"/>
                    <w:adjustRightInd/>
                    <w:snapToGrid w:val="0"/>
                    <w:spacing w:before="0" w:beforeLines="0" w:after="0" w:line="240" w:lineRule="auto"/>
                    <w:ind w:right="0"/>
                    <w:jc w:val="center"/>
                    <w:textAlignment w:val="auto"/>
                    <w:rPr>
                      <w:rFonts w:hint="default" w:cs="Times New Roman"/>
                      <w:color w:val="auto"/>
                      <w:kern w:val="0"/>
                      <w:sz w:val="21"/>
                      <w:szCs w:val="21"/>
                      <w:highlight w:val="none"/>
                      <w:vertAlign w:val="baseline"/>
                      <w:lang w:val="en-US" w:eastAsia="zh-CN" w:bidi="ar-SA"/>
                    </w:rPr>
                  </w:pPr>
                  <w:r>
                    <w:rPr>
                      <w:rFonts w:hint="default" w:ascii="Times New Roman" w:hAnsi="Times New Roman" w:cs="Times New Roman"/>
                      <w:bCs/>
                      <w:color w:val="auto"/>
                      <w:sz w:val="21"/>
                      <w:szCs w:val="21"/>
                      <w:highlight w:val="none"/>
                    </w:rPr>
                    <w:t>500ml</w:t>
                  </w:r>
                  <w:r>
                    <w:rPr>
                      <w:rFonts w:hint="eastAsia" w:ascii="Times New Roman" w:hAnsi="Times New Roman" w:cs="Times New Roman"/>
                      <w:bCs/>
                      <w:color w:val="auto"/>
                      <w:sz w:val="21"/>
                      <w:szCs w:val="21"/>
                      <w:highlight w:val="none"/>
                      <w:lang w:val="en-US" w:eastAsia="zh-CN"/>
                    </w:rPr>
                    <w:t>/瓶</w:t>
                  </w:r>
                </w:p>
              </w:tc>
              <w:tc>
                <w:tcPr>
                  <w:tcW w:w="2122" w:type="dxa"/>
                </w:tcPr>
                <w:p w14:paraId="3604E987">
                  <w:pPr>
                    <w:keepNext w:val="0"/>
                    <w:keepLines w:val="0"/>
                    <w:pageBreakBefore w:val="0"/>
                    <w:widowControl/>
                    <w:kinsoku/>
                    <w:wordWrap/>
                    <w:overflowPunct/>
                    <w:topLinePunct w:val="0"/>
                    <w:autoSpaceDE/>
                    <w:autoSpaceDN/>
                    <w:bidi w:val="0"/>
                    <w:adjustRightInd/>
                    <w:snapToGrid w:val="0"/>
                    <w:spacing w:before="0" w:beforeLines="0" w:after="0" w:line="240" w:lineRule="auto"/>
                    <w:ind w:right="0"/>
                    <w:jc w:val="center"/>
                    <w:textAlignment w:val="auto"/>
                    <w:rPr>
                      <w:rFonts w:hint="default" w:cs="Times New Roman"/>
                      <w:color w:val="auto"/>
                      <w:kern w:val="0"/>
                      <w:sz w:val="21"/>
                      <w:szCs w:val="21"/>
                      <w:highlight w:val="none"/>
                      <w:vertAlign w:val="baseline"/>
                      <w:lang w:val="en-US" w:eastAsia="zh-CN" w:bidi="ar-SA"/>
                    </w:rPr>
                  </w:pPr>
                  <w:r>
                    <w:rPr>
                      <w:rFonts w:hint="eastAsia" w:cs="Times New Roman"/>
                      <w:color w:val="auto"/>
                      <w:kern w:val="0"/>
                      <w:sz w:val="21"/>
                      <w:szCs w:val="21"/>
                      <w:highlight w:val="none"/>
                      <w:vertAlign w:val="baseline"/>
                      <w:lang w:val="en-US" w:eastAsia="zh-CN" w:bidi="ar-SA"/>
                    </w:rPr>
                    <w:t>394.5</w:t>
                  </w:r>
                </w:p>
              </w:tc>
            </w:tr>
            <w:tr w14:paraId="297F5D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2" w:type="dxa"/>
                </w:tcPr>
                <w:p w14:paraId="0C640E34">
                  <w:pPr>
                    <w:keepNext w:val="0"/>
                    <w:keepLines w:val="0"/>
                    <w:pageBreakBefore w:val="0"/>
                    <w:widowControl/>
                    <w:kinsoku/>
                    <w:wordWrap/>
                    <w:overflowPunct/>
                    <w:topLinePunct w:val="0"/>
                    <w:autoSpaceDE/>
                    <w:autoSpaceDN/>
                    <w:bidi w:val="0"/>
                    <w:adjustRightInd/>
                    <w:snapToGrid w:val="0"/>
                    <w:spacing w:before="0" w:beforeLines="0" w:after="0" w:line="240" w:lineRule="auto"/>
                    <w:ind w:right="0"/>
                    <w:jc w:val="center"/>
                    <w:textAlignment w:val="auto"/>
                    <w:rPr>
                      <w:rFonts w:hint="default" w:cs="Times New Roman"/>
                      <w:color w:val="auto"/>
                      <w:kern w:val="0"/>
                      <w:sz w:val="21"/>
                      <w:szCs w:val="21"/>
                      <w:highlight w:val="none"/>
                      <w:vertAlign w:val="baseline"/>
                      <w:lang w:val="en-US" w:eastAsia="zh-CN" w:bidi="ar-SA"/>
                    </w:rPr>
                  </w:pPr>
                  <w:r>
                    <w:rPr>
                      <w:rFonts w:hint="default" w:cs="Times New Roman"/>
                      <w:color w:val="auto"/>
                      <w:sz w:val="21"/>
                      <w:szCs w:val="21"/>
                      <w:highlight w:val="none"/>
                      <w:lang w:val="en-US" w:eastAsia="zh-CN"/>
                    </w:rPr>
                    <w:t>丙酮</w:t>
                  </w:r>
                </w:p>
              </w:tc>
              <w:tc>
                <w:tcPr>
                  <w:tcW w:w="2122" w:type="dxa"/>
                </w:tcPr>
                <w:p w14:paraId="44B389CE">
                  <w:pPr>
                    <w:keepNext w:val="0"/>
                    <w:keepLines w:val="0"/>
                    <w:pageBreakBefore w:val="0"/>
                    <w:widowControl/>
                    <w:kinsoku/>
                    <w:wordWrap/>
                    <w:overflowPunct/>
                    <w:topLinePunct w:val="0"/>
                    <w:autoSpaceDE/>
                    <w:autoSpaceDN/>
                    <w:bidi w:val="0"/>
                    <w:adjustRightInd/>
                    <w:snapToGrid w:val="0"/>
                    <w:spacing w:before="0" w:beforeLines="0" w:after="0" w:line="240" w:lineRule="auto"/>
                    <w:ind w:right="0"/>
                    <w:jc w:val="center"/>
                    <w:textAlignment w:val="auto"/>
                    <w:rPr>
                      <w:rFonts w:hint="default" w:cs="Times New Roman"/>
                      <w:color w:val="auto"/>
                      <w:kern w:val="0"/>
                      <w:sz w:val="21"/>
                      <w:szCs w:val="21"/>
                      <w:highlight w:val="none"/>
                      <w:vertAlign w:val="baseline"/>
                      <w:lang w:val="en-US" w:eastAsia="zh-CN" w:bidi="ar-SA"/>
                    </w:rPr>
                  </w:pPr>
                  <w:r>
                    <w:rPr>
                      <w:rFonts w:hint="eastAsia" w:cs="Times New Roman"/>
                      <w:color w:val="auto"/>
                      <w:kern w:val="0"/>
                      <w:sz w:val="21"/>
                      <w:szCs w:val="21"/>
                      <w:highlight w:val="none"/>
                      <w:vertAlign w:val="baseline"/>
                      <w:lang w:val="en-US" w:eastAsia="zh-CN" w:bidi="ar-SA"/>
                    </w:rPr>
                    <w:t>0.788</w:t>
                  </w:r>
                </w:p>
              </w:tc>
              <w:tc>
                <w:tcPr>
                  <w:tcW w:w="2121" w:type="dxa"/>
                </w:tcPr>
                <w:p w14:paraId="0A0FE591">
                  <w:pPr>
                    <w:keepNext w:val="0"/>
                    <w:keepLines w:val="0"/>
                    <w:pageBreakBefore w:val="0"/>
                    <w:widowControl/>
                    <w:kinsoku/>
                    <w:wordWrap/>
                    <w:overflowPunct/>
                    <w:topLinePunct w:val="0"/>
                    <w:autoSpaceDE/>
                    <w:autoSpaceDN/>
                    <w:bidi w:val="0"/>
                    <w:adjustRightInd/>
                    <w:snapToGrid w:val="0"/>
                    <w:spacing w:before="0" w:beforeLines="0" w:after="0" w:line="240" w:lineRule="auto"/>
                    <w:ind w:right="0"/>
                    <w:jc w:val="center"/>
                    <w:textAlignment w:val="auto"/>
                    <w:rPr>
                      <w:rFonts w:hint="default" w:cs="Times New Roman"/>
                      <w:color w:val="auto"/>
                      <w:kern w:val="0"/>
                      <w:sz w:val="21"/>
                      <w:szCs w:val="21"/>
                      <w:highlight w:val="none"/>
                      <w:vertAlign w:val="baseline"/>
                      <w:lang w:val="en-US" w:eastAsia="zh-CN" w:bidi="ar-SA"/>
                    </w:rPr>
                  </w:pPr>
                  <w:r>
                    <w:rPr>
                      <w:rFonts w:hint="default" w:ascii="Times New Roman" w:hAnsi="Times New Roman" w:cs="Times New Roman"/>
                      <w:bCs/>
                      <w:color w:val="auto"/>
                      <w:sz w:val="21"/>
                      <w:szCs w:val="21"/>
                      <w:highlight w:val="none"/>
                    </w:rPr>
                    <w:t>500ml</w:t>
                  </w:r>
                  <w:r>
                    <w:rPr>
                      <w:rFonts w:hint="eastAsia" w:ascii="Times New Roman" w:hAnsi="Times New Roman" w:cs="Times New Roman"/>
                      <w:bCs/>
                      <w:color w:val="auto"/>
                      <w:sz w:val="21"/>
                      <w:szCs w:val="21"/>
                      <w:highlight w:val="none"/>
                      <w:lang w:val="en-US" w:eastAsia="zh-CN"/>
                    </w:rPr>
                    <w:t>/瓶</w:t>
                  </w:r>
                </w:p>
              </w:tc>
              <w:tc>
                <w:tcPr>
                  <w:tcW w:w="2122" w:type="dxa"/>
                </w:tcPr>
                <w:p w14:paraId="26A0C8D9">
                  <w:pPr>
                    <w:keepNext w:val="0"/>
                    <w:keepLines w:val="0"/>
                    <w:pageBreakBefore w:val="0"/>
                    <w:widowControl/>
                    <w:kinsoku/>
                    <w:wordWrap/>
                    <w:overflowPunct/>
                    <w:topLinePunct w:val="0"/>
                    <w:autoSpaceDE/>
                    <w:autoSpaceDN/>
                    <w:bidi w:val="0"/>
                    <w:adjustRightInd/>
                    <w:snapToGrid w:val="0"/>
                    <w:spacing w:before="0" w:beforeLines="0" w:after="0" w:line="240" w:lineRule="auto"/>
                    <w:ind w:right="0"/>
                    <w:jc w:val="center"/>
                    <w:textAlignment w:val="auto"/>
                    <w:rPr>
                      <w:rFonts w:hint="default" w:cs="Times New Roman"/>
                      <w:color w:val="auto"/>
                      <w:kern w:val="0"/>
                      <w:sz w:val="21"/>
                      <w:szCs w:val="21"/>
                      <w:highlight w:val="none"/>
                      <w:vertAlign w:val="baseline"/>
                      <w:lang w:val="en-US" w:eastAsia="zh-CN" w:bidi="ar-SA"/>
                    </w:rPr>
                  </w:pPr>
                  <w:r>
                    <w:rPr>
                      <w:rFonts w:hint="eastAsia" w:cs="Times New Roman"/>
                      <w:color w:val="auto"/>
                      <w:kern w:val="0"/>
                      <w:sz w:val="21"/>
                      <w:szCs w:val="21"/>
                      <w:highlight w:val="none"/>
                      <w:vertAlign w:val="baseline"/>
                      <w:lang w:val="en-US" w:eastAsia="zh-CN" w:bidi="ar-SA"/>
                    </w:rPr>
                    <w:t>394</w:t>
                  </w:r>
                </w:p>
              </w:tc>
            </w:tr>
            <w:tr w14:paraId="1E3B2C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2" w:type="dxa"/>
                </w:tcPr>
                <w:p w14:paraId="0369F24C">
                  <w:pPr>
                    <w:keepNext w:val="0"/>
                    <w:keepLines w:val="0"/>
                    <w:pageBreakBefore w:val="0"/>
                    <w:widowControl/>
                    <w:kinsoku/>
                    <w:wordWrap/>
                    <w:overflowPunct/>
                    <w:topLinePunct w:val="0"/>
                    <w:autoSpaceDE/>
                    <w:autoSpaceDN/>
                    <w:bidi w:val="0"/>
                    <w:adjustRightInd/>
                    <w:snapToGrid w:val="0"/>
                    <w:spacing w:before="0" w:beforeLines="0" w:after="0" w:line="240" w:lineRule="auto"/>
                    <w:ind w:right="0"/>
                    <w:jc w:val="center"/>
                    <w:textAlignment w:val="auto"/>
                    <w:rPr>
                      <w:rFonts w:hint="default" w:cs="Times New Roman"/>
                      <w:color w:val="auto"/>
                      <w:kern w:val="0"/>
                      <w:sz w:val="21"/>
                      <w:szCs w:val="21"/>
                      <w:highlight w:val="none"/>
                      <w:vertAlign w:val="baseline"/>
                      <w:lang w:val="en-US" w:eastAsia="zh-CN" w:bidi="ar-SA"/>
                    </w:rPr>
                  </w:pPr>
                  <w:r>
                    <w:rPr>
                      <w:rFonts w:hint="default" w:cs="Times New Roman"/>
                      <w:color w:val="auto"/>
                      <w:sz w:val="21"/>
                      <w:szCs w:val="21"/>
                      <w:highlight w:val="none"/>
                      <w:lang w:val="en-US" w:eastAsia="zh-CN"/>
                    </w:rPr>
                    <w:t>氯化钾</w:t>
                  </w:r>
                </w:p>
              </w:tc>
              <w:tc>
                <w:tcPr>
                  <w:tcW w:w="2122" w:type="dxa"/>
                </w:tcPr>
                <w:p w14:paraId="62714AC2">
                  <w:pPr>
                    <w:keepNext w:val="0"/>
                    <w:keepLines w:val="0"/>
                    <w:pageBreakBefore w:val="0"/>
                    <w:widowControl/>
                    <w:kinsoku/>
                    <w:wordWrap/>
                    <w:overflowPunct/>
                    <w:topLinePunct w:val="0"/>
                    <w:autoSpaceDE/>
                    <w:autoSpaceDN/>
                    <w:bidi w:val="0"/>
                    <w:adjustRightInd/>
                    <w:snapToGrid w:val="0"/>
                    <w:spacing w:before="0" w:beforeLines="0" w:after="0" w:line="240" w:lineRule="auto"/>
                    <w:ind w:right="0"/>
                    <w:jc w:val="center"/>
                    <w:textAlignment w:val="auto"/>
                    <w:rPr>
                      <w:rFonts w:hint="default" w:cs="Times New Roman"/>
                      <w:color w:val="auto"/>
                      <w:kern w:val="0"/>
                      <w:sz w:val="21"/>
                      <w:szCs w:val="21"/>
                      <w:highlight w:val="none"/>
                      <w:vertAlign w:val="baseline"/>
                      <w:lang w:val="en-US" w:eastAsia="zh-CN" w:bidi="ar-SA"/>
                    </w:rPr>
                  </w:pPr>
                  <w:r>
                    <w:rPr>
                      <w:rFonts w:hint="eastAsia" w:cs="Times New Roman"/>
                      <w:color w:val="auto"/>
                      <w:kern w:val="0"/>
                      <w:sz w:val="21"/>
                      <w:szCs w:val="21"/>
                      <w:highlight w:val="none"/>
                      <w:vertAlign w:val="baseline"/>
                      <w:lang w:val="en-US" w:eastAsia="zh-CN" w:bidi="ar-SA"/>
                    </w:rPr>
                    <w:t>1.18</w:t>
                  </w:r>
                </w:p>
              </w:tc>
              <w:tc>
                <w:tcPr>
                  <w:tcW w:w="2121" w:type="dxa"/>
                </w:tcPr>
                <w:p w14:paraId="5299729A">
                  <w:pPr>
                    <w:keepNext w:val="0"/>
                    <w:keepLines w:val="0"/>
                    <w:pageBreakBefore w:val="0"/>
                    <w:widowControl/>
                    <w:kinsoku/>
                    <w:wordWrap/>
                    <w:overflowPunct/>
                    <w:topLinePunct w:val="0"/>
                    <w:autoSpaceDE/>
                    <w:autoSpaceDN/>
                    <w:bidi w:val="0"/>
                    <w:adjustRightInd/>
                    <w:snapToGrid w:val="0"/>
                    <w:spacing w:before="0" w:beforeLines="0" w:after="0" w:line="240" w:lineRule="auto"/>
                    <w:ind w:right="0"/>
                    <w:jc w:val="center"/>
                    <w:textAlignment w:val="auto"/>
                    <w:rPr>
                      <w:rFonts w:hint="default" w:cs="Times New Roman"/>
                      <w:color w:val="auto"/>
                      <w:kern w:val="0"/>
                      <w:sz w:val="21"/>
                      <w:szCs w:val="21"/>
                      <w:highlight w:val="none"/>
                      <w:vertAlign w:val="baseline"/>
                      <w:lang w:val="en-US" w:eastAsia="zh-CN" w:bidi="ar-SA"/>
                    </w:rPr>
                  </w:pPr>
                  <w:r>
                    <w:rPr>
                      <w:rFonts w:hint="default" w:ascii="Times New Roman" w:hAnsi="Times New Roman" w:cs="Times New Roman"/>
                      <w:bCs/>
                      <w:color w:val="auto"/>
                      <w:sz w:val="21"/>
                      <w:szCs w:val="21"/>
                      <w:highlight w:val="none"/>
                    </w:rPr>
                    <w:t>500ml</w:t>
                  </w:r>
                  <w:r>
                    <w:rPr>
                      <w:rFonts w:hint="eastAsia" w:ascii="Times New Roman" w:hAnsi="Times New Roman" w:cs="Times New Roman"/>
                      <w:bCs/>
                      <w:color w:val="auto"/>
                      <w:sz w:val="21"/>
                      <w:szCs w:val="21"/>
                      <w:highlight w:val="none"/>
                      <w:lang w:val="en-US" w:eastAsia="zh-CN"/>
                    </w:rPr>
                    <w:t>/瓶</w:t>
                  </w:r>
                </w:p>
              </w:tc>
              <w:tc>
                <w:tcPr>
                  <w:tcW w:w="2122" w:type="dxa"/>
                </w:tcPr>
                <w:p w14:paraId="3745D07A">
                  <w:pPr>
                    <w:keepNext w:val="0"/>
                    <w:keepLines w:val="0"/>
                    <w:pageBreakBefore w:val="0"/>
                    <w:widowControl/>
                    <w:kinsoku/>
                    <w:wordWrap/>
                    <w:overflowPunct/>
                    <w:topLinePunct w:val="0"/>
                    <w:autoSpaceDE/>
                    <w:autoSpaceDN/>
                    <w:bidi w:val="0"/>
                    <w:adjustRightInd/>
                    <w:snapToGrid w:val="0"/>
                    <w:spacing w:before="0" w:beforeLines="0" w:after="0" w:line="240" w:lineRule="auto"/>
                    <w:ind w:right="0"/>
                    <w:jc w:val="center"/>
                    <w:textAlignment w:val="auto"/>
                    <w:rPr>
                      <w:rFonts w:hint="default" w:cs="Times New Roman"/>
                      <w:color w:val="auto"/>
                      <w:kern w:val="0"/>
                      <w:sz w:val="21"/>
                      <w:szCs w:val="21"/>
                      <w:highlight w:val="none"/>
                      <w:vertAlign w:val="baseline"/>
                      <w:lang w:val="en-US" w:eastAsia="zh-CN" w:bidi="ar-SA"/>
                    </w:rPr>
                  </w:pPr>
                  <w:r>
                    <w:rPr>
                      <w:rFonts w:hint="eastAsia" w:cs="Times New Roman"/>
                      <w:color w:val="auto"/>
                      <w:kern w:val="0"/>
                      <w:sz w:val="21"/>
                      <w:szCs w:val="21"/>
                      <w:highlight w:val="none"/>
                      <w:vertAlign w:val="baseline"/>
                      <w:lang w:val="en-US" w:eastAsia="zh-CN" w:bidi="ar-SA"/>
                    </w:rPr>
                    <w:t>590</w:t>
                  </w:r>
                </w:p>
              </w:tc>
            </w:tr>
            <w:tr w14:paraId="5DF441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2" w:type="dxa"/>
                </w:tcPr>
                <w:p w14:paraId="5C460A7F">
                  <w:pPr>
                    <w:keepNext w:val="0"/>
                    <w:keepLines w:val="0"/>
                    <w:pageBreakBefore w:val="0"/>
                    <w:widowControl/>
                    <w:kinsoku/>
                    <w:wordWrap/>
                    <w:overflowPunct/>
                    <w:topLinePunct w:val="0"/>
                    <w:autoSpaceDE/>
                    <w:autoSpaceDN/>
                    <w:bidi w:val="0"/>
                    <w:adjustRightInd/>
                    <w:snapToGrid w:val="0"/>
                    <w:spacing w:before="0" w:beforeLines="0" w:after="0" w:line="240" w:lineRule="auto"/>
                    <w:ind w:right="0"/>
                    <w:jc w:val="center"/>
                    <w:textAlignment w:val="auto"/>
                    <w:rPr>
                      <w:rFonts w:hint="default" w:cs="Times New Roman"/>
                      <w:color w:val="auto"/>
                      <w:kern w:val="0"/>
                      <w:sz w:val="21"/>
                      <w:szCs w:val="21"/>
                      <w:highlight w:val="none"/>
                      <w:vertAlign w:val="baseline"/>
                      <w:lang w:val="en-US" w:eastAsia="zh-CN" w:bidi="ar-SA"/>
                    </w:rPr>
                  </w:pPr>
                  <w:r>
                    <w:rPr>
                      <w:rFonts w:hint="default" w:cs="Times New Roman"/>
                      <w:color w:val="auto"/>
                      <w:sz w:val="21"/>
                      <w:szCs w:val="21"/>
                      <w:highlight w:val="none"/>
                      <w:lang w:val="en-US" w:eastAsia="zh-CN"/>
                    </w:rPr>
                    <w:t>盐酸</w:t>
                  </w:r>
                </w:p>
              </w:tc>
              <w:tc>
                <w:tcPr>
                  <w:tcW w:w="2122" w:type="dxa"/>
                </w:tcPr>
                <w:p w14:paraId="52CE2A11">
                  <w:pPr>
                    <w:keepNext w:val="0"/>
                    <w:keepLines w:val="0"/>
                    <w:pageBreakBefore w:val="0"/>
                    <w:widowControl/>
                    <w:kinsoku/>
                    <w:wordWrap/>
                    <w:overflowPunct/>
                    <w:topLinePunct w:val="0"/>
                    <w:autoSpaceDE/>
                    <w:autoSpaceDN/>
                    <w:bidi w:val="0"/>
                    <w:adjustRightInd/>
                    <w:snapToGrid w:val="0"/>
                    <w:spacing w:before="0" w:beforeLines="0" w:after="0" w:line="240" w:lineRule="auto"/>
                    <w:ind w:right="0"/>
                    <w:jc w:val="center"/>
                    <w:textAlignment w:val="auto"/>
                    <w:rPr>
                      <w:rFonts w:hint="default" w:cs="Times New Roman"/>
                      <w:color w:val="auto"/>
                      <w:kern w:val="0"/>
                      <w:sz w:val="21"/>
                      <w:szCs w:val="21"/>
                      <w:highlight w:val="none"/>
                      <w:vertAlign w:val="baseline"/>
                      <w:lang w:val="en-US" w:eastAsia="zh-CN" w:bidi="ar-SA"/>
                    </w:rPr>
                  </w:pPr>
                  <w:r>
                    <w:rPr>
                      <w:rFonts w:hint="eastAsia" w:cs="Times New Roman"/>
                      <w:color w:val="auto"/>
                      <w:kern w:val="0"/>
                      <w:sz w:val="21"/>
                      <w:szCs w:val="21"/>
                      <w:highlight w:val="none"/>
                      <w:vertAlign w:val="baseline"/>
                      <w:lang w:val="en-US" w:eastAsia="zh-CN" w:bidi="ar-SA"/>
                    </w:rPr>
                    <w:t>1.18</w:t>
                  </w:r>
                </w:p>
              </w:tc>
              <w:tc>
                <w:tcPr>
                  <w:tcW w:w="2121" w:type="dxa"/>
                </w:tcPr>
                <w:p w14:paraId="7B6F02B7">
                  <w:pPr>
                    <w:keepNext w:val="0"/>
                    <w:keepLines w:val="0"/>
                    <w:pageBreakBefore w:val="0"/>
                    <w:widowControl/>
                    <w:kinsoku/>
                    <w:wordWrap/>
                    <w:overflowPunct/>
                    <w:topLinePunct w:val="0"/>
                    <w:autoSpaceDE/>
                    <w:autoSpaceDN/>
                    <w:bidi w:val="0"/>
                    <w:adjustRightInd/>
                    <w:snapToGrid w:val="0"/>
                    <w:spacing w:before="0" w:beforeLines="0" w:after="0" w:line="240" w:lineRule="auto"/>
                    <w:ind w:right="0"/>
                    <w:jc w:val="center"/>
                    <w:textAlignment w:val="auto"/>
                    <w:rPr>
                      <w:rFonts w:hint="default" w:cs="Times New Roman"/>
                      <w:color w:val="auto"/>
                      <w:kern w:val="0"/>
                      <w:sz w:val="21"/>
                      <w:szCs w:val="21"/>
                      <w:highlight w:val="none"/>
                      <w:vertAlign w:val="baseline"/>
                      <w:lang w:val="en-US" w:eastAsia="zh-CN" w:bidi="ar-SA"/>
                    </w:rPr>
                  </w:pPr>
                  <w:r>
                    <w:rPr>
                      <w:rFonts w:hint="default" w:ascii="Times New Roman" w:hAnsi="Times New Roman" w:cs="Times New Roman"/>
                      <w:bCs/>
                      <w:color w:val="auto"/>
                      <w:sz w:val="21"/>
                      <w:szCs w:val="21"/>
                      <w:highlight w:val="none"/>
                    </w:rPr>
                    <w:t>500ml</w:t>
                  </w:r>
                  <w:r>
                    <w:rPr>
                      <w:rFonts w:hint="eastAsia" w:ascii="Times New Roman" w:hAnsi="Times New Roman" w:cs="Times New Roman"/>
                      <w:bCs/>
                      <w:color w:val="auto"/>
                      <w:sz w:val="21"/>
                      <w:szCs w:val="21"/>
                      <w:highlight w:val="none"/>
                      <w:lang w:val="en-US" w:eastAsia="zh-CN"/>
                    </w:rPr>
                    <w:t>/瓶</w:t>
                  </w:r>
                </w:p>
              </w:tc>
              <w:tc>
                <w:tcPr>
                  <w:tcW w:w="2122" w:type="dxa"/>
                </w:tcPr>
                <w:p w14:paraId="3CCDC8DF">
                  <w:pPr>
                    <w:keepNext w:val="0"/>
                    <w:keepLines w:val="0"/>
                    <w:pageBreakBefore w:val="0"/>
                    <w:widowControl/>
                    <w:kinsoku/>
                    <w:wordWrap/>
                    <w:overflowPunct/>
                    <w:topLinePunct w:val="0"/>
                    <w:autoSpaceDE/>
                    <w:autoSpaceDN/>
                    <w:bidi w:val="0"/>
                    <w:adjustRightInd/>
                    <w:snapToGrid w:val="0"/>
                    <w:spacing w:before="0" w:beforeLines="0" w:after="0" w:line="240" w:lineRule="auto"/>
                    <w:ind w:right="0"/>
                    <w:jc w:val="center"/>
                    <w:textAlignment w:val="auto"/>
                    <w:rPr>
                      <w:rFonts w:hint="default" w:cs="Times New Roman"/>
                      <w:color w:val="auto"/>
                      <w:kern w:val="0"/>
                      <w:sz w:val="21"/>
                      <w:szCs w:val="21"/>
                      <w:highlight w:val="none"/>
                      <w:vertAlign w:val="baseline"/>
                      <w:lang w:val="en-US" w:eastAsia="zh-CN" w:bidi="ar-SA"/>
                    </w:rPr>
                  </w:pPr>
                  <w:r>
                    <w:rPr>
                      <w:rFonts w:hint="eastAsia" w:cs="Times New Roman"/>
                      <w:color w:val="auto"/>
                      <w:kern w:val="0"/>
                      <w:sz w:val="21"/>
                      <w:szCs w:val="21"/>
                      <w:highlight w:val="none"/>
                      <w:vertAlign w:val="baseline"/>
                      <w:lang w:val="en-US" w:eastAsia="zh-CN" w:bidi="ar-SA"/>
                    </w:rPr>
                    <w:t>590</w:t>
                  </w:r>
                </w:p>
              </w:tc>
            </w:tr>
            <w:tr w14:paraId="0E0172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2" w:type="dxa"/>
                </w:tcPr>
                <w:p w14:paraId="3AFE8216">
                  <w:pPr>
                    <w:keepNext w:val="0"/>
                    <w:keepLines w:val="0"/>
                    <w:pageBreakBefore w:val="0"/>
                    <w:widowControl/>
                    <w:kinsoku/>
                    <w:wordWrap/>
                    <w:overflowPunct/>
                    <w:topLinePunct w:val="0"/>
                    <w:autoSpaceDE/>
                    <w:autoSpaceDN/>
                    <w:bidi w:val="0"/>
                    <w:adjustRightInd/>
                    <w:snapToGrid w:val="0"/>
                    <w:spacing w:before="0" w:beforeLines="0" w:after="0" w:line="240" w:lineRule="auto"/>
                    <w:ind w:right="0"/>
                    <w:jc w:val="center"/>
                    <w:textAlignment w:val="auto"/>
                    <w:rPr>
                      <w:rFonts w:hint="default" w:cs="Times New Roman"/>
                      <w:color w:val="auto"/>
                      <w:kern w:val="0"/>
                      <w:sz w:val="21"/>
                      <w:szCs w:val="21"/>
                      <w:highlight w:val="none"/>
                      <w:vertAlign w:val="baseline"/>
                      <w:lang w:val="en-US" w:eastAsia="zh-CN" w:bidi="ar-SA"/>
                    </w:rPr>
                  </w:pPr>
                  <w:r>
                    <w:rPr>
                      <w:rFonts w:hint="default" w:cs="Times New Roman"/>
                      <w:color w:val="auto"/>
                      <w:sz w:val="21"/>
                      <w:szCs w:val="21"/>
                      <w:highlight w:val="none"/>
                      <w:lang w:val="en-US" w:eastAsia="zh-CN"/>
                    </w:rPr>
                    <w:t>磷酸</w:t>
                  </w:r>
                </w:p>
              </w:tc>
              <w:tc>
                <w:tcPr>
                  <w:tcW w:w="2122" w:type="dxa"/>
                </w:tcPr>
                <w:p w14:paraId="7188922A">
                  <w:pPr>
                    <w:keepNext w:val="0"/>
                    <w:keepLines w:val="0"/>
                    <w:pageBreakBefore w:val="0"/>
                    <w:widowControl/>
                    <w:kinsoku/>
                    <w:wordWrap/>
                    <w:overflowPunct/>
                    <w:topLinePunct w:val="0"/>
                    <w:autoSpaceDE/>
                    <w:autoSpaceDN/>
                    <w:bidi w:val="0"/>
                    <w:adjustRightInd/>
                    <w:snapToGrid w:val="0"/>
                    <w:spacing w:before="0" w:beforeLines="0" w:after="0" w:line="240" w:lineRule="auto"/>
                    <w:ind w:right="0"/>
                    <w:jc w:val="center"/>
                    <w:textAlignment w:val="auto"/>
                    <w:rPr>
                      <w:rFonts w:hint="default" w:cs="Times New Roman"/>
                      <w:color w:val="auto"/>
                      <w:kern w:val="0"/>
                      <w:sz w:val="21"/>
                      <w:szCs w:val="21"/>
                      <w:highlight w:val="none"/>
                      <w:vertAlign w:val="baseline"/>
                      <w:lang w:val="en-US" w:eastAsia="zh-CN" w:bidi="ar-SA"/>
                    </w:rPr>
                  </w:pPr>
                  <w:r>
                    <w:rPr>
                      <w:rFonts w:hint="eastAsia" w:cs="Times New Roman"/>
                      <w:color w:val="auto"/>
                      <w:kern w:val="0"/>
                      <w:sz w:val="21"/>
                      <w:szCs w:val="21"/>
                      <w:highlight w:val="none"/>
                      <w:vertAlign w:val="baseline"/>
                      <w:lang w:val="en-US" w:eastAsia="zh-CN" w:bidi="ar-SA"/>
                    </w:rPr>
                    <w:t>1.685</w:t>
                  </w:r>
                </w:p>
              </w:tc>
              <w:tc>
                <w:tcPr>
                  <w:tcW w:w="2121" w:type="dxa"/>
                </w:tcPr>
                <w:p w14:paraId="62C329D9">
                  <w:pPr>
                    <w:keepNext w:val="0"/>
                    <w:keepLines w:val="0"/>
                    <w:pageBreakBefore w:val="0"/>
                    <w:widowControl/>
                    <w:kinsoku/>
                    <w:wordWrap/>
                    <w:overflowPunct/>
                    <w:topLinePunct w:val="0"/>
                    <w:autoSpaceDE/>
                    <w:autoSpaceDN/>
                    <w:bidi w:val="0"/>
                    <w:adjustRightInd/>
                    <w:snapToGrid w:val="0"/>
                    <w:spacing w:before="0" w:beforeLines="0" w:after="0" w:line="240" w:lineRule="auto"/>
                    <w:ind w:right="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500ml</w:t>
                  </w:r>
                  <w:r>
                    <w:rPr>
                      <w:rFonts w:hint="eastAsia" w:ascii="Times New Roman" w:hAnsi="Times New Roman" w:cs="Times New Roman"/>
                      <w:bCs/>
                      <w:color w:val="auto"/>
                      <w:sz w:val="21"/>
                      <w:szCs w:val="21"/>
                      <w:highlight w:val="none"/>
                      <w:lang w:val="en-US" w:eastAsia="zh-CN"/>
                    </w:rPr>
                    <w:t>/瓶</w:t>
                  </w:r>
                </w:p>
              </w:tc>
              <w:tc>
                <w:tcPr>
                  <w:tcW w:w="2122" w:type="dxa"/>
                </w:tcPr>
                <w:p w14:paraId="6F41FD2B">
                  <w:pPr>
                    <w:keepNext w:val="0"/>
                    <w:keepLines w:val="0"/>
                    <w:pageBreakBefore w:val="0"/>
                    <w:widowControl/>
                    <w:kinsoku/>
                    <w:wordWrap/>
                    <w:overflowPunct/>
                    <w:topLinePunct w:val="0"/>
                    <w:autoSpaceDE/>
                    <w:autoSpaceDN/>
                    <w:bidi w:val="0"/>
                    <w:adjustRightInd/>
                    <w:snapToGrid w:val="0"/>
                    <w:spacing w:before="0" w:beforeLines="0" w:after="0" w:line="240" w:lineRule="auto"/>
                    <w:ind w:right="0"/>
                    <w:jc w:val="center"/>
                    <w:textAlignment w:val="auto"/>
                    <w:rPr>
                      <w:rFonts w:hint="default" w:cs="Times New Roman"/>
                      <w:color w:val="auto"/>
                      <w:kern w:val="0"/>
                      <w:sz w:val="21"/>
                      <w:szCs w:val="21"/>
                      <w:highlight w:val="none"/>
                      <w:vertAlign w:val="baseline"/>
                      <w:lang w:val="en-US" w:eastAsia="zh-CN" w:bidi="ar-SA"/>
                    </w:rPr>
                  </w:pPr>
                  <w:r>
                    <w:rPr>
                      <w:rFonts w:hint="eastAsia" w:cs="Times New Roman"/>
                      <w:color w:val="auto"/>
                      <w:kern w:val="0"/>
                      <w:sz w:val="21"/>
                      <w:szCs w:val="21"/>
                      <w:highlight w:val="none"/>
                      <w:vertAlign w:val="baseline"/>
                      <w:lang w:val="en-US" w:eastAsia="zh-CN" w:bidi="ar-SA"/>
                    </w:rPr>
                    <w:t>842.5</w:t>
                  </w:r>
                </w:p>
              </w:tc>
            </w:tr>
            <w:tr w14:paraId="105926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2" w:type="dxa"/>
                </w:tcPr>
                <w:p w14:paraId="475F3BBF">
                  <w:pPr>
                    <w:keepNext w:val="0"/>
                    <w:keepLines w:val="0"/>
                    <w:pageBreakBefore w:val="0"/>
                    <w:widowControl/>
                    <w:kinsoku/>
                    <w:wordWrap/>
                    <w:overflowPunct/>
                    <w:topLinePunct w:val="0"/>
                    <w:autoSpaceDE/>
                    <w:autoSpaceDN/>
                    <w:bidi w:val="0"/>
                    <w:adjustRightInd/>
                    <w:snapToGrid w:val="0"/>
                    <w:spacing w:before="0" w:beforeLines="0" w:after="0" w:line="240" w:lineRule="auto"/>
                    <w:ind w:right="0"/>
                    <w:jc w:val="center"/>
                    <w:textAlignment w:val="auto"/>
                    <w:rPr>
                      <w:rFonts w:hint="default" w:cs="Times New Roman"/>
                      <w:color w:val="auto"/>
                      <w:sz w:val="21"/>
                      <w:szCs w:val="21"/>
                      <w:highlight w:val="none"/>
                      <w:lang w:val="en-US" w:eastAsia="zh-CN"/>
                    </w:rPr>
                  </w:pPr>
                  <w:r>
                    <w:rPr>
                      <w:rFonts w:hint="default" w:cs="Times New Roman"/>
                      <w:color w:val="auto"/>
                      <w:sz w:val="21"/>
                      <w:szCs w:val="21"/>
                      <w:highlight w:val="none"/>
                      <w:lang w:val="en-US" w:eastAsia="zh-CN"/>
                    </w:rPr>
                    <w:t>硫酸</w:t>
                  </w:r>
                </w:p>
              </w:tc>
              <w:tc>
                <w:tcPr>
                  <w:tcW w:w="2122" w:type="dxa"/>
                </w:tcPr>
                <w:p w14:paraId="71276621">
                  <w:pPr>
                    <w:keepNext w:val="0"/>
                    <w:keepLines w:val="0"/>
                    <w:pageBreakBefore w:val="0"/>
                    <w:widowControl/>
                    <w:kinsoku/>
                    <w:wordWrap/>
                    <w:overflowPunct/>
                    <w:topLinePunct w:val="0"/>
                    <w:autoSpaceDE/>
                    <w:autoSpaceDN/>
                    <w:bidi w:val="0"/>
                    <w:adjustRightInd/>
                    <w:snapToGrid w:val="0"/>
                    <w:spacing w:before="0" w:beforeLines="0" w:after="0" w:line="240" w:lineRule="auto"/>
                    <w:ind w:right="0"/>
                    <w:jc w:val="center"/>
                    <w:textAlignment w:val="auto"/>
                    <w:rPr>
                      <w:rFonts w:hint="default" w:cs="Times New Roman"/>
                      <w:color w:val="auto"/>
                      <w:kern w:val="0"/>
                      <w:sz w:val="21"/>
                      <w:szCs w:val="21"/>
                      <w:highlight w:val="none"/>
                      <w:vertAlign w:val="baseline"/>
                      <w:lang w:val="en-US" w:eastAsia="zh-CN" w:bidi="ar-SA"/>
                    </w:rPr>
                  </w:pPr>
                  <w:r>
                    <w:rPr>
                      <w:rFonts w:hint="eastAsia" w:cs="Times New Roman"/>
                      <w:color w:val="auto"/>
                      <w:kern w:val="0"/>
                      <w:sz w:val="21"/>
                      <w:szCs w:val="21"/>
                      <w:highlight w:val="none"/>
                      <w:vertAlign w:val="baseline"/>
                      <w:lang w:val="en-US" w:eastAsia="zh-CN" w:bidi="ar-SA"/>
                    </w:rPr>
                    <w:t>1.</w:t>
                  </w:r>
                  <w:r>
                    <w:rPr>
                      <w:rFonts w:hint="eastAsia" w:cs="Times New Roman"/>
                      <w:color w:val="auto"/>
                      <w:sz w:val="21"/>
                      <w:szCs w:val="21"/>
                      <w:highlight w:val="none"/>
                      <w:lang w:val="en-US" w:eastAsia="zh-CN"/>
                    </w:rPr>
                    <w:t>83</w:t>
                  </w:r>
                </w:p>
              </w:tc>
              <w:tc>
                <w:tcPr>
                  <w:tcW w:w="2121" w:type="dxa"/>
                </w:tcPr>
                <w:p w14:paraId="0B3C0B2F">
                  <w:pPr>
                    <w:keepNext w:val="0"/>
                    <w:keepLines w:val="0"/>
                    <w:pageBreakBefore w:val="0"/>
                    <w:widowControl/>
                    <w:kinsoku/>
                    <w:wordWrap/>
                    <w:overflowPunct/>
                    <w:topLinePunct w:val="0"/>
                    <w:autoSpaceDE/>
                    <w:autoSpaceDN/>
                    <w:bidi w:val="0"/>
                    <w:adjustRightInd/>
                    <w:snapToGrid w:val="0"/>
                    <w:spacing w:before="0" w:beforeLines="0" w:after="0" w:line="240" w:lineRule="auto"/>
                    <w:ind w:right="0"/>
                    <w:jc w:val="center"/>
                    <w:textAlignment w:val="auto"/>
                    <w:rPr>
                      <w:rFonts w:hint="eastAsia"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rPr>
                    <w:t>500ml</w:t>
                  </w:r>
                  <w:r>
                    <w:rPr>
                      <w:rFonts w:hint="eastAsia" w:ascii="Times New Roman" w:hAnsi="Times New Roman" w:cs="Times New Roman"/>
                      <w:bCs/>
                      <w:color w:val="auto"/>
                      <w:sz w:val="21"/>
                      <w:szCs w:val="21"/>
                      <w:highlight w:val="none"/>
                      <w:lang w:val="en-US" w:eastAsia="zh-CN"/>
                    </w:rPr>
                    <w:t>/瓶</w:t>
                  </w:r>
                </w:p>
              </w:tc>
              <w:tc>
                <w:tcPr>
                  <w:tcW w:w="2122" w:type="dxa"/>
                </w:tcPr>
                <w:p w14:paraId="15395D4E">
                  <w:pPr>
                    <w:keepNext w:val="0"/>
                    <w:keepLines w:val="0"/>
                    <w:pageBreakBefore w:val="0"/>
                    <w:widowControl/>
                    <w:kinsoku/>
                    <w:wordWrap/>
                    <w:overflowPunct/>
                    <w:topLinePunct w:val="0"/>
                    <w:autoSpaceDE/>
                    <w:autoSpaceDN/>
                    <w:bidi w:val="0"/>
                    <w:adjustRightInd/>
                    <w:snapToGrid w:val="0"/>
                    <w:spacing w:before="0" w:beforeLines="0" w:after="0" w:line="240" w:lineRule="auto"/>
                    <w:ind w:right="0"/>
                    <w:jc w:val="center"/>
                    <w:textAlignment w:val="auto"/>
                    <w:rPr>
                      <w:rFonts w:hint="default" w:cs="Times New Roman"/>
                      <w:color w:val="auto"/>
                      <w:kern w:val="0"/>
                      <w:sz w:val="21"/>
                      <w:szCs w:val="21"/>
                      <w:highlight w:val="none"/>
                      <w:vertAlign w:val="baseline"/>
                      <w:lang w:val="en-US" w:eastAsia="zh-CN" w:bidi="ar-SA"/>
                    </w:rPr>
                  </w:pPr>
                  <w:r>
                    <w:rPr>
                      <w:rFonts w:hint="eastAsia" w:cs="Times New Roman"/>
                      <w:color w:val="auto"/>
                      <w:kern w:val="0"/>
                      <w:sz w:val="21"/>
                      <w:szCs w:val="21"/>
                      <w:highlight w:val="none"/>
                      <w:vertAlign w:val="baseline"/>
                      <w:lang w:val="en-US" w:eastAsia="zh-CN" w:bidi="ar-SA"/>
                    </w:rPr>
                    <w:t>915</w:t>
                  </w:r>
                </w:p>
              </w:tc>
            </w:tr>
            <w:tr w14:paraId="165350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2" w:type="dxa"/>
                </w:tcPr>
                <w:p w14:paraId="1AA81A1F">
                  <w:pPr>
                    <w:keepNext w:val="0"/>
                    <w:keepLines w:val="0"/>
                    <w:pageBreakBefore w:val="0"/>
                    <w:widowControl/>
                    <w:kinsoku/>
                    <w:wordWrap/>
                    <w:overflowPunct/>
                    <w:topLinePunct w:val="0"/>
                    <w:autoSpaceDE/>
                    <w:autoSpaceDN/>
                    <w:bidi w:val="0"/>
                    <w:adjustRightInd/>
                    <w:snapToGrid w:val="0"/>
                    <w:spacing w:before="0" w:beforeLines="0" w:after="0" w:line="240" w:lineRule="auto"/>
                    <w:ind w:right="0"/>
                    <w:jc w:val="center"/>
                    <w:textAlignment w:val="auto"/>
                    <w:rPr>
                      <w:rFonts w:hint="eastAsia" w:cs="Times New Roman"/>
                      <w:color w:val="auto"/>
                      <w:sz w:val="21"/>
                      <w:szCs w:val="21"/>
                      <w:highlight w:val="none"/>
                      <w:lang w:val="en-US" w:eastAsia="zh-CN"/>
                    </w:rPr>
                  </w:pPr>
                  <w:r>
                    <w:rPr>
                      <w:rFonts w:hint="default" w:cs="Times New Roman"/>
                      <w:color w:val="auto"/>
                      <w:sz w:val="21"/>
                      <w:szCs w:val="21"/>
                      <w:highlight w:val="none"/>
                      <w:lang w:val="en-US" w:eastAsia="zh-CN"/>
                    </w:rPr>
                    <w:t>双氧水</w:t>
                  </w:r>
                </w:p>
              </w:tc>
              <w:tc>
                <w:tcPr>
                  <w:tcW w:w="2122" w:type="dxa"/>
                </w:tcPr>
                <w:p w14:paraId="37F72577">
                  <w:pPr>
                    <w:keepNext w:val="0"/>
                    <w:keepLines w:val="0"/>
                    <w:pageBreakBefore w:val="0"/>
                    <w:widowControl/>
                    <w:kinsoku/>
                    <w:wordWrap/>
                    <w:overflowPunct/>
                    <w:topLinePunct w:val="0"/>
                    <w:autoSpaceDE/>
                    <w:autoSpaceDN/>
                    <w:bidi w:val="0"/>
                    <w:adjustRightInd/>
                    <w:snapToGrid w:val="0"/>
                    <w:spacing w:before="0" w:beforeLines="0" w:after="0" w:line="240" w:lineRule="auto"/>
                    <w:ind w:right="0"/>
                    <w:jc w:val="center"/>
                    <w:textAlignment w:val="auto"/>
                    <w:rPr>
                      <w:rFonts w:hint="default" w:cs="Times New Roman"/>
                      <w:color w:val="auto"/>
                      <w:kern w:val="0"/>
                      <w:sz w:val="21"/>
                      <w:szCs w:val="21"/>
                      <w:highlight w:val="none"/>
                      <w:vertAlign w:val="baseline"/>
                      <w:lang w:val="en-US" w:eastAsia="zh-CN" w:bidi="ar-SA"/>
                    </w:rPr>
                  </w:pPr>
                  <w:r>
                    <w:rPr>
                      <w:rFonts w:hint="eastAsia" w:cs="Times New Roman"/>
                      <w:color w:val="auto"/>
                      <w:kern w:val="0"/>
                      <w:sz w:val="21"/>
                      <w:szCs w:val="21"/>
                      <w:highlight w:val="none"/>
                      <w:vertAlign w:val="baseline"/>
                      <w:lang w:val="en-US" w:eastAsia="zh-CN" w:bidi="ar-SA"/>
                    </w:rPr>
                    <w:t>1.46</w:t>
                  </w:r>
                </w:p>
              </w:tc>
              <w:tc>
                <w:tcPr>
                  <w:tcW w:w="2121" w:type="dxa"/>
                </w:tcPr>
                <w:p w14:paraId="10A78CD4">
                  <w:pPr>
                    <w:keepNext w:val="0"/>
                    <w:keepLines w:val="0"/>
                    <w:pageBreakBefore w:val="0"/>
                    <w:widowControl/>
                    <w:kinsoku/>
                    <w:wordWrap/>
                    <w:overflowPunct/>
                    <w:topLinePunct w:val="0"/>
                    <w:autoSpaceDE/>
                    <w:autoSpaceDN/>
                    <w:bidi w:val="0"/>
                    <w:adjustRightInd/>
                    <w:snapToGrid w:val="0"/>
                    <w:spacing w:before="0" w:beforeLines="0" w:after="0" w:line="240" w:lineRule="auto"/>
                    <w:ind w:right="0"/>
                    <w:jc w:val="center"/>
                    <w:textAlignment w:val="auto"/>
                    <w:rPr>
                      <w:rFonts w:hint="eastAsia"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rPr>
                    <w:t>500ml</w:t>
                  </w:r>
                  <w:r>
                    <w:rPr>
                      <w:rFonts w:hint="eastAsia" w:ascii="Times New Roman" w:hAnsi="Times New Roman" w:cs="Times New Roman"/>
                      <w:bCs/>
                      <w:color w:val="auto"/>
                      <w:sz w:val="21"/>
                      <w:szCs w:val="21"/>
                      <w:highlight w:val="none"/>
                      <w:lang w:val="en-US" w:eastAsia="zh-CN"/>
                    </w:rPr>
                    <w:t>/瓶</w:t>
                  </w:r>
                </w:p>
              </w:tc>
              <w:tc>
                <w:tcPr>
                  <w:tcW w:w="2122" w:type="dxa"/>
                </w:tcPr>
                <w:p w14:paraId="31194F5F">
                  <w:pPr>
                    <w:keepNext w:val="0"/>
                    <w:keepLines w:val="0"/>
                    <w:pageBreakBefore w:val="0"/>
                    <w:widowControl/>
                    <w:kinsoku/>
                    <w:wordWrap/>
                    <w:overflowPunct/>
                    <w:topLinePunct w:val="0"/>
                    <w:autoSpaceDE/>
                    <w:autoSpaceDN/>
                    <w:bidi w:val="0"/>
                    <w:adjustRightInd/>
                    <w:snapToGrid w:val="0"/>
                    <w:spacing w:before="0" w:beforeLines="0" w:after="0" w:line="240" w:lineRule="auto"/>
                    <w:ind w:right="0"/>
                    <w:jc w:val="center"/>
                    <w:textAlignment w:val="auto"/>
                    <w:rPr>
                      <w:rFonts w:hint="default" w:cs="Times New Roman"/>
                      <w:color w:val="auto"/>
                      <w:kern w:val="0"/>
                      <w:sz w:val="21"/>
                      <w:szCs w:val="21"/>
                      <w:highlight w:val="none"/>
                      <w:vertAlign w:val="baseline"/>
                      <w:lang w:val="en-US" w:eastAsia="zh-CN" w:bidi="ar-SA"/>
                    </w:rPr>
                  </w:pPr>
                  <w:r>
                    <w:rPr>
                      <w:rFonts w:hint="eastAsia" w:cs="Times New Roman"/>
                      <w:color w:val="auto"/>
                      <w:kern w:val="0"/>
                      <w:sz w:val="21"/>
                      <w:szCs w:val="21"/>
                      <w:highlight w:val="none"/>
                      <w:vertAlign w:val="baseline"/>
                      <w:lang w:val="en-US" w:eastAsia="zh-CN" w:bidi="ar-SA"/>
                    </w:rPr>
                    <w:t>730</w:t>
                  </w:r>
                </w:p>
              </w:tc>
            </w:tr>
            <w:tr w14:paraId="2501A7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2" w:type="dxa"/>
                </w:tcPr>
                <w:p w14:paraId="154CB5C6">
                  <w:pPr>
                    <w:keepNext w:val="0"/>
                    <w:keepLines w:val="0"/>
                    <w:pageBreakBefore w:val="0"/>
                    <w:widowControl/>
                    <w:kinsoku/>
                    <w:wordWrap/>
                    <w:overflowPunct/>
                    <w:topLinePunct w:val="0"/>
                    <w:autoSpaceDE/>
                    <w:autoSpaceDN/>
                    <w:bidi w:val="0"/>
                    <w:adjustRightInd/>
                    <w:snapToGrid w:val="0"/>
                    <w:spacing w:before="0" w:beforeLines="0" w:after="0" w:line="240" w:lineRule="auto"/>
                    <w:ind w:right="0"/>
                    <w:jc w:val="center"/>
                    <w:textAlignment w:val="auto"/>
                    <w:rPr>
                      <w:rFonts w:hint="default" w:cs="Times New Roman"/>
                      <w:color w:val="auto"/>
                      <w:sz w:val="21"/>
                      <w:szCs w:val="21"/>
                      <w:highlight w:val="none"/>
                      <w:lang w:val="en-US" w:eastAsia="zh-CN"/>
                    </w:rPr>
                  </w:pPr>
                  <w:r>
                    <w:rPr>
                      <w:rFonts w:hint="default" w:cs="Times New Roman"/>
                      <w:color w:val="auto"/>
                      <w:sz w:val="21"/>
                      <w:szCs w:val="21"/>
                      <w:highlight w:val="none"/>
                      <w:lang w:val="en-US" w:eastAsia="zh-CN"/>
                    </w:rPr>
                    <w:t>氨水</w:t>
                  </w:r>
                </w:p>
              </w:tc>
              <w:tc>
                <w:tcPr>
                  <w:tcW w:w="2122" w:type="dxa"/>
                </w:tcPr>
                <w:p w14:paraId="23B61A50">
                  <w:pPr>
                    <w:keepNext w:val="0"/>
                    <w:keepLines w:val="0"/>
                    <w:pageBreakBefore w:val="0"/>
                    <w:widowControl/>
                    <w:kinsoku/>
                    <w:wordWrap/>
                    <w:overflowPunct/>
                    <w:topLinePunct w:val="0"/>
                    <w:autoSpaceDE/>
                    <w:autoSpaceDN/>
                    <w:bidi w:val="0"/>
                    <w:adjustRightInd/>
                    <w:snapToGrid w:val="0"/>
                    <w:spacing w:before="0" w:beforeLines="0" w:after="0" w:line="240" w:lineRule="auto"/>
                    <w:ind w:right="0"/>
                    <w:jc w:val="center"/>
                    <w:textAlignment w:val="auto"/>
                    <w:rPr>
                      <w:rFonts w:hint="default" w:cs="Times New Roman"/>
                      <w:color w:val="auto"/>
                      <w:kern w:val="0"/>
                      <w:sz w:val="21"/>
                      <w:szCs w:val="21"/>
                      <w:highlight w:val="none"/>
                      <w:vertAlign w:val="baseline"/>
                      <w:lang w:val="en-US" w:eastAsia="zh-CN" w:bidi="ar-SA"/>
                    </w:rPr>
                  </w:pPr>
                  <w:r>
                    <w:rPr>
                      <w:rFonts w:hint="eastAsia" w:cs="Times New Roman"/>
                      <w:color w:val="auto"/>
                      <w:kern w:val="0"/>
                      <w:sz w:val="21"/>
                      <w:szCs w:val="21"/>
                      <w:highlight w:val="none"/>
                      <w:vertAlign w:val="baseline"/>
                      <w:lang w:val="en-US" w:eastAsia="zh-CN" w:bidi="ar-SA"/>
                    </w:rPr>
                    <w:t>0.9</w:t>
                  </w:r>
                </w:p>
              </w:tc>
              <w:tc>
                <w:tcPr>
                  <w:tcW w:w="2121" w:type="dxa"/>
                </w:tcPr>
                <w:p w14:paraId="682772E7">
                  <w:pPr>
                    <w:keepNext w:val="0"/>
                    <w:keepLines w:val="0"/>
                    <w:pageBreakBefore w:val="0"/>
                    <w:widowControl/>
                    <w:kinsoku/>
                    <w:wordWrap/>
                    <w:overflowPunct/>
                    <w:topLinePunct w:val="0"/>
                    <w:autoSpaceDE/>
                    <w:autoSpaceDN/>
                    <w:bidi w:val="0"/>
                    <w:adjustRightInd/>
                    <w:snapToGrid w:val="0"/>
                    <w:spacing w:before="0" w:beforeLines="0" w:after="0" w:line="240" w:lineRule="auto"/>
                    <w:ind w:right="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500ml</w:t>
                  </w:r>
                  <w:r>
                    <w:rPr>
                      <w:rFonts w:hint="eastAsia" w:ascii="Times New Roman" w:hAnsi="Times New Roman" w:cs="Times New Roman"/>
                      <w:bCs/>
                      <w:color w:val="auto"/>
                      <w:sz w:val="21"/>
                      <w:szCs w:val="21"/>
                      <w:highlight w:val="none"/>
                      <w:lang w:val="en-US" w:eastAsia="zh-CN"/>
                    </w:rPr>
                    <w:t>/瓶</w:t>
                  </w:r>
                </w:p>
              </w:tc>
              <w:tc>
                <w:tcPr>
                  <w:tcW w:w="2122" w:type="dxa"/>
                </w:tcPr>
                <w:p w14:paraId="47DF7D00">
                  <w:pPr>
                    <w:keepNext w:val="0"/>
                    <w:keepLines w:val="0"/>
                    <w:pageBreakBefore w:val="0"/>
                    <w:widowControl/>
                    <w:kinsoku/>
                    <w:wordWrap/>
                    <w:overflowPunct/>
                    <w:topLinePunct w:val="0"/>
                    <w:autoSpaceDE/>
                    <w:autoSpaceDN/>
                    <w:bidi w:val="0"/>
                    <w:adjustRightInd/>
                    <w:snapToGrid w:val="0"/>
                    <w:spacing w:before="0" w:beforeLines="0" w:after="0" w:line="240" w:lineRule="auto"/>
                    <w:ind w:right="0"/>
                    <w:jc w:val="center"/>
                    <w:textAlignment w:val="auto"/>
                    <w:rPr>
                      <w:rFonts w:hint="default" w:cs="Times New Roman"/>
                      <w:color w:val="auto"/>
                      <w:kern w:val="0"/>
                      <w:sz w:val="21"/>
                      <w:szCs w:val="21"/>
                      <w:highlight w:val="none"/>
                      <w:vertAlign w:val="baseline"/>
                      <w:lang w:val="en-US" w:eastAsia="zh-CN" w:bidi="ar-SA"/>
                    </w:rPr>
                  </w:pPr>
                  <w:r>
                    <w:rPr>
                      <w:rFonts w:hint="eastAsia" w:cs="Times New Roman"/>
                      <w:color w:val="auto"/>
                      <w:kern w:val="0"/>
                      <w:sz w:val="21"/>
                      <w:szCs w:val="21"/>
                      <w:highlight w:val="none"/>
                      <w:vertAlign w:val="baseline"/>
                      <w:lang w:val="en-US" w:eastAsia="zh-CN" w:bidi="ar-SA"/>
                    </w:rPr>
                    <w:t>450</w:t>
                  </w:r>
                </w:p>
              </w:tc>
            </w:tr>
            <w:tr w14:paraId="7C1233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2" w:type="dxa"/>
                </w:tcPr>
                <w:p w14:paraId="28D7787A">
                  <w:pPr>
                    <w:keepNext w:val="0"/>
                    <w:keepLines w:val="0"/>
                    <w:pageBreakBefore w:val="0"/>
                    <w:widowControl/>
                    <w:kinsoku/>
                    <w:wordWrap/>
                    <w:overflowPunct/>
                    <w:topLinePunct w:val="0"/>
                    <w:autoSpaceDE/>
                    <w:autoSpaceDN/>
                    <w:bidi w:val="0"/>
                    <w:adjustRightInd/>
                    <w:snapToGrid w:val="0"/>
                    <w:spacing w:before="0" w:beforeLines="0" w:after="0" w:line="240" w:lineRule="auto"/>
                    <w:ind w:right="0"/>
                    <w:jc w:val="center"/>
                    <w:textAlignment w:val="auto"/>
                    <w:rPr>
                      <w:rFonts w:hint="default" w:cs="Times New Roman"/>
                      <w:color w:val="auto"/>
                      <w:sz w:val="21"/>
                      <w:szCs w:val="21"/>
                      <w:highlight w:val="none"/>
                      <w:lang w:val="en-US" w:eastAsia="zh-CN"/>
                    </w:rPr>
                  </w:pPr>
                  <w:r>
                    <w:rPr>
                      <w:rFonts w:hint="default" w:cs="Times New Roman"/>
                      <w:color w:val="auto"/>
                      <w:sz w:val="21"/>
                      <w:szCs w:val="21"/>
                      <w:highlight w:val="none"/>
                      <w:lang w:val="en-US" w:eastAsia="zh-CN"/>
                    </w:rPr>
                    <w:t>硝酸</w:t>
                  </w:r>
                </w:p>
              </w:tc>
              <w:tc>
                <w:tcPr>
                  <w:tcW w:w="2122" w:type="dxa"/>
                </w:tcPr>
                <w:p w14:paraId="23813AEF">
                  <w:pPr>
                    <w:keepNext w:val="0"/>
                    <w:keepLines w:val="0"/>
                    <w:pageBreakBefore w:val="0"/>
                    <w:widowControl/>
                    <w:kinsoku/>
                    <w:wordWrap/>
                    <w:overflowPunct/>
                    <w:topLinePunct w:val="0"/>
                    <w:autoSpaceDE/>
                    <w:autoSpaceDN/>
                    <w:bidi w:val="0"/>
                    <w:adjustRightInd/>
                    <w:snapToGrid w:val="0"/>
                    <w:spacing w:before="0" w:beforeLines="0" w:after="0" w:line="240" w:lineRule="auto"/>
                    <w:ind w:right="0"/>
                    <w:jc w:val="center"/>
                    <w:textAlignment w:val="auto"/>
                    <w:rPr>
                      <w:rFonts w:hint="default" w:cs="Times New Roman"/>
                      <w:color w:val="auto"/>
                      <w:kern w:val="0"/>
                      <w:sz w:val="21"/>
                      <w:szCs w:val="21"/>
                      <w:highlight w:val="none"/>
                      <w:vertAlign w:val="baseline"/>
                      <w:lang w:val="en-US" w:eastAsia="zh-CN" w:bidi="ar-SA"/>
                    </w:rPr>
                  </w:pPr>
                  <w:r>
                    <w:rPr>
                      <w:rFonts w:hint="eastAsia" w:cs="Times New Roman"/>
                      <w:color w:val="auto"/>
                      <w:kern w:val="0"/>
                      <w:sz w:val="21"/>
                      <w:szCs w:val="21"/>
                      <w:highlight w:val="none"/>
                      <w:vertAlign w:val="baseline"/>
                      <w:lang w:val="en-US" w:eastAsia="zh-CN" w:bidi="ar-SA"/>
                    </w:rPr>
                    <w:t>1.4</w:t>
                  </w:r>
                </w:p>
              </w:tc>
              <w:tc>
                <w:tcPr>
                  <w:tcW w:w="2121" w:type="dxa"/>
                </w:tcPr>
                <w:p w14:paraId="25477519">
                  <w:pPr>
                    <w:keepNext w:val="0"/>
                    <w:keepLines w:val="0"/>
                    <w:pageBreakBefore w:val="0"/>
                    <w:widowControl/>
                    <w:kinsoku/>
                    <w:wordWrap/>
                    <w:overflowPunct/>
                    <w:topLinePunct w:val="0"/>
                    <w:autoSpaceDE/>
                    <w:autoSpaceDN/>
                    <w:bidi w:val="0"/>
                    <w:adjustRightInd/>
                    <w:snapToGrid w:val="0"/>
                    <w:spacing w:before="0" w:beforeLines="0" w:after="0" w:line="240" w:lineRule="auto"/>
                    <w:ind w:right="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500ml</w:t>
                  </w:r>
                  <w:r>
                    <w:rPr>
                      <w:rFonts w:hint="eastAsia" w:ascii="Times New Roman" w:hAnsi="Times New Roman" w:cs="Times New Roman"/>
                      <w:bCs/>
                      <w:color w:val="auto"/>
                      <w:sz w:val="21"/>
                      <w:szCs w:val="21"/>
                      <w:highlight w:val="none"/>
                      <w:lang w:val="en-US" w:eastAsia="zh-CN"/>
                    </w:rPr>
                    <w:t>/瓶</w:t>
                  </w:r>
                </w:p>
              </w:tc>
              <w:tc>
                <w:tcPr>
                  <w:tcW w:w="2122" w:type="dxa"/>
                </w:tcPr>
                <w:p w14:paraId="2BBCDD46">
                  <w:pPr>
                    <w:keepNext w:val="0"/>
                    <w:keepLines w:val="0"/>
                    <w:pageBreakBefore w:val="0"/>
                    <w:widowControl/>
                    <w:kinsoku/>
                    <w:wordWrap/>
                    <w:overflowPunct/>
                    <w:topLinePunct w:val="0"/>
                    <w:autoSpaceDE/>
                    <w:autoSpaceDN/>
                    <w:bidi w:val="0"/>
                    <w:adjustRightInd/>
                    <w:snapToGrid w:val="0"/>
                    <w:spacing w:before="0" w:beforeLines="0" w:after="0" w:line="240" w:lineRule="auto"/>
                    <w:ind w:right="0"/>
                    <w:jc w:val="center"/>
                    <w:textAlignment w:val="auto"/>
                    <w:rPr>
                      <w:rFonts w:hint="default" w:cs="Times New Roman"/>
                      <w:color w:val="auto"/>
                      <w:kern w:val="0"/>
                      <w:sz w:val="21"/>
                      <w:szCs w:val="21"/>
                      <w:highlight w:val="none"/>
                      <w:vertAlign w:val="baseline"/>
                      <w:lang w:val="en-US" w:eastAsia="zh-CN" w:bidi="ar-SA"/>
                    </w:rPr>
                  </w:pPr>
                  <w:r>
                    <w:rPr>
                      <w:rFonts w:hint="eastAsia" w:cs="Times New Roman"/>
                      <w:color w:val="auto"/>
                      <w:kern w:val="0"/>
                      <w:sz w:val="21"/>
                      <w:szCs w:val="21"/>
                      <w:highlight w:val="none"/>
                      <w:vertAlign w:val="baseline"/>
                      <w:lang w:val="en-US" w:eastAsia="zh-CN" w:bidi="ar-SA"/>
                    </w:rPr>
                    <w:t>700</w:t>
                  </w:r>
                </w:p>
              </w:tc>
            </w:tr>
          </w:tbl>
          <w:p w14:paraId="1F2D47AC">
            <w:pPr>
              <w:keepNext w:val="0"/>
              <w:keepLines w:val="0"/>
              <w:pageBreakBefore w:val="0"/>
              <w:widowControl/>
              <w:shd w:val="clear"/>
              <w:kinsoku/>
              <w:wordWrap/>
              <w:overflowPunct/>
              <w:topLinePunct w:val="0"/>
              <w:autoSpaceDE/>
              <w:autoSpaceDN/>
              <w:bidi w:val="0"/>
              <w:adjustRightInd/>
              <w:snapToGrid w:val="0"/>
              <w:spacing w:before="0" w:beforeLines="0" w:after="0" w:line="360" w:lineRule="auto"/>
              <w:ind w:right="0" w:firstLine="420" w:firstLineChars="200"/>
              <w:jc w:val="both"/>
              <w:textAlignment w:val="auto"/>
              <w:rPr>
                <w:rFonts w:hint="eastAsia"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⑥沾染化学品的废包装袋</w:t>
            </w:r>
          </w:p>
          <w:p w14:paraId="689E517F">
            <w:pPr>
              <w:keepNext w:val="0"/>
              <w:keepLines w:val="0"/>
              <w:pageBreakBefore w:val="0"/>
              <w:widowControl/>
              <w:suppressLineNumbers w:val="0"/>
              <w:kinsoku/>
              <w:wordWrap/>
              <w:overflowPunct/>
              <w:topLinePunct w:val="0"/>
              <w:autoSpaceDE/>
              <w:autoSpaceDN/>
              <w:bidi w:val="0"/>
              <w:adjustRightInd/>
              <w:snapToGrid/>
              <w:spacing w:line="360" w:lineRule="auto"/>
              <w:ind w:firstLine="420" w:firstLineChars="200"/>
              <w:jc w:val="left"/>
              <w:textAlignment w:val="auto"/>
              <w:rPr>
                <w:color w:val="auto"/>
                <w:sz w:val="21"/>
                <w:szCs w:val="21"/>
                <w:highlight w:val="none"/>
              </w:rPr>
            </w:pPr>
            <w:r>
              <w:rPr>
                <w:rFonts w:hint="eastAsia" w:cs="Times New Roman"/>
                <w:color w:val="auto"/>
                <w:kern w:val="0"/>
                <w:sz w:val="21"/>
                <w:szCs w:val="21"/>
                <w:highlight w:val="none"/>
                <w:lang w:val="en-US" w:eastAsia="zh-CN" w:bidi="ar-SA"/>
              </w:rPr>
              <w:t>项目废气处理时需要使用氢氧化钠，</w:t>
            </w:r>
            <w:r>
              <w:rPr>
                <w:rFonts w:hint="eastAsia" w:ascii="宋体" w:hAnsi="宋体" w:eastAsia="宋体" w:cs="宋体"/>
                <w:color w:val="auto"/>
                <w:kern w:val="0"/>
                <w:sz w:val="21"/>
                <w:szCs w:val="21"/>
                <w:highlight w:val="none"/>
                <w:lang w:val="en-US" w:eastAsia="zh-CN" w:bidi="ar"/>
              </w:rPr>
              <w:t>项目用于废气处理的氢氧化钠约3.15</w:t>
            </w:r>
            <w:r>
              <w:rPr>
                <w:rFonts w:hint="default" w:ascii="Times New Roman" w:hAnsi="Times New Roman" w:eastAsia="宋体" w:cs="Times New Roman"/>
                <w:color w:val="auto"/>
                <w:kern w:val="0"/>
                <w:sz w:val="21"/>
                <w:szCs w:val="21"/>
                <w:highlight w:val="none"/>
                <w:lang w:val="en-US" w:eastAsia="zh-CN" w:bidi="ar"/>
              </w:rPr>
              <w:t>t/a</w:t>
            </w:r>
            <w:r>
              <w:rPr>
                <w:rFonts w:hint="eastAsia" w:ascii="宋体" w:hAnsi="宋体" w:eastAsia="宋体" w:cs="宋体"/>
                <w:color w:val="auto"/>
                <w:kern w:val="0"/>
                <w:sz w:val="21"/>
                <w:szCs w:val="21"/>
                <w:highlight w:val="none"/>
                <w:lang w:val="en-US" w:eastAsia="zh-CN" w:bidi="ar"/>
              </w:rPr>
              <w:t>，规格为5</w:t>
            </w:r>
            <w:r>
              <w:rPr>
                <w:rFonts w:hint="default" w:ascii="Times New Roman" w:hAnsi="Times New Roman" w:eastAsia="宋体" w:cs="Times New Roman"/>
                <w:color w:val="auto"/>
                <w:kern w:val="0"/>
                <w:sz w:val="21"/>
                <w:szCs w:val="21"/>
                <w:highlight w:val="none"/>
                <w:lang w:val="en-US" w:eastAsia="zh-CN" w:bidi="ar"/>
              </w:rPr>
              <w:t>0k</w:t>
            </w:r>
            <w:r>
              <w:rPr>
                <w:rFonts w:hint="default" w:ascii="Times New Roman" w:hAnsi="Times New Roman" w:eastAsia="宋体" w:cs="Times New Roman"/>
                <w:color w:val="auto"/>
                <w:kern w:val="0"/>
                <w:sz w:val="21"/>
                <w:szCs w:val="21"/>
                <w:highlight w:val="none"/>
                <w:lang w:val="en-US" w:eastAsia="zh-CN" w:bidi="ar"/>
              </w:rPr>
              <w:t>g/</w:t>
            </w:r>
            <w:r>
              <w:rPr>
                <w:rFonts w:hint="eastAsia" w:ascii="Times New Roman" w:hAnsi="Times New Roman" w:eastAsia="宋体" w:cs="Times New Roman"/>
                <w:color w:val="auto"/>
                <w:kern w:val="0"/>
                <w:sz w:val="21"/>
                <w:szCs w:val="21"/>
                <w:highlight w:val="none"/>
                <w:lang w:val="en-US" w:eastAsia="zh-CN" w:bidi="ar"/>
              </w:rPr>
              <w:t>袋</w:t>
            </w:r>
            <w:r>
              <w:rPr>
                <w:rFonts w:hint="eastAsia" w:ascii="宋体" w:hAnsi="宋体" w:eastAsia="宋体" w:cs="宋体"/>
                <w:color w:val="auto"/>
                <w:kern w:val="0"/>
                <w:sz w:val="21"/>
                <w:szCs w:val="21"/>
                <w:highlight w:val="none"/>
                <w:lang w:val="en-US" w:eastAsia="zh-CN" w:bidi="ar"/>
              </w:rPr>
              <w:t>，平均使用65袋，每个包装袋约为</w:t>
            </w:r>
            <w:r>
              <w:rPr>
                <w:rFonts w:hint="default" w:ascii="Times New Roman" w:hAnsi="Times New Roman" w:eastAsia="宋体" w:cs="Times New Roman"/>
                <w:color w:val="auto"/>
                <w:kern w:val="0"/>
                <w:sz w:val="21"/>
                <w:szCs w:val="21"/>
                <w:highlight w:val="none"/>
                <w:lang w:val="en-US" w:eastAsia="zh-CN" w:bidi="ar"/>
              </w:rPr>
              <w:t>0.</w:t>
            </w:r>
            <w:r>
              <w:rPr>
                <w:rFonts w:hint="eastAsia" w:ascii="Times New Roman" w:hAnsi="Times New Roman" w:eastAsia="宋体" w:cs="Times New Roman"/>
                <w:color w:val="auto"/>
                <w:kern w:val="0"/>
                <w:sz w:val="21"/>
                <w:szCs w:val="21"/>
                <w:highlight w:val="none"/>
                <w:lang w:val="en-US" w:eastAsia="zh-CN" w:bidi="ar"/>
              </w:rPr>
              <w:t>2</w:t>
            </w:r>
            <w:r>
              <w:rPr>
                <w:rFonts w:hint="default" w:ascii="Times New Roman" w:hAnsi="Times New Roman" w:eastAsia="宋体" w:cs="Times New Roman"/>
                <w:color w:val="auto"/>
                <w:kern w:val="0"/>
                <w:sz w:val="21"/>
                <w:szCs w:val="21"/>
                <w:highlight w:val="none"/>
                <w:lang w:val="en-US" w:eastAsia="zh-CN" w:bidi="ar"/>
              </w:rPr>
              <w:t>kg</w:t>
            </w:r>
            <w:r>
              <w:rPr>
                <w:rFonts w:hint="eastAsia" w:ascii="宋体" w:hAnsi="宋体" w:eastAsia="宋体" w:cs="宋体"/>
                <w:color w:val="auto"/>
                <w:kern w:val="0"/>
                <w:sz w:val="21"/>
                <w:szCs w:val="21"/>
                <w:highlight w:val="none"/>
                <w:lang w:val="en-US" w:eastAsia="zh-CN" w:bidi="ar"/>
              </w:rPr>
              <w:t>，则年产生</w:t>
            </w:r>
            <w:r>
              <w:rPr>
                <w:rFonts w:hint="eastAsia" w:cs="Times New Roman"/>
                <w:color w:val="auto"/>
                <w:kern w:val="0"/>
                <w:sz w:val="21"/>
                <w:szCs w:val="21"/>
                <w:highlight w:val="none"/>
                <w:lang w:val="en-US" w:eastAsia="zh-CN" w:bidi="ar-SA"/>
              </w:rPr>
              <w:t>沾染化学品的</w:t>
            </w:r>
            <w:r>
              <w:rPr>
                <w:rFonts w:hint="eastAsia" w:ascii="宋体" w:hAnsi="宋体" w:eastAsia="宋体" w:cs="宋体"/>
                <w:color w:val="auto"/>
                <w:kern w:val="0"/>
                <w:sz w:val="21"/>
                <w:szCs w:val="21"/>
                <w:highlight w:val="none"/>
                <w:lang w:val="en-US" w:eastAsia="zh-CN" w:bidi="ar"/>
              </w:rPr>
              <w:t>废包装袋约</w:t>
            </w:r>
            <w:r>
              <w:rPr>
                <w:rFonts w:hint="default" w:ascii="Times New Roman" w:hAnsi="Times New Roman" w:eastAsia="宋体" w:cs="Times New Roman"/>
                <w:color w:val="auto"/>
                <w:kern w:val="0"/>
                <w:sz w:val="21"/>
                <w:szCs w:val="21"/>
                <w:highlight w:val="none"/>
                <w:lang w:val="en-US" w:eastAsia="zh-CN" w:bidi="ar"/>
              </w:rPr>
              <w:t>0.0</w:t>
            </w:r>
            <w:r>
              <w:rPr>
                <w:rFonts w:hint="eastAsia" w:ascii="Times New Roman" w:hAnsi="Times New Roman" w:eastAsia="宋体" w:cs="Times New Roman"/>
                <w:color w:val="auto"/>
                <w:kern w:val="0"/>
                <w:sz w:val="21"/>
                <w:szCs w:val="21"/>
                <w:highlight w:val="none"/>
                <w:lang w:val="en-US" w:eastAsia="zh-CN" w:bidi="ar"/>
              </w:rPr>
              <w:t>13</w:t>
            </w:r>
            <w:r>
              <w:rPr>
                <w:rFonts w:hint="default" w:ascii="Times New Roman" w:hAnsi="Times New Roman" w:eastAsia="宋体" w:cs="Times New Roman"/>
                <w:color w:val="auto"/>
                <w:kern w:val="0"/>
                <w:sz w:val="21"/>
                <w:szCs w:val="21"/>
                <w:highlight w:val="none"/>
                <w:lang w:val="en-US" w:eastAsia="zh-CN" w:bidi="ar"/>
              </w:rPr>
              <w:t>t/a</w:t>
            </w:r>
            <w:r>
              <w:rPr>
                <w:rFonts w:hint="eastAsia" w:ascii="宋体" w:hAnsi="宋体" w:eastAsia="宋体" w:cs="宋体"/>
                <w:color w:val="auto"/>
                <w:kern w:val="0"/>
                <w:sz w:val="21"/>
                <w:szCs w:val="21"/>
                <w:highlight w:val="none"/>
                <w:lang w:val="en-US" w:eastAsia="zh-CN" w:bidi="ar"/>
              </w:rPr>
              <w:t>。</w:t>
            </w:r>
          </w:p>
          <w:p w14:paraId="10E45DA8">
            <w:pPr>
              <w:keepNext w:val="0"/>
              <w:keepLines w:val="0"/>
              <w:pageBreakBefore w:val="0"/>
              <w:widowControl/>
              <w:shd w:val="clear"/>
              <w:kinsoku/>
              <w:wordWrap/>
              <w:overflowPunct/>
              <w:topLinePunct w:val="0"/>
              <w:autoSpaceDE/>
              <w:autoSpaceDN/>
              <w:bidi w:val="0"/>
              <w:adjustRightInd/>
              <w:snapToGrid w:val="0"/>
              <w:spacing w:before="0" w:beforeLines="0" w:after="0" w:line="360" w:lineRule="auto"/>
              <w:ind w:right="0" w:firstLine="420" w:firstLineChars="200"/>
              <w:jc w:val="both"/>
              <w:textAlignment w:val="auto"/>
              <w:rPr>
                <w:rFonts w:hint="eastAsia"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⑦废机油及其包装物</w:t>
            </w:r>
          </w:p>
          <w:p w14:paraId="54EFCD2A">
            <w:pPr>
              <w:keepNext w:val="0"/>
              <w:keepLines w:val="0"/>
              <w:pageBreakBefore w:val="0"/>
              <w:widowControl/>
              <w:suppressLineNumbers w:val="0"/>
              <w:kinsoku/>
              <w:wordWrap/>
              <w:overflowPunct/>
              <w:topLinePunct w:val="0"/>
              <w:autoSpaceDE/>
              <w:autoSpaceDN/>
              <w:bidi w:val="0"/>
              <w:adjustRightInd/>
              <w:snapToGrid/>
              <w:spacing w:line="360" w:lineRule="auto"/>
              <w:ind w:firstLine="420" w:firstLineChars="200"/>
              <w:jc w:val="left"/>
              <w:textAlignment w:val="auto"/>
              <w:rPr>
                <w:color w:val="auto"/>
                <w:sz w:val="21"/>
                <w:szCs w:val="21"/>
                <w:highlight w:val="none"/>
              </w:rPr>
            </w:pPr>
            <w:r>
              <w:rPr>
                <w:rFonts w:hint="eastAsia" w:ascii="宋体" w:hAnsi="宋体" w:eastAsia="宋体" w:cs="宋体"/>
                <w:color w:val="auto"/>
                <w:kern w:val="0"/>
                <w:sz w:val="21"/>
                <w:szCs w:val="21"/>
                <w:highlight w:val="none"/>
                <w:lang w:val="en-US" w:eastAsia="zh-CN" w:bidi="ar"/>
              </w:rPr>
              <w:t>项目生产过程使用机油约</w:t>
            </w:r>
            <w:r>
              <w:rPr>
                <w:rFonts w:hint="default" w:ascii="Times New Roman" w:hAnsi="Times New Roman" w:eastAsia="宋体" w:cs="Times New Roman"/>
                <w:color w:val="auto"/>
                <w:kern w:val="0"/>
                <w:sz w:val="21"/>
                <w:szCs w:val="21"/>
                <w:highlight w:val="none"/>
                <w:lang w:val="en-US" w:eastAsia="zh-CN" w:bidi="ar"/>
              </w:rPr>
              <w:t>0.1t/a</w:t>
            </w:r>
            <w:r>
              <w:rPr>
                <w:rFonts w:hint="eastAsia" w:ascii="宋体" w:hAnsi="宋体" w:eastAsia="宋体" w:cs="宋体"/>
                <w:color w:val="auto"/>
                <w:kern w:val="0"/>
                <w:sz w:val="21"/>
                <w:szCs w:val="21"/>
                <w:highlight w:val="none"/>
                <w:lang w:val="en-US" w:eastAsia="zh-CN" w:bidi="ar"/>
              </w:rPr>
              <w:t>，规格为</w:t>
            </w:r>
            <w:r>
              <w:rPr>
                <w:rFonts w:hint="default" w:ascii="Times New Roman" w:hAnsi="Times New Roman" w:eastAsia="宋体" w:cs="Times New Roman"/>
                <w:color w:val="auto"/>
                <w:kern w:val="0"/>
                <w:sz w:val="21"/>
                <w:szCs w:val="21"/>
                <w:highlight w:val="none"/>
                <w:lang w:val="en-US" w:eastAsia="zh-CN" w:bidi="ar"/>
              </w:rPr>
              <w:t>20kg/</w:t>
            </w:r>
            <w:r>
              <w:rPr>
                <w:rFonts w:hint="eastAsia" w:ascii="宋体" w:hAnsi="宋体" w:eastAsia="宋体" w:cs="宋体"/>
                <w:color w:val="auto"/>
                <w:kern w:val="0"/>
                <w:sz w:val="21"/>
                <w:szCs w:val="21"/>
                <w:highlight w:val="none"/>
                <w:lang w:val="en-US" w:eastAsia="zh-CN" w:bidi="ar"/>
              </w:rPr>
              <w:t>桶，年使用</w:t>
            </w:r>
            <w:r>
              <w:rPr>
                <w:rFonts w:hint="default" w:ascii="Times New Roman" w:hAnsi="Times New Roman" w:eastAsia="宋体" w:cs="Times New Roman"/>
                <w:color w:val="auto"/>
                <w:kern w:val="0"/>
                <w:sz w:val="21"/>
                <w:szCs w:val="21"/>
                <w:highlight w:val="none"/>
                <w:lang w:val="en-US" w:eastAsia="zh-CN" w:bidi="ar"/>
              </w:rPr>
              <w:t>5</w:t>
            </w:r>
            <w:r>
              <w:rPr>
                <w:rFonts w:hint="eastAsia" w:ascii="宋体" w:hAnsi="宋体" w:eastAsia="宋体" w:cs="宋体"/>
                <w:color w:val="auto"/>
                <w:kern w:val="0"/>
                <w:sz w:val="21"/>
                <w:szCs w:val="21"/>
                <w:highlight w:val="none"/>
                <w:lang w:val="en-US" w:eastAsia="zh-CN" w:bidi="ar"/>
              </w:rPr>
              <w:t>桶机油，每个包装桶约为</w:t>
            </w:r>
            <w:r>
              <w:rPr>
                <w:rFonts w:hint="default" w:ascii="Times New Roman" w:hAnsi="Times New Roman" w:eastAsia="宋体" w:cs="Times New Roman"/>
                <w:color w:val="auto"/>
                <w:kern w:val="0"/>
                <w:sz w:val="21"/>
                <w:szCs w:val="21"/>
                <w:highlight w:val="none"/>
                <w:lang w:val="en-US" w:eastAsia="zh-CN" w:bidi="ar"/>
              </w:rPr>
              <w:t>1kg</w:t>
            </w:r>
            <w:r>
              <w:rPr>
                <w:rFonts w:hint="eastAsia" w:ascii="宋体" w:hAnsi="宋体" w:eastAsia="宋体" w:cs="宋体"/>
                <w:color w:val="auto"/>
                <w:kern w:val="0"/>
                <w:sz w:val="21"/>
                <w:szCs w:val="21"/>
                <w:highlight w:val="none"/>
                <w:lang w:val="en-US" w:eastAsia="zh-CN" w:bidi="ar"/>
              </w:rPr>
              <w:t>，则年产生废机油包装物约</w:t>
            </w:r>
            <w:r>
              <w:rPr>
                <w:rFonts w:hint="default" w:ascii="Times New Roman" w:hAnsi="Times New Roman" w:eastAsia="宋体" w:cs="Times New Roman"/>
                <w:color w:val="auto"/>
                <w:kern w:val="0"/>
                <w:sz w:val="21"/>
                <w:szCs w:val="21"/>
                <w:highlight w:val="none"/>
                <w:lang w:val="en-US" w:eastAsia="zh-CN" w:bidi="ar"/>
              </w:rPr>
              <w:t>0.005t/a</w:t>
            </w:r>
            <w:r>
              <w:rPr>
                <w:rFonts w:hint="eastAsia" w:ascii="宋体" w:hAnsi="宋体" w:eastAsia="宋体" w:cs="宋体"/>
                <w:color w:val="auto"/>
                <w:kern w:val="0"/>
                <w:sz w:val="21"/>
                <w:szCs w:val="21"/>
                <w:highlight w:val="none"/>
                <w:lang w:val="en-US" w:eastAsia="zh-CN" w:bidi="ar"/>
              </w:rPr>
              <w:t>；废机油产生量按照机油使用量的</w:t>
            </w:r>
            <w:r>
              <w:rPr>
                <w:rFonts w:hint="default" w:ascii="Times New Roman" w:hAnsi="Times New Roman" w:eastAsia="宋体" w:cs="Times New Roman"/>
                <w:color w:val="auto"/>
                <w:kern w:val="0"/>
                <w:sz w:val="21"/>
                <w:szCs w:val="21"/>
                <w:highlight w:val="none"/>
                <w:lang w:val="en-US" w:eastAsia="zh-CN" w:bidi="ar"/>
              </w:rPr>
              <w:t>20%</w:t>
            </w:r>
            <w:r>
              <w:rPr>
                <w:rFonts w:hint="eastAsia" w:ascii="宋体" w:hAnsi="宋体" w:eastAsia="宋体" w:cs="宋体"/>
                <w:color w:val="auto"/>
                <w:kern w:val="0"/>
                <w:sz w:val="21"/>
                <w:szCs w:val="21"/>
                <w:highlight w:val="none"/>
                <w:lang w:val="en-US" w:eastAsia="zh-CN" w:bidi="ar"/>
              </w:rPr>
              <w:t>计算，则产生废机油约</w:t>
            </w:r>
            <w:r>
              <w:rPr>
                <w:rFonts w:hint="default" w:ascii="Times New Roman" w:hAnsi="Times New Roman" w:eastAsia="宋体" w:cs="Times New Roman"/>
                <w:color w:val="auto"/>
                <w:kern w:val="0"/>
                <w:sz w:val="21"/>
                <w:szCs w:val="21"/>
                <w:highlight w:val="none"/>
                <w:lang w:val="en-US" w:eastAsia="zh-CN" w:bidi="ar"/>
              </w:rPr>
              <w:t>0.02t/a</w:t>
            </w:r>
            <w:r>
              <w:rPr>
                <w:rFonts w:hint="eastAsia" w:ascii="宋体" w:hAnsi="宋体" w:eastAsia="宋体" w:cs="宋体"/>
                <w:color w:val="auto"/>
                <w:kern w:val="0"/>
                <w:sz w:val="21"/>
                <w:szCs w:val="21"/>
                <w:highlight w:val="none"/>
                <w:lang w:val="en-US" w:eastAsia="zh-CN" w:bidi="ar"/>
              </w:rPr>
              <w:t>，废机油及其包装物总产生量为</w:t>
            </w:r>
            <w:r>
              <w:rPr>
                <w:rFonts w:hint="default" w:ascii="Times New Roman" w:hAnsi="Times New Roman" w:eastAsia="宋体" w:cs="Times New Roman"/>
                <w:color w:val="auto"/>
                <w:kern w:val="0"/>
                <w:sz w:val="21"/>
                <w:szCs w:val="21"/>
                <w:highlight w:val="none"/>
                <w:lang w:val="en-US" w:eastAsia="zh-CN" w:bidi="ar"/>
              </w:rPr>
              <w:t>0.025t/a</w:t>
            </w:r>
            <w:r>
              <w:rPr>
                <w:rFonts w:hint="eastAsia" w:ascii="宋体" w:hAnsi="宋体" w:eastAsia="宋体" w:cs="宋体"/>
                <w:color w:val="auto"/>
                <w:kern w:val="0"/>
                <w:sz w:val="21"/>
                <w:szCs w:val="21"/>
                <w:highlight w:val="none"/>
                <w:lang w:val="en-US" w:eastAsia="zh-CN" w:bidi="ar"/>
              </w:rPr>
              <w:t>。</w:t>
            </w:r>
          </w:p>
          <w:p w14:paraId="157CAF42">
            <w:pPr>
              <w:keepNext w:val="0"/>
              <w:keepLines w:val="0"/>
              <w:pageBreakBefore w:val="0"/>
              <w:widowControl/>
              <w:suppressLineNumbers w:val="0"/>
              <w:kinsoku/>
              <w:wordWrap/>
              <w:overflowPunct/>
              <w:topLinePunct w:val="0"/>
              <w:autoSpaceDE/>
              <w:autoSpaceDN/>
              <w:bidi w:val="0"/>
              <w:adjustRightInd/>
              <w:snapToGrid/>
              <w:spacing w:line="360" w:lineRule="auto"/>
              <w:ind w:firstLine="420" w:firstLineChars="200"/>
              <w:jc w:val="left"/>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SA"/>
              </w:rPr>
              <w:t>⑧</w:t>
            </w:r>
            <w:r>
              <w:rPr>
                <w:rFonts w:hint="default" w:ascii="Times New Roman" w:hAnsi="Times New Roman" w:eastAsia="宋体" w:cs="Times New Roman"/>
                <w:color w:val="auto"/>
                <w:kern w:val="0"/>
                <w:sz w:val="21"/>
                <w:szCs w:val="21"/>
                <w:highlight w:val="none"/>
                <w:lang w:val="en-US" w:eastAsia="zh-CN" w:bidi="ar"/>
              </w:rPr>
              <w:t>废抹布及废手套：</w:t>
            </w:r>
          </w:p>
          <w:p w14:paraId="3A4C248E">
            <w:pPr>
              <w:keepNext w:val="0"/>
              <w:keepLines w:val="0"/>
              <w:pageBreakBefore w:val="0"/>
              <w:widowControl/>
              <w:suppressLineNumbers w:val="0"/>
              <w:kinsoku/>
              <w:wordWrap/>
              <w:overflowPunct/>
              <w:topLinePunct w:val="0"/>
              <w:autoSpaceDE/>
              <w:autoSpaceDN/>
              <w:bidi w:val="0"/>
              <w:adjustRightInd/>
              <w:snapToGrid/>
              <w:spacing w:line="360" w:lineRule="auto"/>
              <w:ind w:firstLine="420" w:firstLineChars="200"/>
              <w:jc w:val="left"/>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
              </w:rPr>
              <w:t>项目在生产过程中需要使用机油，此过程会产生废抹布及废手套。年使用手套223双，抹布223张，单张抹布重量约为100克，一副手套重量约为40克，则含油废抹布及废手套产生量为0.031t/a。</w:t>
            </w:r>
          </w:p>
          <w:p w14:paraId="4AF4BB43">
            <w:pPr>
              <w:keepNext w:val="0"/>
              <w:keepLines w:val="0"/>
              <w:pageBreakBefore w:val="0"/>
              <w:widowControl/>
              <w:shd w:val="clear"/>
              <w:kinsoku/>
              <w:wordWrap/>
              <w:overflowPunct/>
              <w:topLinePunct w:val="0"/>
              <w:autoSpaceDE/>
              <w:autoSpaceDN/>
              <w:bidi w:val="0"/>
              <w:adjustRightInd/>
              <w:snapToGrid w:val="0"/>
              <w:spacing w:before="0" w:beforeLines="0" w:after="0" w:line="360" w:lineRule="auto"/>
              <w:ind w:right="0" w:firstLine="420" w:firstLineChars="200"/>
              <w:jc w:val="both"/>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危险废物交由具有相关危险废物经营许可证的单位处理。</w:t>
            </w:r>
          </w:p>
          <w:p w14:paraId="53AB7F36">
            <w:pPr>
              <w:pStyle w:val="24"/>
              <w:keepNext w:val="0"/>
              <w:keepLines w:val="0"/>
              <w:pageBreakBefore w:val="0"/>
              <w:widowControl w:val="0"/>
              <w:numPr>
                <w:ilvl w:val="0"/>
                <w:numId w:val="0"/>
              </w:numPr>
              <w:shd w:val="clear"/>
              <w:kinsoku/>
              <w:wordWrap/>
              <w:overflowPunct/>
              <w:topLinePunct w:val="0"/>
              <w:autoSpaceDE/>
              <w:autoSpaceDN/>
              <w:bidi w:val="0"/>
              <w:adjustRightInd/>
              <w:snapToGrid w:val="0"/>
              <w:spacing w:after="0" w:line="240" w:lineRule="auto"/>
              <w:ind w:leftChars="0"/>
              <w:jc w:val="center"/>
              <w:textAlignment w:val="auto"/>
              <w:rPr>
                <w:rFonts w:hint="default" w:ascii="Times New Roman" w:hAnsi="Times New Roman" w:eastAsia="宋体" w:cs="Times New Roman"/>
                <w:b/>
                <w:bCs w:val="0"/>
                <w:color w:val="auto"/>
                <w:spacing w:val="-10"/>
                <w:sz w:val="24"/>
                <w:szCs w:val="24"/>
                <w:highlight w:val="none"/>
                <w:lang w:val="en-US" w:eastAsia="zh-CN"/>
              </w:rPr>
            </w:pPr>
            <w:r>
              <w:rPr>
                <w:rFonts w:hint="default" w:ascii="Times New Roman" w:hAnsi="Times New Roman" w:eastAsia="宋体" w:cs="Times New Roman"/>
                <w:b/>
                <w:bCs w:val="0"/>
                <w:color w:val="auto"/>
                <w:spacing w:val="-10"/>
                <w:sz w:val="24"/>
                <w:szCs w:val="24"/>
                <w:highlight w:val="none"/>
                <w:lang w:val="en-US" w:eastAsia="zh-CN"/>
              </w:rPr>
              <w:t>表</w:t>
            </w:r>
            <w:r>
              <w:rPr>
                <w:rFonts w:hint="eastAsia" w:cs="Times New Roman"/>
                <w:b/>
                <w:bCs w:val="0"/>
                <w:color w:val="auto"/>
                <w:spacing w:val="-10"/>
                <w:sz w:val="24"/>
                <w:szCs w:val="24"/>
                <w:highlight w:val="none"/>
                <w:lang w:val="en-US" w:eastAsia="zh-CN"/>
              </w:rPr>
              <w:t>43</w:t>
            </w:r>
            <w:r>
              <w:rPr>
                <w:rFonts w:hint="default" w:ascii="Times New Roman" w:hAnsi="Times New Roman" w:eastAsia="宋体" w:cs="Times New Roman"/>
                <w:b/>
                <w:bCs w:val="0"/>
                <w:color w:val="auto"/>
                <w:spacing w:val="-10"/>
                <w:sz w:val="24"/>
                <w:szCs w:val="24"/>
                <w:highlight w:val="none"/>
                <w:lang w:val="en-US" w:eastAsia="zh-CN"/>
              </w:rPr>
              <w:t>危险废物汇总表</w:t>
            </w:r>
          </w:p>
          <w:tbl>
            <w:tblPr>
              <w:tblStyle w:val="33"/>
              <w:tblW w:w="8097"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27"/>
              <w:gridCol w:w="636"/>
              <w:gridCol w:w="776"/>
              <w:gridCol w:w="1196"/>
              <w:gridCol w:w="794"/>
              <w:gridCol w:w="636"/>
              <w:gridCol w:w="636"/>
              <w:gridCol w:w="636"/>
              <w:gridCol w:w="636"/>
              <w:gridCol w:w="427"/>
              <w:gridCol w:w="870"/>
              <w:gridCol w:w="427"/>
            </w:tblGrid>
            <w:tr w14:paraId="7A76C4B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427" w:type="dxa"/>
                  <w:noWrap w:val="0"/>
                  <w:vAlign w:val="center"/>
                </w:tcPr>
                <w:p w14:paraId="49EBBBFF">
                  <w:pPr>
                    <w:topLinePunct/>
                    <w:adjustRightInd w:val="0"/>
                    <w:snapToGrid w:val="0"/>
                    <w:jc w:val="center"/>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序号</w:t>
                  </w:r>
                </w:p>
              </w:tc>
              <w:tc>
                <w:tcPr>
                  <w:tcW w:w="636" w:type="dxa"/>
                  <w:noWrap w:val="0"/>
                  <w:vAlign w:val="center"/>
                </w:tcPr>
                <w:p w14:paraId="4948F4B5">
                  <w:pPr>
                    <w:topLinePunct/>
                    <w:adjustRightInd w:val="0"/>
                    <w:snapToGrid w:val="0"/>
                    <w:jc w:val="center"/>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危险废物名称</w:t>
                  </w:r>
                </w:p>
              </w:tc>
              <w:tc>
                <w:tcPr>
                  <w:tcW w:w="776" w:type="dxa"/>
                  <w:noWrap w:val="0"/>
                  <w:vAlign w:val="center"/>
                </w:tcPr>
                <w:p w14:paraId="537E6FB2">
                  <w:pPr>
                    <w:topLinePunct/>
                    <w:adjustRightInd w:val="0"/>
                    <w:snapToGrid w:val="0"/>
                    <w:jc w:val="center"/>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危险废物类别</w:t>
                  </w:r>
                </w:p>
              </w:tc>
              <w:tc>
                <w:tcPr>
                  <w:tcW w:w="1196" w:type="dxa"/>
                  <w:noWrap w:val="0"/>
                  <w:vAlign w:val="center"/>
                </w:tcPr>
                <w:p w14:paraId="6A8F19D3">
                  <w:pPr>
                    <w:topLinePunct/>
                    <w:adjustRightInd w:val="0"/>
                    <w:snapToGrid w:val="0"/>
                    <w:jc w:val="center"/>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危险废物代码</w:t>
                  </w:r>
                </w:p>
              </w:tc>
              <w:tc>
                <w:tcPr>
                  <w:tcW w:w="794" w:type="dxa"/>
                  <w:noWrap w:val="0"/>
                  <w:vAlign w:val="center"/>
                </w:tcPr>
                <w:p w14:paraId="576A475B">
                  <w:pPr>
                    <w:topLinePunct/>
                    <w:adjustRightInd w:val="0"/>
                    <w:snapToGrid w:val="0"/>
                    <w:jc w:val="center"/>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产生量（吨/年）</w:t>
                  </w:r>
                </w:p>
              </w:tc>
              <w:tc>
                <w:tcPr>
                  <w:tcW w:w="636" w:type="dxa"/>
                  <w:noWrap w:val="0"/>
                  <w:vAlign w:val="center"/>
                </w:tcPr>
                <w:p w14:paraId="643E86EA">
                  <w:pPr>
                    <w:topLinePunct/>
                    <w:adjustRightInd w:val="0"/>
                    <w:snapToGrid w:val="0"/>
                    <w:jc w:val="center"/>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产生工序及装置</w:t>
                  </w:r>
                </w:p>
              </w:tc>
              <w:tc>
                <w:tcPr>
                  <w:tcW w:w="636" w:type="dxa"/>
                  <w:noWrap w:val="0"/>
                  <w:vAlign w:val="center"/>
                </w:tcPr>
                <w:p w14:paraId="345CEB9E">
                  <w:pPr>
                    <w:topLinePunct/>
                    <w:adjustRightInd w:val="0"/>
                    <w:snapToGrid w:val="0"/>
                    <w:jc w:val="center"/>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形态</w:t>
                  </w:r>
                </w:p>
              </w:tc>
              <w:tc>
                <w:tcPr>
                  <w:tcW w:w="636" w:type="dxa"/>
                  <w:noWrap w:val="0"/>
                  <w:vAlign w:val="center"/>
                </w:tcPr>
                <w:p w14:paraId="0A437390">
                  <w:pPr>
                    <w:topLinePunct/>
                    <w:adjustRightInd w:val="0"/>
                    <w:snapToGrid w:val="0"/>
                    <w:jc w:val="center"/>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主要成分</w:t>
                  </w:r>
                </w:p>
              </w:tc>
              <w:tc>
                <w:tcPr>
                  <w:tcW w:w="636" w:type="dxa"/>
                  <w:noWrap w:val="0"/>
                  <w:vAlign w:val="center"/>
                </w:tcPr>
                <w:p w14:paraId="37F3021E">
                  <w:pPr>
                    <w:topLinePunct/>
                    <w:adjustRightInd w:val="0"/>
                    <w:snapToGrid w:val="0"/>
                    <w:jc w:val="center"/>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有害成分</w:t>
                  </w:r>
                </w:p>
              </w:tc>
              <w:tc>
                <w:tcPr>
                  <w:tcW w:w="427" w:type="dxa"/>
                  <w:noWrap w:val="0"/>
                  <w:vAlign w:val="center"/>
                </w:tcPr>
                <w:p w14:paraId="5AD017DA">
                  <w:pPr>
                    <w:topLinePunct/>
                    <w:adjustRightInd w:val="0"/>
                    <w:snapToGrid w:val="0"/>
                    <w:jc w:val="center"/>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产废周期</w:t>
                  </w:r>
                </w:p>
              </w:tc>
              <w:tc>
                <w:tcPr>
                  <w:tcW w:w="870" w:type="dxa"/>
                  <w:noWrap w:val="0"/>
                  <w:vAlign w:val="center"/>
                </w:tcPr>
                <w:p w14:paraId="46B2E807">
                  <w:pPr>
                    <w:topLinePunct/>
                    <w:adjustRightInd w:val="0"/>
                    <w:snapToGrid w:val="0"/>
                    <w:jc w:val="center"/>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危险</w:t>
                  </w:r>
                </w:p>
                <w:p w14:paraId="76518BAB">
                  <w:pPr>
                    <w:topLinePunct/>
                    <w:adjustRightInd w:val="0"/>
                    <w:snapToGrid w:val="0"/>
                    <w:jc w:val="center"/>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特性</w:t>
                  </w:r>
                </w:p>
              </w:tc>
              <w:tc>
                <w:tcPr>
                  <w:tcW w:w="427" w:type="dxa"/>
                  <w:noWrap w:val="0"/>
                  <w:vAlign w:val="center"/>
                </w:tcPr>
                <w:p w14:paraId="362CC0C3">
                  <w:pPr>
                    <w:topLinePunct/>
                    <w:adjustRightInd w:val="0"/>
                    <w:snapToGrid w:val="0"/>
                    <w:jc w:val="center"/>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污染防治措施</w:t>
                  </w:r>
                </w:p>
              </w:tc>
            </w:tr>
            <w:tr w14:paraId="4472404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7" w:type="dxa"/>
                  <w:noWrap w:val="0"/>
                  <w:vAlign w:val="center"/>
                </w:tcPr>
                <w:p w14:paraId="133A2A69">
                  <w:pPr>
                    <w:topLinePunct/>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w:t>
                  </w:r>
                </w:p>
              </w:tc>
              <w:tc>
                <w:tcPr>
                  <w:tcW w:w="636" w:type="dxa"/>
                  <w:noWrap w:val="0"/>
                  <w:vAlign w:val="center"/>
                </w:tcPr>
                <w:p w14:paraId="12908B89">
                  <w:pPr>
                    <w:topLinePunct/>
                    <w:adjustRightInd w:val="0"/>
                    <w:snapToGrid w:val="0"/>
                    <w:jc w:val="center"/>
                    <w:rPr>
                      <w:rFonts w:hint="eastAsia" w:ascii="Times New Roman" w:hAnsi="Times New Roman" w:eastAsia="宋体" w:cs="Times New Roman"/>
                      <w:color w:val="auto"/>
                      <w:kern w:val="0"/>
                      <w:szCs w:val="21"/>
                      <w:highlight w:val="none"/>
                      <w:lang w:eastAsia="zh-CN"/>
                    </w:rPr>
                  </w:pPr>
                  <w:r>
                    <w:rPr>
                      <w:rFonts w:hint="default" w:ascii="Times New Roman" w:hAnsi="Times New Roman" w:cs="Times New Roman"/>
                      <w:color w:val="auto"/>
                      <w:kern w:val="0"/>
                      <w:szCs w:val="21"/>
                      <w:highlight w:val="none"/>
                    </w:rPr>
                    <w:t>实验废物</w:t>
                  </w:r>
                  <w:r>
                    <w:rPr>
                      <w:rFonts w:hint="eastAsia"/>
                      <w:color w:val="auto"/>
                      <w:highlight w:val="none"/>
                      <w:lang w:eastAsia="zh-CN"/>
                    </w:rPr>
                    <w:t>（</w:t>
                  </w:r>
                  <w:r>
                    <w:rPr>
                      <w:rFonts w:hint="eastAsia"/>
                      <w:color w:val="auto"/>
                      <w:highlight w:val="none"/>
                      <w:lang w:val="en-US" w:eastAsia="zh-CN"/>
                    </w:rPr>
                    <w:t>含废液</w:t>
                  </w:r>
                  <w:r>
                    <w:rPr>
                      <w:rFonts w:hint="eastAsia"/>
                      <w:color w:val="auto"/>
                      <w:highlight w:val="none"/>
                      <w:lang w:eastAsia="zh-CN"/>
                    </w:rPr>
                    <w:t>）</w:t>
                  </w:r>
                </w:p>
              </w:tc>
              <w:tc>
                <w:tcPr>
                  <w:tcW w:w="776" w:type="dxa"/>
                  <w:noWrap w:val="0"/>
                  <w:vAlign w:val="center"/>
                </w:tcPr>
                <w:p w14:paraId="77C554C4">
                  <w:pPr>
                    <w:topLinePunct/>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bCs/>
                      <w:color w:val="auto"/>
                      <w:szCs w:val="21"/>
                      <w:highlight w:val="none"/>
                    </w:rPr>
                    <w:t>HW49其他废物</w:t>
                  </w:r>
                </w:p>
              </w:tc>
              <w:tc>
                <w:tcPr>
                  <w:tcW w:w="1196" w:type="dxa"/>
                  <w:noWrap w:val="0"/>
                  <w:vAlign w:val="center"/>
                </w:tcPr>
                <w:p w14:paraId="1EFBFAAB">
                  <w:pPr>
                    <w:topLinePunct/>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bCs/>
                      <w:color w:val="auto"/>
                      <w:szCs w:val="21"/>
                      <w:highlight w:val="none"/>
                    </w:rPr>
                    <w:t>900-047-49</w:t>
                  </w:r>
                </w:p>
              </w:tc>
              <w:tc>
                <w:tcPr>
                  <w:tcW w:w="794" w:type="dxa"/>
                  <w:noWrap w:val="0"/>
                  <w:vAlign w:val="center"/>
                </w:tcPr>
                <w:p w14:paraId="52A63B48">
                  <w:pPr>
                    <w:topLinePunct/>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eastAsia" w:cs="Times New Roman"/>
                      <w:color w:val="auto"/>
                      <w:kern w:val="0"/>
                      <w:szCs w:val="21"/>
                      <w:highlight w:val="none"/>
                      <w:lang w:val="en-US" w:eastAsia="zh-CN"/>
                    </w:rPr>
                    <w:t>1.536</w:t>
                  </w:r>
                </w:p>
              </w:tc>
              <w:tc>
                <w:tcPr>
                  <w:tcW w:w="636" w:type="dxa"/>
                  <w:noWrap w:val="0"/>
                  <w:vAlign w:val="center"/>
                </w:tcPr>
                <w:p w14:paraId="6F15AEEC">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实验过程</w:t>
                  </w:r>
                </w:p>
              </w:tc>
              <w:tc>
                <w:tcPr>
                  <w:tcW w:w="636" w:type="dxa"/>
                  <w:noWrap w:val="0"/>
                  <w:vAlign w:val="center"/>
                </w:tcPr>
                <w:p w14:paraId="0970879D">
                  <w:pPr>
                    <w:topLinePunct/>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固</w:t>
                  </w:r>
                  <w:r>
                    <w:rPr>
                      <w:rFonts w:hint="default" w:ascii="Times New Roman" w:hAnsi="Times New Roman" w:cs="Times New Roman"/>
                      <w:color w:val="auto"/>
                      <w:szCs w:val="21"/>
                      <w:highlight w:val="none"/>
                      <w:lang w:val="en-US" w:eastAsia="zh-CN"/>
                    </w:rPr>
                    <w:t>态</w:t>
                  </w:r>
                  <w:r>
                    <w:rPr>
                      <w:rFonts w:hint="default" w:ascii="Times New Roman" w:hAnsi="Times New Roman" w:cs="Times New Roman"/>
                      <w:color w:val="auto"/>
                      <w:szCs w:val="21"/>
                      <w:highlight w:val="none"/>
                    </w:rPr>
                    <w:t>、液态</w:t>
                  </w:r>
                </w:p>
              </w:tc>
              <w:tc>
                <w:tcPr>
                  <w:tcW w:w="636" w:type="dxa"/>
                  <w:noWrap w:val="0"/>
                  <w:vAlign w:val="center"/>
                </w:tcPr>
                <w:p w14:paraId="56816F01">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rPr>
                    <w:t>实验过程中产生的实验废</w:t>
                  </w:r>
                  <w:r>
                    <w:rPr>
                      <w:rFonts w:hint="default" w:ascii="Times New Roman" w:hAnsi="Times New Roman" w:cs="Times New Roman"/>
                      <w:color w:val="auto"/>
                      <w:kern w:val="0"/>
                      <w:szCs w:val="21"/>
                      <w:highlight w:val="none"/>
                      <w:lang w:val="en-US" w:eastAsia="zh-CN"/>
                    </w:rPr>
                    <w:t>物</w:t>
                  </w:r>
                </w:p>
              </w:tc>
              <w:tc>
                <w:tcPr>
                  <w:tcW w:w="636" w:type="dxa"/>
                  <w:noWrap w:val="0"/>
                  <w:vAlign w:val="center"/>
                </w:tcPr>
                <w:p w14:paraId="2E19196C">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有机废液、一般酸碱废物、</w:t>
                  </w:r>
                  <w:r>
                    <w:rPr>
                      <w:rFonts w:hint="default" w:ascii="Times New Roman" w:hAnsi="Times New Roman" w:cs="Times New Roman"/>
                      <w:color w:val="auto"/>
                      <w:kern w:val="0"/>
                      <w:szCs w:val="21"/>
                      <w:highlight w:val="none"/>
                      <w:lang w:val="en-US" w:eastAsia="zh-CN"/>
                    </w:rPr>
                    <w:t>金属废液、</w:t>
                  </w:r>
                  <w:r>
                    <w:rPr>
                      <w:rFonts w:hint="default" w:ascii="Times New Roman" w:hAnsi="Times New Roman" w:cs="Times New Roman"/>
                      <w:color w:val="auto"/>
                      <w:kern w:val="0"/>
                      <w:szCs w:val="21"/>
                      <w:highlight w:val="none"/>
                    </w:rPr>
                    <w:t>含有毒有害物质</w:t>
                  </w:r>
                </w:p>
              </w:tc>
              <w:tc>
                <w:tcPr>
                  <w:tcW w:w="427" w:type="dxa"/>
                  <w:vMerge w:val="restart"/>
                  <w:noWrap w:val="0"/>
                  <w:vAlign w:val="center"/>
                </w:tcPr>
                <w:p w14:paraId="6D4970FA">
                  <w:pPr>
                    <w:topLinePunct/>
                    <w:adjustRightInd w:val="0"/>
                    <w:snapToGrid w:val="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Cs w:val="21"/>
                      <w:highlight w:val="none"/>
                      <w:lang w:val="en-US" w:eastAsia="zh-CN"/>
                    </w:rPr>
                    <w:t>不定期</w:t>
                  </w:r>
                </w:p>
              </w:tc>
              <w:tc>
                <w:tcPr>
                  <w:tcW w:w="870" w:type="dxa"/>
                  <w:noWrap w:val="0"/>
                  <w:vAlign w:val="center"/>
                </w:tcPr>
                <w:p w14:paraId="6AB8218D">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T/C/I/R</w:t>
                  </w:r>
                </w:p>
              </w:tc>
              <w:tc>
                <w:tcPr>
                  <w:tcW w:w="427" w:type="dxa"/>
                  <w:vMerge w:val="restart"/>
                  <w:noWrap w:val="0"/>
                  <w:vAlign w:val="center"/>
                </w:tcPr>
                <w:p w14:paraId="76AD5C2A">
                  <w:pPr>
                    <w:topLinePunct/>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交由具有相关危险废物经营许可证的单位处理</w:t>
                  </w:r>
                </w:p>
              </w:tc>
            </w:tr>
            <w:tr w14:paraId="029462A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7" w:type="dxa"/>
                  <w:noWrap w:val="0"/>
                  <w:vAlign w:val="center"/>
                </w:tcPr>
                <w:p w14:paraId="61102FF4">
                  <w:pPr>
                    <w:topLinePunct/>
                    <w:adjustRightInd w:val="0"/>
                    <w:snapToGrid w:val="0"/>
                    <w:jc w:val="center"/>
                    <w:rPr>
                      <w:rFonts w:hint="default" w:ascii="Times New Roman" w:hAnsi="Times New Roman" w:cs="Times New Roman"/>
                      <w:color w:val="auto"/>
                      <w:kern w:val="0"/>
                      <w:sz w:val="21"/>
                      <w:szCs w:val="21"/>
                      <w:highlight w:val="none"/>
                      <w:lang w:val="en-US" w:eastAsia="zh-CN" w:bidi="ar-SA"/>
                    </w:rPr>
                  </w:pPr>
                  <w:r>
                    <w:rPr>
                      <w:rFonts w:hint="default" w:ascii="Times New Roman" w:hAnsi="Times New Roman" w:cs="Times New Roman"/>
                      <w:color w:val="auto"/>
                      <w:kern w:val="0"/>
                      <w:szCs w:val="21"/>
                      <w:highlight w:val="none"/>
                    </w:rPr>
                    <w:t>2</w:t>
                  </w:r>
                </w:p>
              </w:tc>
              <w:tc>
                <w:tcPr>
                  <w:tcW w:w="636" w:type="dxa"/>
                  <w:noWrap w:val="0"/>
                  <w:vAlign w:val="center"/>
                </w:tcPr>
                <w:p w14:paraId="4FF67A0C">
                  <w:pPr>
                    <w:topLinePunct/>
                    <w:adjustRightInd w:val="0"/>
                    <w:snapToGrid w:val="0"/>
                    <w:jc w:val="center"/>
                    <w:rPr>
                      <w:rFonts w:hint="default" w:ascii="Times New Roman" w:hAnsi="Times New Roman" w:cs="Times New Roman"/>
                      <w:color w:val="auto"/>
                      <w:kern w:val="0"/>
                      <w:sz w:val="21"/>
                      <w:szCs w:val="21"/>
                      <w:highlight w:val="none"/>
                      <w:lang w:val="en-US" w:eastAsia="zh-CN" w:bidi="ar-SA"/>
                    </w:rPr>
                  </w:pPr>
                  <w:r>
                    <w:rPr>
                      <w:rFonts w:hint="default" w:ascii="Times New Roman" w:hAnsi="Times New Roman" w:cs="Times New Roman"/>
                      <w:color w:val="auto"/>
                      <w:kern w:val="0"/>
                      <w:szCs w:val="21"/>
                      <w:highlight w:val="none"/>
                    </w:rPr>
                    <w:t>废</w:t>
                  </w:r>
                  <w:r>
                    <w:rPr>
                      <w:rFonts w:hint="eastAsia" w:cs="Times New Roman"/>
                      <w:color w:val="auto"/>
                      <w:kern w:val="0"/>
                      <w:szCs w:val="21"/>
                      <w:highlight w:val="none"/>
                      <w:lang w:val="en-US" w:eastAsia="zh-CN"/>
                    </w:rPr>
                    <w:t>饱和</w:t>
                  </w:r>
                  <w:r>
                    <w:rPr>
                      <w:rFonts w:hint="default" w:ascii="Times New Roman" w:hAnsi="Times New Roman" w:cs="Times New Roman"/>
                      <w:color w:val="auto"/>
                      <w:kern w:val="0"/>
                      <w:szCs w:val="21"/>
                      <w:highlight w:val="none"/>
                    </w:rPr>
                    <w:t>活性炭</w:t>
                  </w:r>
                </w:p>
              </w:tc>
              <w:tc>
                <w:tcPr>
                  <w:tcW w:w="776" w:type="dxa"/>
                  <w:noWrap w:val="0"/>
                  <w:vAlign w:val="center"/>
                </w:tcPr>
                <w:p w14:paraId="585E3AF9">
                  <w:pPr>
                    <w:topLinePunct/>
                    <w:adjustRightInd w:val="0"/>
                    <w:snapToGrid w:val="0"/>
                    <w:jc w:val="center"/>
                    <w:rPr>
                      <w:rFonts w:hint="default" w:ascii="Times New Roman" w:hAnsi="Times New Roman" w:cs="Times New Roman"/>
                      <w:bCs/>
                      <w:color w:val="auto"/>
                      <w:kern w:val="2"/>
                      <w:sz w:val="21"/>
                      <w:szCs w:val="21"/>
                      <w:highlight w:val="none"/>
                      <w:lang w:val="en-US" w:eastAsia="zh-CN" w:bidi="ar-SA"/>
                    </w:rPr>
                  </w:pPr>
                  <w:r>
                    <w:rPr>
                      <w:rFonts w:hint="default" w:ascii="Times New Roman" w:hAnsi="Times New Roman" w:cs="Times New Roman"/>
                      <w:bCs/>
                      <w:color w:val="auto"/>
                      <w:szCs w:val="21"/>
                      <w:highlight w:val="none"/>
                    </w:rPr>
                    <w:t>HW49其他废物</w:t>
                  </w:r>
                </w:p>
              </w:tc>
              <w:tc>
                <w:tcPr>
                  <w:tcW w:w="1196" w:type="dxa"/>
                  <w:noWrap w:val="0"/>
                  <w:vAlign w:val="center"/>
                </w:tcPr>
                <w:p w14:paraId="57E56227">
                  <w:pPr>
                    <w:topLinePunct/>
                    <w:adjustRightInd w:val="0"/>
                    <w:snapToGrid w:val="0"/>
                    <w:jc w:val="center"/>
                    <w:rPr>
                      <w:rFonts w:hint="default" w:ascii="Times New Roman" w:hAnsi="Times New Roman" w:cs="Times New Roman"/>
                      <w:bCs/>
                      <w:color w:val="auto"/>
                      <w:kern w:val="2"/>
                      <w:sz w:val="21"/>
                      <w:szCs w:val="21"/>
                      <w:highlight w:val="none"/>
                      <w:lang w:val="en-US" w:eastAsia="zh-CN" w:bidi="ar-SA"/>
                    </w:rPr>
                  </w:pPr>
                  <w:r>
                    <w:rPr>
                      <w:rFonts w:hint="default" w:ascii="Times New Roman" w:hAnsi="Times New Roman" w:cs="Times New Roman"/>
                      <w:bCs/>
                      <w:color w:val="auto"/>
                      <w:szCs w:val="21"/>
                      <w:highlight w:val="none"/>
                    </w:rPr>
                    <w:t>900-039-49</w:t>
                  </w:r>
                </w:p>
              </w:tc>
              <w:tc>
                <w:tcPr>
                  <w:tcW w:w="794" w:type="dxa"/>
                  <w:noWrap w:val="0"/>
                  <w:vAlign w:val="center"/>
                </w:tcPr>
                <w:p w14:paraId="006D78E5">
                  <w:pPr>
                    <w:topLinePunct/>
                    <w:adjustRightInd w:val="0"/>
                    <w:snapToGrid w:val="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szCs w:val="21"/>
                      <w:highlight w:val="none"/>
                      <w:lang w:val="en-US" w:eastAsia="zh-CN"/>
                    </w:rPr>
                    <w:t>3.9</w:t>
                  </w:r>
                </w:p>
              </w:tc>
              <w:tc>
                <w:tcPr>
                  <w:tcW w:w="636" w:type="dxa"/>
                  <w:noWrap w:val="0"/>
                  <w:vAlign w:val="center"/>
                </w:tcPr>
                <w:p w14:paraId="2489A57F">
                  <w:pPr>
                    <w:adjustRightInd w:val="0"/>
                    <w:snapToGrid w:val="0"/>
                    <w:jc w:val="center"/>
                    <w:rPr>
                      <w:rFonts w:hint="default" w:ascii="Times New Roman" w:hAnsi="Times New Roman" w:cs="Times New Roman"/>
                      <w:color w:val="auto"/>
                      <w:kern w:val="0"/>
                      <w:sz w:val="21"/>
                      <w:szCs w:val="21"/>
                      <w:highlight w:val="none"/>
                      <w:lang w:val="en-US" w:eastAsia="zh-CN" w:bidi="ar-SA"/>
                    </w:rPr>
                  </w:pPr>
                  <w:r>
                    <w:rPr>
                      <w:rFonts w:hint="default" w:ascii="Times New Roman" w:hAnsi="Times New Roman" w:cs="Times New Roman"/>
                      <w:color w:val="auto"/>
                      <w:kern w:val="0"/>
                      <w:szCs w:val="21"/>
                      <w:highlight w:val="none"/>
                    </w:rPr>
                    <w:t>废气治理</w:t>
                  </w:r>
                </w:p>
              </w:tc>
              <w:tc>
                <w:tcPr>
                  <w:tcW w:w="636" w:type="dxa"/>
                  <w:noWrap w:val="0"/>
                  <w:vAlign w:val="center"/>
                </w:tcPr>
                <w:p w14:paraId="35297D38">
                  <w:pPr>
                    <w:topLinePunct/>
                    <w:adjustRightInd w:val="0"/>
                    <w:snapToGrid w:val="0"/>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rPr>
                    <w:t>固态</w:t>
                  </w:r>
                </w:p>
              </w:tc>
              <w:tc>
                <w:tcPr>
                  <w:tcW w:w="636" w:type="dxa"/>
                  <w:noWrap w:val="0"/>
                  <w:vAlign w:val="center"/>
                </w:tcPr>
                <w:p w14:paraId="3FABDD89">
                  <w:pPr>
                    <w:adjustRightInd w:val="0"/>
                    <w:snapToGrid w:val="0"/>
                    <w:jc w:val="center"/>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Cs w:val="21"/>
                      <w:highlight w:val="none"/>
                      <w:lang w:val="en-US" w:eastAsia="zh-CN"/>
                    </w:rPr>
                    <w:t>活性炭</w:t>
                  </w:r>
                </w:p>
              </w:tc>
              <w:tc>
                <w:tcPr>
                  <w:tcW w:w="636" w:type="dxa"/>
                  <w:noWrap w:val="0"/>
                  <w:vAlign w:val="center"/>
                </w:tcPr>
                <w:p w14:paraId="5B967DAC">
                  <w:pPr>
                    <w:adjustRightInd w:val="0"/>
                    <w:snapToGrid w:val="0"/>
                    <w:jc w:val="center"/>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Cs w:val="21"/>
                      <w:highlight w:val="none"/>
                      <w:lang w:val="en-US" w:eastAsia="zh-CN"/>
                    </w:rPr>
                    <w:t>活性炭</w:t>
                  </w:r>
                </w:p>
              </w:tc>
              <w:tc>
                <w:tcPr>
                  <w:tcW w:w="427" w:type="dxa"/>
                  <w:vMerge w:val="continue"/>
                  <w:noWrap w:val="0"/>
                  <w:vAlign w:val="center"/>
                </w:tcPr>
                <w:p w14:paraId="6B59BE83">
                  <w:pPr>
                    <w:topLinePunct/>
                    <w:adjustRightInd w:val="0"/>
                    <w:snapToGrid w:val="0"/>
                    <w:jc w:val="center"/>
                    <w:rPr>
                      <w:rFonts w:hint="default" w:ascii="Times New Roman" w:hAnsi="Times New Roman" w:cs="Times New Roman"/>
                      <w:color w:val="auto"/>
                      <w:kern w:val="0"/>
                      <w:sz w:val="21"/>
                      <w:szCs w:val="21"/>
                      <w:highlight w:val="none"/>
                      <w:lang w:val="en-US" w:eastAsia="zh-CN" w:bidi="ar-SA"/>
                    </w:rPr>
                  </w:pPr>
                </w:p>
              </w:tc>
              <w:tc>
                <w:tcPr>
                  <w:tcW w:w="870" w:type="dxa"/>
                  <w:noWrap w:val="0"/>
                  <w:vAlign w:val="center"/>
                </w:tcPr>
                <w:p w14:paraId="7C73EFD3">
                  <w:pPr>
                    <w:jc w:val="center"/>
                    <w:rPr>
                      <w:rFonts w:hint="default" w:ascii="Times New Roman" w:hAnsi="Times New Roman" w:cs="Times New Roman"/>
                      <w:color w:val="auto"/>
                      <w:kern w:val="0"/>
                      <w:sz w:val="21"/>
                      <w:szCs w:val="21"/>
                      <w:highlight w:val="none"/>
                      <w:lang w:val="en-US" w:eastAsia="zh-CN" w:bidi="ar-SA"/>
                    </w:rPr>
                  </w:pPr>
                  <w:r>
                    <w:rPr>
                      <w:rFonts w:hint="default" w:ascii="Times New Roman" w:hAnsi="Times New Roman" w:cs="Times New Roman"/>
                      <w:color w:val="auto"/>
                      <w:kern w:val="0"/>
                      <w:szCs w:val="21"/>
                      <w:highlight w:val="none"/>
                    </w:rPr>
                    <w:t>T</w:t>
                  </w:r>
                </w:p>
              </w:tc>
              <w:tc>
                <w:tcPr>
                  <w:tcW w:w="427" w:type="dxa"/>
                  <w:vMerge w:val="continue"/>
                  <w:noWrap w:val="0"/>
                  <w:vAlign w:val="center"/>
                </w:tcPr>
                <w:p w14:paraId="3931C9A1">
                  <w:pPr>
                    <w:topLinePunct/>
                    <w:adjustRightInd w:val="0"/>
                    <w:snapToGrid w:val="0"/>
                    <w:jc w:val="center"/>
                    <w:rPr>
                      <w:rFonts w:hint="default" w:ascii="Times New Roman" w:hAnsi="Times New Roman" w:cs="Times New Roman"/>
                      <w:color w:val="auto"/>
                      <w:kern w:val="0"/>
                      <w:szCs w:val="21"/>
                      <w:highlight w:val="none"/>
                    </w:rPr>
                  </w:pPr>
                </w:p>
              </w:tc>
            </w:tr>
            <w:tr w14:paraId="3C22814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7" w:type="dxa"/>
                  <w:noWrap w:val="0"/>
                  <w:vAlign w:val="center"/>
                </w:tcPr>
                <w:p w14:paraId="6A1A440D">
                  <w:pPr>
                    <w:topLinePunct/>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3</w:t>
                  </w:r>
                </w:p>
              </w:tc>
              <w:tc>
                <w:tcPr>
                  <w:tcW w:w="636" w:type="dxa"/>
                  <w:noWrap w:val="0"/>
                  <w:vAlign w:val="center"/>
                </w:tcPr>
                <w:p w14:paraId="3C66CBA8">
                  <w:pPr>
                    <w:topLinePunct/>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废灯管</w:t>
                  </w:r>
                </w:p>
              </w:tc>
              <w:tc>
                <w:tcPr>
                  <w:tcW w:w="776" w:type="dxa"/>
                  <w:noWrap w:val="0"/>
                  <w:vAlign w:val="center"/>
                </w:tcPr>
                <w:p w14:paraId="15E9CD4C">
                  <w:pPr>
                    <w:topLinePunct/>
                    <w:adjustRightInd w:val="0"/>
                    <w:snapToGrid w:val="0"/>
                    <w:jc w:val="center"/>
                    <w:rPr>
                      <w:rFonts w:hint="default" w:ascii="Times New Roman" w:hAnsi="Times New Roman" w:eastAsia="宋体" w:cs="Times New Roman"/>
                      <w:bCs/>
                      <w:color w:val="auto"/>
                      <w:szCs w:val="21"/>
                      <w:highlight w:val="none"/>
                      <w:lang w:val="en-US" w:eastAsia="zh-CN"/>
                    </w:rPr>
                  </w:pPr>
                  <w:r>
                    <w:rPr>
                      <w:rFonts w:hint="default" w:ascii="Times New Roman" w:hAnsi="Times New Roman" w:cs="Times New Roman"/>
                      <w:bCs/>
                      <w:color w:val="auto"/>
                      <w:szCs w:val="21"/>
                      <w:highlight w:val="none"/>
                      <w:lang w:val="en-US" w:eastAsia="zh-CN"/>
                    </w:rPr>
                    <w:t>HW29含汞废物</w:t>
                  </w:r>
                </w:p>
              </w:tc>
              <w:tc>
                <w:tcPr>
                  <w:tcW w:w="1196" w:type="dxa"/>
                  <w:noWrap w:val="0"/>
                  <w:vAlign w:val="center"/>
                </w:tcPr>
                <w:p w14:paraId="2D3EF8A3">
                  <w:pPr>
                    <w:topLinePunct/>
                    <w:adjustRightInd w:val="0"/>
                    <w:snapToGrid w:val="0"/>
                    <w:jc w:val="center"/>
                    <w:rPr>
                      <w:rFonts w:hint="default" w:ascii="Times New Roman" w:hAnsi="Times New Roman" w:eastAsia="宋体" w:cs="Times New Roman"/>
                      <w:bCs/>
                      <w:color w:val="auto"/>
                      <w:szCs w:val="21"/>
                      <w:highlight w:val="none"/>
                      <w:lang w:val="en-US" w:eastAsia="zh-CN"/>
                    </w:rPr>
                  </w:pPr>
                  <w:r>
                    <w:rPr>
                      <w:rFonts w:hint="default" w:ascii="Times New Roman" w:hAnsi="Times New Roman" w:cs="Times New Roman"/>
                      <w:bCs/>
                      <w:color w:val="auto"/>
                      <w:szCs w:val="21"/>
                      <w:highlight w:val="none"/>
                      <w:lang w:val="en-US" w:eastAsia="zh-CN"/>
                    </w:rPr>
                    <w:t>900-023-29</w:t>
                  </w:r>
                </w:p>
              </w:tc>
              <w:tc>
                <w:tcPr>
                  <w:tcW w:w="794" w:type="dxa"/>
                  <w:noWrap w:val="0"/>
                  <w:vAlign w:val="center"/>
                </w:tcPr>
                <w:p w14:paraId="530B8808">
                  <w:pPr>
                    <w:topLinePunct/>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0.005</w:t>
                  </w:r>
                </w:p>
              </w:tc>
              <w:tc>
                <w:tcPr>
                  <w:tcW w:w="636" w:type="dxa"/>
                  <w:noWrap w:val="0"/>
                  <w:vAlign w:val="center"/>
                </w:tcPr>
                <w:p w14:paraId="6286B694">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实验过程</w:t>
                  </w:r>
                </w:p>
              </w:tc>
              <w:tc>
                <w:tcPr>
                  <w:tcW w:w="636" w:type="dxa"/>
                  <w:noWrap w:val="0"/>
                  <w:vAlign w:val="center"/>
                </w:tcPr>
                <w:p w14:paraId="559AC3FE">
                  <w:pPr>
                    <w:topLinePunct/>
                    <w:adjustRightInd w:val="0"/>
                    <w:snapToGrid w:val="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固态</w:t>
                  </w:r>
                </w:p>
              </w:tc>
              <w:tc>
                <w:tcPr>
                  <w:tcW w:w="636" w:type="dxa"/>
                  <w:noWrap w:val="0"/>
                  <w:vAlign w:val="center"/>
                </w:tcPr>
                <w:p w14:paraId="392EA9C8">
                  <w:pPr>
                    <w:topLinePunct/>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eastAsia" w:cs="Times New Roman"/>
                      <w:color w:val="auto"/>
                      <w:kern w:val="0"/>
                      <w:szCs w:val="21"/>
                      <w:highlight w:val="none"/>
                      <w:lang w:val="en-US" w:eastAsia="zh-CN"/>
                    </w:rPr>
                    <w:t>汞</w:t>
                  </w:r>
                </w:p>
              </w:tc>
              <w:tc>
                <w:tcPr>
                  <w:tcW w:w="636" w:type="dxa"/>
                  <w:noWrap w:val="0"/>
                  <w:vAlign w:val="center"/>
                </w:tcPr>
                <w:p w14:paraId="78A92921">
                  <w:pPr>
                    <w:topLinePunct/>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eastAsia" w:cs="Times New Roman"/>
                      <w:color w:val="auto"/>
                      <w:kern w:val="0"/>
                      <w:szCs w:val="21"/>
                      <w:highlight w:val="none"/>
                      <w:lang w:val="en-US" w:eastAsia="zh-CN"/>
                    </w:rPr>
                    <w:t>汞</w:t>
                  </w:r>
                </w:p>
              </w:tc>
              <w:tc>
                <w:tcPr>
                  <w:tcW w:w="427" w:type="dxa"/>
                  <w:vMerge w:val="continue"/>
                  <w:noWrap w:val="0"/>
                  <w:vAlign w:val="center"/>
                </w:tcPr>
                <w:p w14:paraId="39C13A6A">
                  <w:pPr>
                    <w:topLinePunct/>
                    <w:adjustRightInd w:val="0"/>
                    <w:snapToGrid w:val="0"/>
                    <w:jc w:val="center"/>
                    <w:rPr>
                      <w:rFonts w:hint="default" w:ascii="Times New Roman" w:hAnsi="Times New Roman" w:eastAsia="宋体" w:cs="Times New Roman"/>
                      <w:color w:val="auto"/>
                      <w:kern w:val="0"/>
                      <w:szCs w:val="21"/>
                      <w:highlight w:val="none"/>
                      <w:lang w:val="en-US" w:eastAsia="zh-CN"/>
                    </w:rPr>
                  </w:pPr>
                </w:p>
              </w:tc>
              <w:tc>
                <w:tcPr>
                  <w:tcW w:w="870" w:type="dxa"/>
                  <w:noWrap w:val="0"/>
                  <w:vAlign w:val="center"/>
                </w:tcPr>
                <w:p w14:paraId="5363C6A8">
                  <w:pPr>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T</w:t>
                  </w:r>
                </w:p>
              </w:tc>
              <w:tc>
                <w:tcPr>
                  <w:tcW w:w="427" w:type="dxa"/>
                  <w:vMerge w:val="continue"/>
                  <w:noWrap w:val="0"/>
                  <w:vAlign w:val="center"/>
                </w:tcPr>
                <w:p w14:paraId="3BAE64D2">
                  <w:pPr>
                    <w:topLinePunct/>
                    <w:adjustRightInd w:val="0"/>
                    <w:snapToGrid w:val="0"/>
                    <w:jc w:val="center"/>
                    <w:rPr>
                      <w:rFonts w:hint="default" w:ascii="Times New Roman" w:hAnsi="Times New Roman" w:cs="Times New Roman"/>
                      <w:color w:val="auto"/>
                      <w:kern w:val="0"/>
                      <w:szCs w:val="21"/>
                      <w:highlight w:val="none"/>
                    </w:rPr>
                  </w:pPr>
                </w:p>
              </w:tc>
            </w:tr>
            <w:tr w14:paraId="396D207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454" w:hRule="atLeast"/>
                <w:jc w:val="center"/>
              </w:trPr>
              <w:tc>
                <w:tcPr>
                  <w:tcW w:w="427" w:type="dxa"/>
                  <w:noWrap w:val="0"/>
                  <w:vAlign w:val="center"/>
                </w:tcPr>
                <w:p w14:paraId="17AE7D77">
                  <w:pPr>
                    <w:topLinePunct/>
                    <w:adjustRightInd w:val="0"/>
                    <w:snapToGrid w:val="0"/>
                    <w:jc w:val="center"/>
                    <w:rPr>
                      <w:rFonts w:hint="default" w:ascii="Times New Roman" w:hAnsi="Times New Roman" w:cs="Times New Roman"/>
                      <w:color w:val="auto"/>
                      <w:kern w:val="0"/>
                      <w:sz w:val="21"/>
                      <w:szCs w:val="21"/>
                      <w:highlight w:val="none"/>
                      <w:lang w:val="en-US" w:eastAsia="zh-CN" w:bidi="ar-SA"/>
                    </w:rPr>
                  </w:pPr>
                  <w:r>
                    <w:rPr>
                      <w:rFonts w:hint="default" w:ascii="Times New Roman" w:hAnsi="Times New Roman" w:cs="Times New Roman"/>
                      <w:color w:val="auto"/>
                      <w:kern w:val="0"/>
                      <w:szCs w:val="21"/>
                      <w:highlight w:val="none"/>
                      <w:lang w:val="en-US" w:eastAsia="zh-CN"/>
                    </w:rPr>
                    <w:t>4</w:t>
                  </w:r>
                </w:p>
              </w:tc>
              <w:tc>
                <w:tcPr>
                  <w:tcW w:w="636" w:type="dxa"/>
                  <w:noWrap w:val="0"/>
                  <w:vAlign w:val="center"/>
                </w:tcPr>
                <w:p w14:paraId="69A91B2D">
                  <w:pPr>
                    <w:topLinePunct/>
                    <w:adjustRightInd w:val="0"/>
                    <w:snapToGrid w:val="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危废样品废物</w:t>
                  </w:r>
                </w:p>
              </w:tc>
              <w:tc>
                <w:tcPr>
                  <w:tcW w:w="776" w:type="dxa"/>
                  <w:noWrap w:val="0"/>
                  <w:vAlign w:val="center"/>
                </w:tcPr>
                <w:p w14:paraId="08C4497E">
                  <w:pPr>
                    <w:topLinePunct/>
                    <w:adjustRightInd w:val="0"/>
                    <w:snapToGrid w:val="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Cs w:val="21"/>
                      <w:highlight w:val="none"/>
                      <w:lang w:val="en-US" w:eastAsia="zh-CN"/>
                    </w:rPr>
                    <w:t>HW49其他废物</w:t>
                  </w:r>
                </w:p>
              </w:tc>
              <w:tc>
                <w:tcPr>
                  <w:tcW w:w="1196" w:type="dxa"/>
                  <w:noWrap w:val="0"/>
                  <w:vAlign w:val="center"/>
                </w:tcPr>
                <w:p w14:paraId="2D4CFB33">
                  <w:pPr>
                    <w:topLinePunct/>
                    <w:adjustRightInd w:val="0"/>
                    <w:snapToGrid w:val="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Cs w:val="21"/>
                      <w:highlight w:val="none"/>
                      <w:lang w:val="en-US" w:eastAsia="zh-CN"/>
                    </w:rPr>
                    <w:t>900-047-49</w:t>
                  </w:r>
                </w:p>
              </w:tc>
              <w:tc>
                <w:tcPr>
                  <w:tcW w:w="794" w:type="dxa"/>
                  <w:noWrap w:val="0"/>
                  <w:vAlign w:val="center"/>
                </w:tcPr>
                <w:p w14:paraId="3B5BE682">
                  <w:pPr>
                    <w:topLinePunct/>
                    <w:adjustRightInd w:val="0"/>
                    <w:snapToGrid w:val="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Cs w:val="21"/>
                      <w:highlight w:val="none"/>
                      <w:lang w:val="en-US" w:eastAsia="zh-CN"/>
                    </w:rPr>
                    <w:t>0.</w:t>
                  </w:r>
                  <w:r>
                    <w:rPr>
                      <w:rFonts w:hint="eastAsia" w:cs="Times New Roman"/>
                      <w:color w:val="auto"/>
                      <w:kern w:val="0"/>
                      <w:szCs w:val="21"/>
                      <w:highlight w:val="none"/>
                      <w:lang w:val="en-US" w:eastAsia="zh-CN"/>
                    </w:rPr>
                    <w:t>56</w:t>
                  </w:r>
                </w:p>
              </w:tc>
              <w:tc>
                <w:tcPr>
                  <w:tcW w:w="636" w:type="dxa"/>
                  <w:noWrap w:val="0"/>
                  <w:vAlign w:val="center"/>
                </w:tcPr>
                <w:p w14:paraId="220185D5">
                  <w:pPr>
                    <w:topLinePunct/>
                    <w:adjustRightInd w:val="0"/>
                    <w:snapToGrid w:val="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Cs w:val="21"/>
                      <w:highlight w:val="none"/>
                      <w:lang w:val="en-US" w:eastAsia="zh-CN"/>
                    </w:rPr>
                    <w:t>实验过程</w:t>
                  </w:r>
                </w:p>
              </w:tc>
              <w:tc>
                <w:tcPr>
                  <w:tcW w:w="636" w:type="dxa"/>
                  <w:noWrap w:val="0"/>
                  <w:vAlign w:val="center"/>
                </w:tcPr>
                <w:p w14:paraId="4E80B591">
                  <w:pPr>
                    <w:topLinePunct/>
                    <w:adjustRightInd w:val="0"/>
                    <w:snapToGrid w:val="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Cs w:val="21"/>
                      <w:highlight w:val="none"/>
                      <w:lang w:val="en-US" w:eastAsia="zh-CN"/>
                    </w:rPr>
                    <w:t>固态、液态</w:t>
                  </w:r>
                </w:p>
              </w:tc>
              <w:tc>
                <w:tcPr>
                  <w:tcW w:w="636" w:type="dxa"/>
                  <w:noWrap w:val="0"/>
                  <w:vAlign w:val="center"/>
                </w:tcPr>
                <w:p w14:paraId="7A8B2E1E">
                  <w:pPr>
                    <w:topLinePunct/>
                    <w:adjustRightInd w:val="0"/>
                    <w:snapToGrid w:val="0"/>
                    <w:jc w:val="center"/>
                    <w:rPr>
                      <w:rFonts w:hint="default" w:ascii="Times New Roman" w:hAnsi="Times New Roman" w:eastAsia="宋体" w:cs="Times New Roman"/>
                      <w:color w:val="auto"/>
                      <w:kern w:val="0"/>
                      <w:sz w:val="21"/>
                      <w:szCs w:val="21"/>
                      <w:highlight w:val="none"/>
                      <w:lang w:val="en-US" w:eastAsia="zh-CN" w:bidi="ar-SA"/>
                    </w:rPr>
                  </w:pPr>
                  <w:r>
                    <w:rPr>
                      <w:rFonts w:ascii="宋体" w:hAnsi="宋体" w:eastAsia="宋体" w:cs="宋体"/>
                      <w:color w:val="auto"/>
                      <w:sz w:val="21"/>
                      <w:szCs w:val="21"/>
                      <w:highlight w:val="none"/>
                    </w:rPr>
                    <w:t>废有机溶剂、废无机溶液、废酸、废碱等</w:t>
                  </w:r>
                </w:p>
              </w:tc>
              <w:tc>
                <w:tcPr>
                  <w:tcW w:w="636" w:type="dxa"/>
                  <w:noWrap w:val="0"/>
                  <w:vAlign w:val="center"/>
                </w:tcPr>
                <w:p w14:paraId="4EA789B4">
                  <w:pPr>
                    <w:topLinePunct/>
                    <w:adjustRightInd w:val="0"/>
                    <w:snapToGrid w:val="0"/>
                    <w:jc w:val="center"/>
                    <w:rPr>
                      <w:rFonts w:hint="default" w:ascii="Times New Roman" w:hAnsi="Times New Roman" w:eastAsia="宋体" w:cs="Times New Roman"/>
                      <w:color w:val="auto"/>
                      <w:kern w:val="0"/>
                      <w:sz w:val="21"/>
                      <w:szCs w:val="21"/>
                      <w:highlight w:val="none"/>
                      <w:lang w:val="en-US" w:eastAsia="zh-CN" w:bidi="ar-SA"/>
                    </w:rPr>
                  </w:pPr>
                  <w:r>
                    <w:rPr>
                      <w:rFonts w:ascii="宋体" w:hAnsi="宋体" w:eastAsia="宋体" w:cs="宋体"/>
                      <w:color w:val="auto"/>
                      <w:sz w:val="21"/>
                      <w:szCs w:val="21"/>
                      <w:highlight w:val="none"/>
                    </w:rPr>
                    <w:t>废有机溶剂、废无机溶液、废酸、废碱等</w:t>
                  </w:r>
                </w:p>
              </w:tc>
              <w:tc>
                <w:tcPr>
                  <w:tcW w:w="427" w:type="dxa"/>
                  <w:vMerge w:val="continue"/>
                  <w:noWrap w:val="0"/>
                  <w:vAlign w:val="center"/>
                </w:tcPr>
                <w:p w14:paraId="7D17BE7A">
                  <w:pPr>
                    <w:topLinePunct/>
                    <w:adjustRightInd w:val="0"/>
                    <w:snapToGrid w:val="0"/>
                    <w:jc w:val="center"/>
                    <w:rPr>
                      <w:rFonts w:hint="default" w:ascii="Times New Roman" w:hAnsi="Times New Roman" w:eastAsia="宋体" w:cs="Times New Roman"/>
                      <w:color w:val="auto"/>
                      <w:kern w:val="0"/>
                      <w:sz w:val="21"/>
                      <w:szCs w:val="21"/>
                      <w:highlight w:val="none"/>
                      <w:lang w:val="en-US" w:eastAsia="zh-CN" w:bidi="ar-SA"/>
                    </w:rPr>
                  </w:pPr>
                </w:p>
              </w:tc>
              <w:tc>
                <w:tcPr>
                  <w:tcW w:w="870" w:type="dxa"/>
                  <w:noWrap w:val="0"/>
                  <w:vAlign w:val="center"/>
                </w:tcPr>
                <w:p w14:paraId="4A0C67E5">
                  <w:pPr>
                    <w:topLinePunct/>
                    <w:adjustRightInd w:val="0"/>
                    <w:snapToGrid w:val="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Cs w:val="21"/>
                      <w:highlight w:val="none"/>
                      <w:lang w:val="en-US" w:eastAsia="zh-CN"/>
                    </w:rPr>
                    <w:t>T/C/I/R</w:t>
                  </w:r>
                </w:p>
              </w:tc>
              <w:tc>
                <w:tcPr>
                  <w:tcW w:w="427" w:type="dxa"/>
                  <w:vMerge w:val="continue"/>
                  <w:noWrap w:val="0"/>
                  <w:vAlign w:val="center"/>
                </w:tcPr>
                <w:p w14:paraId="50FD4134">
                  <w:pPr>
                    <w:topLinePunct/>
                    <w:adjustRightInd w:val="0"/>
                    <w:snapToGrid w:val="0"/>
                    <w:jc w:val="center"/>
                    <w:rPr>
                      <w:rFonts w:hint="default" w:ascii="Times New Roman" w:hAnsi="Times New Roman" w:cs="Times New Roman"/>
                      <w:color w:val="auto"/>
                      <w:kern w:val="0"/>
                      <w:szCs w:val="21"/>
                      <w:highlight w:val="none"/>
                    </w:rPr>
                  </w:pPr>
                </w:p>
              </w:tc>
            </w:tr>
            <w:tr w14:paraId="48257C4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7" w:type="dxa"/>
                  <w:noWrap w:val="0"/>
                  <w:vAlign w:val="center"/>
                </w:tcPr>
                <w:p w14:paraId="5201450C">
                  <w:pPr>
                    <w:topLinePunct/>
                    <w:adjustRightInd w:val="0"/>
                    <w:snapToGrid w:val="0"/>
                    <w:jc w:val="center"/>
                    <w:rPr>
                      <w:rFonts w:hint="default" w:ascii="Times New Roman" w:hAnsi="Times New Roman" w:cs="Times New Roman"/>
                      <w:color w:val="auto"/>
                      <w:kern w:val="0"/>
                      <w:szCs w:val="21"/>
                      <w:highlight w:val="none"/>
                      <w:lang w:val="en-US" w:eastAsia="zh-CN"/>
                    </w:rPr>
                  </w:pPr>
                  <w:r>
                    <w:rPr>
                      <w:rFonts w:hint="eastAsia" w:cs="Times New Roman"/>
                      <w:color w:val="auto"/>
                      <w:kern w:val="0"/>
                      <w:szCs w:val="21"/>
                      <w:highlight w:val="none"/>
                      <w:lang w:val="en-US" w:eastAsia="zh-CN"/>
                    </w:rPr>
                    <w:t>5</w:t>
                  </w:r>
                </w:p>
              </w:tc>
              <w:tc>
                <w:tcPr>
                  <w:tcW w:w="636" w:type="dxa"/>
                  <w:noWrap w:val="0"/>
                  <w:vAlign w:val="center"/>
                </w:tcPr>
                <w:p w14:paraId="4EE48012">
                  <w:pPr>
                    <w:topLinePunct/>
                    <w:adjustRightInd w:val="0"/>
                    <w:snapToGrid w:val="0"/>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废试剂瓶</w:t>
                  </w:r>
                </w:p>
              </w:tc>
              <w:tc>
                <w:tcPr>
                  <w:tcW w:w="776" w:type="dxa"/>
                  <w:noWrap w:val="0"/>
                  <w:vAlign w:val="center"/>
                </w:tcPr>
                <w:p w14:paraId="259F7F76">
                  <w:pPr>
                    <w:topLinePunct/>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HW49其他废物</w:t>
                  </w:r>
                </w:p>
              </w:tc>
              <w:tc>
                <w:tcPr>
                  <w:tcW w:w="1196" w:type="dxa"/>
                  <w:noWrap w:val="0"/>
                  <w:vAlign w:val="center"/>
                </w:tcPr>
                <w:p w14:paraId="3C7BA122">
                  <w:pPr>
                    <w:topLinePunct/>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900-047-49</w:t>
                  </w:r>
                </w:p>
              </w:tc>
              <w:tc>
                <w:tcPr>
                  <w:tcW w:w="794" w:type="dxa"/>
                  <w:noWrap w:val="0"/>
                  <w:vAlign w:val="center"/>
                </w:tcPr>
                <w:p w14:paraId="406A61A2">
                  <w:pPr>
                    <w:topLinePunct/>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eastAsia" w:cs="Times New Roman"/>
                      <w:color w:val="auto"/>
                      <w:kern w:val="0"/>
                      <w:szCs w:val="21"/>
                      <w:highlight w:val="none"/>
                      <w:lang w:val="en-US" w:eastAsia="zh-CN"/>
                    </w:rPr>
                    <w:t>0.0326</w:t>
                  </w:r>
                </w:p>
              </w:tc>
              <w:tc>
                <w:tcPr>
                  <w:tcW w:w="636" w:type="dxa"/>
                  <w:noWrap w:val="0"/>
                  <w:vAlign w:val="center"/>
                </w:tcPr>
                <w:p w14:paraId="5F0BD275">
                  <w:pPr>
                    <w:topLinePunct/>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实验过程</w:t>
                  </w:r>
                </w:p>
              </w:tc>
              <w:tc>
                <w:tcPr>
                  <w:tcW w:w="636" w:type="dxa"/>
                  <w:noWrap w:val="0"/>
                  <w:vAlign w:val="center"/>
                </w:tcPr>
                <w:p w14:paraId="67BE280B">
                  <w:pPr>
                    <w:topLinePunct/>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固态</w:t>
                  </w:r>
                </w:p>
              </w:tc>
              <w:tc>
                <w:tcPr>
                  <w:tcW w:w="636" w:type="dxa"/>
                  <w:noWrap w:val="0"/>
                  <w:vAlign w:val="center"/>
                </w:tcPr>
                <w:p w14:paraId="75C81B4C">
                  <w:pPr>
                    <w:topLinePunct/>
                    <w:adjustRightInd w:val="0"/>
                    <w:snapToGrid w:val="0"/>
                    <w:jc w:val="center"/>
                    <w:rPr>
                      <w:rFonts w:hint="default" w:ascii="Times New Roman" w:hAnsi="Times New Roman" w:eastAsia="宋体" w:cs="Times New Roman"/>
                      <w:color w:val="auto"/>
                      <w:kern w:val="0"/>
                      <w:szCs w:val="21"/>
                      <w:highlight w:val="none"/>
                      <w:lang w:val="en-US" w:eastAsia="zh-CN"/>
                    </w:rPr>
                  </w:pPr>
                  <w:r>
                    <w:rPr>
                      <w:rFonts w:ascii="宋体" w:hAnsi="宋体" w:eastAsia="宋体" w:cs="宋体"/>
                      <w:color w:val="auto"/>
                      <w:sz w:val="21"/>
                      <w:szCs w:val="21"/>
                      <w:highlight w:val="none"/>
                    </w:rPr>
                    <w:t>废有机溶剂、废无机溶液、废酸、废碱等</w:t>
                  </w:r>
                </w:p>
              </w:tc>
              <w:tc>
                <w:tcPr>
                  <w:tcW w:w="636" w:type="dxa"/>
                  <w:noWrap w:val="0"/>
                  <w:vAlign w:val="center"/>
                </w:tcPr>
                <w:p w14:paraId="01655EB3">
                  <w:pPr>
                    <w:topLinePunct/>
                    <w:adjustRightInd w:val="0"/>
                    <w:snapToGrid w:val="0"/>
                    <w:jc w:val="center"/>
                    <w:rPr>
                      <w:rFonts w:hint="default" w:ascii="Times New Roman" w:hAnsi="Times New Roman" w:eastAsia="宋体" w:cs="Times New Roman"/>
                      <w:color w:val="auto"/>
                      <w:kern w:val="0"/>
                      <w:szCs w:val="21"/>
                      <w:highlight w:val="none"/>
                      <w:lang w:val="en-US" w:eastAsia="zh-CN"/>
                    </w:rPr>
                  </w:pPr>
                  <w:r>
                    <w:rPr>
                      <w:rFonts w:ascii="宋体" w:hAnsi="宋体" w:eastAsia="宋体" w:cs="宋体"/>
                      <w:color w:val="auto"/>
                      <w:sz w:val="21"/>
                      <w:szCs w:val="21"/>
                      <w:highlight w:val="none"/>
                    </w:rPr>
                    <w:t>废有机溶剂、废无机溶液、废酸、废碱等</w:t>
                  </w:r>
                </w:p>
              </w:tc>
              <w:tc>
                <w:tcPr>
                  <w:tcW w:w="427" w:type="dxa"/>
                  <w:vMerge w:val="continue"/>
                  <w:noWrap w:val="0"/>
                  <w:vAlign w:val="center"/>
                </w:tcPr>
                <w:p w14:paraId="10E1EE6E">
                  <w:pPr>
                    <w:topLinePunct/>
                    <w:adjustRightInd w:val="0"/>
                    <w:snapToGrid w:val="0"/>
                    <w:jc w:val="center"/>
                    <w:rPr>
                      <w:rFonts w:hint="default" w:ascii="Times New Roman" w:hAnsi="Times New Roman" w:eastAsia="宋体" w:cs="Times New Roman"/>
                      <w:color w:val="auto"/>
                      <w:kern w:val="0"/>
                      <w:szCs w:val="21"/>
                      <w:highlight w:val="none"/>
                      <w:lang w:val="en-US" w:eastAsia="zh-CN"/>
                    </w:rPr>
                  </w:pPr>
                </w:p>
              </w:tc>
              <w:tc>
                <w:tcPr>
                  <w:tcW w:w="870" w:type="dxa"/>
                  <w:noWrap w:val="0"/>
                  <w:vAlign w:val="center"/>
                </w:tcPr>
                <w:p w14:paraId="17031E25">
                  <w:pPr>
                    <w:keepNext w:val="0"/>
                    <w:keepLines w:val="0"/>
                    <w:widowControl/>
                    <w:suppressLineNumbers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 w:val="20"/>
                      <w:szCs w:val="20"/>
                      <w:highlight w:val="none"/>
                      <w:lang w:val="en-US" w:eastAsia="zh-CN" w:bidi="ar"/>
                    </w:rPr>
                    <w:t>T/In</w:t>
                  </w:r>
                </w:p>
              </w:tc>
              <w:tc>
                <w:tcPr>
                  <w:tcW w:w="427" w:type="dxa"/>
                  <w:vMerge w:val="continue"/>
                  <w:noWrap w:val="0"/>
                  <w:vAlign w:val="center"/>
                </w:tcPr>
                <w:p w14:paraId="479C9730">
                  <w:pPr>
                    <w:topLinePunct/>
                    <w:adjustRightInd w:val="0"/>
                    <w:snapToGrid w:val="0"/>
                    <w:jc w:val="center"/>
                    <w:rPr>
                      <w:rFonts w:hint="default" w:ascii="Times New Roman" w:hAnsi="Times New Roman" w:cs="Times New Roman"/>
                      <w:color w:val="auto"/>
                      <w:kern w:val="0"/>
                      <w:szCs w:val="21"/>
                      <w:highlight w:val="none"/>
                    </w:rPr>
                  </w:pPr>
                </w:p>
              </w:tc>
            </w:tr>
            <w:tr w14:paraId="271E278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7" w:type="dxa"/>
                  <w:noWrap w:val="0"/>
                  <w:vAlign w:val="center"/>
                </w:tcPr>
                <w:p w14:paraId="2EE9DD1D">
                  <w:pPr>
                    <w:topLinePunct/>
                    <w:adjustRightInd w:val="0"/>
                    <w:snapToGrid w:val="0"/>
                    <w:jc w:val="center"/>
                    <w:rPr>
                      <w:rFonts w:hint="default" w:cs="Times New Roman"/>
                      <w:color w:val="auto"/>
                      <w:kern w:val="0"/>
                      <w:szCs w:val="21"/>
                      <w:highlight w:val="none"/>
                      <w:lang w:val="en-US" w:eastAsia="zh-CN"/>
                    </w:rPr>
                  </w:pPr>
                  <w:r>
                    <w:rPr>
                      <w:rFonts w:hint="eastAsia" w:cs="Times New Roman"/>
                      <w:color w:val="auto"/>
                      <w:kern w:val="0"/>
                      <w:szCs w:val="21"/>
                      <w:highlight w:val="none"/>
                      <w:lang w:val="en-US" w:eastAsia="zh-CN"/>
                    </w:rPr>
                    <w:t>6</w:t>
                  </w:r>
                </w:p>
              </w:tc>
              <w:tc>
                <w:tcPr>
                  <w:tcW w:w="636" w:type="dxa"/>
                  <w:noWrap w:val="0"/>
                  <w:vAlign w:val="center"/>
                </w:tcPr>
                <w:p w14:paraId="622B0357">
                  <w:pPr>
                    <w:topLinePunct/>
                    <w:adjustRightInd w:val="0"/>
                    <w:snapToGrid w:val="0"/>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沾染化学品的废包装袋</w:t>
                  </w:r>
                </w:p>
              </w:tc>
              <w:tc>
                <w:tcPr>
                  <w:tcW w:w="776" w:type="dxa"/>
                  <w:noWrap w:val="0"/>
                  <w:vAlign w:val="center"/>
                </w:tcPr>
                <w:p w14:paraId="63D14B78">
                  <w:pPr>
                    <w:topLinePunct/>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HW49其他废物</w:t>
                  </w:r>
                </w:p>
              </w:tc>
              <w:tc>
                <w:tcPr>
                  <w:tcW w:w="1196" w:type="dxa"/>
                  <w:noWrap w:val="0"/>
                  <w:vAlign w:val="center"/>
                </w:tcPr>
                <w:p w14:paraId="126617F7">
                  <w:pPr>
                    <w:keepNext w:val="0"/>
                    <w:keepLines w:val="0"/>
                    <w:widowControl/>
                    <w:suppressLineNumbers w:val="0"/>
                    <w:jc w:val="left"/>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 w:val="20"/>
                      <w:szCs w:val="20"/>
                      <w:highlight w:val="none"/>
                      <w:lang w:val="en-US" w:eastAsia="zh-CN" w:bidi="ar"/>
                    </w:rPr>
                    <w:t>900-041-49</w:t>
                  </w:r>
                </w:p>
              </w:tc>
              <w:tc>
                <w:tcPr>
                  <w:tcW w:w="794" w:type="dxa"/>
                  <w:noWrap w:val="0"/>
                  <w:vAlign w:val="center"/>
                </w:tcPr>
                <w:p w14:paraId="34BD3185">
                  <w:pPr>
                    <w:topLinePunct/>
                    <w:adjustRightInd w:val="0"/>
                    <w:snapToGrid w:val="0"/>
                    <w:jc w:val="center"/>
                    <w:rPr>
                      <w:rFonts w:hint="default" w:cs="Times New Roman"/>
                      <w:color w:val="auto"/>
                      <w:kern w:val="0"/>
                      <w:szCs w:val="21"/>
                      <w:highlight w:val="none"/>
                      <w:lang w:val="en-US" w:eastAsia="zh-CN"/>
                    </w:rPr>
                  </w:pPr>
                  <w:r>
                    <w:rPr>
                      <w:rFonts w:hint="eastAsia" w:cs="Times New Roman"/>
                      <w:color w:val="auto"/>
                      <w:kern w:val="0"/>
                      <w:szCs w:val="21"/>
                      <w:highlight w:val="none"/>
                      <w:lang w:val="en-US" w:eastAsia="zh-CN"/>
                    </w:rPr>
                    <w:t>0.013</w:t>
                  </w:r>
                </w:p>
              </w:tc>
              <w:tc>
                <w:tcPr>
                  <w:tcW w:w="636" w:type="dxa"/>
                  <w:noWrap w:val="0"/>
                  <w:vAlign w:val="center"/>
                </w:tcPr>
                <w:p w14:paraId="07A75C8D">
                  <w:pPr>
                    <w:topLinePunct/>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eastAsia" w:cs="Times New Roman"/>
                      <w:color w:val="auto"/>
                      <w:kern w:val="0"/>
                      <w:szCs w:val="21"/>
                      <w:highlight w:val="none"/>
                      <w:lang w:val="en-US" w:eastAsia="zh-CN"/>
                    </w:rPr>
                    <w:t>废气治理</w:t>
                  </w:r>
                </w:p>
              </w:tc>
              <w:tc>
                <w:tcPr>
                  <w:tcW w:w="636" w:type="dxa"/>
                  <w:noWrap w:val="0"/>
                  <w:vAlign w:val="center"/>
                </w:tcPr>
                <w:p w14:paraId="6153797F">
                  <w:pPr>
                    <w:topLinePunct/>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eastAsia" w:cs="Times New Roman"/>
                      <w:color w:val="auto"/>
                      <w:kern w:val="0"/>
                      <w:szCs w:val="21"/>
                      <w:highlight w:val="none"/>
                      <w:lang w:val="en-US" w:eastAsia="zh-CN"/>
                    </w:rPr>
                    <w:t>固态</w:t>
                  </w:r>
                </w:p>
              </w:tc>
              <w:tc>
                <w:tcPr>
                  <w:tcW w:w="636" w:type="dxa"/>
                  <w:noWrap w:val="0"/>
                  <w:vAlign w:val="center"/>
                </w:tcPr>
                <w:p w14:paraId="6D1B0665">
                  <w:pPr>
                    <w:topLinePunct/>
                    <w:adjustRightInd w:val="0"/>
                    <w:snapToGrid w:val="0"/>
                    <w:jc w:val="center"/>
                    <w:rPr>
                      <w:rFonts w:hint="eastAsia" w:ascii="宋体" w:hAnsi="宋体" w:eastAsia="宋体" w:cs="宋体"/>
                      <w:color w:val="auto"/>
                      <w:sz w:val="21"/>
                      <w:szCs w:val="21"/>
                      <w:highlight w:val="none"/>
                      <w:lang w:val="en-US" w:eastAsia="zh-CN"/>
                    </w:rPr>
                  </w:pPr>
                  <w:r>
                    <w:rPr>
                      <w:rFonts w:hint="eastAsia" w:ascii="宋体" w:hAnsi="宋体" w:cs="宋体"/>
                      <w:color w:val="auto"/>
                      <w:sz w:val="21"/>
                      <w:szCs w:val="21"/>
                      <w:highlight w:val="none"/>
                      <w:lang w:val="en-US" w:eastAsia="zh-CN"/>
                    </w:rPr>
                    <w:t>有毒有害物质</w:t>
                  </w:r>
                </w:p>
              </w:tc>
              <w:tc>
                <w:tcPr>
                  <w:tcW w:w="636" w:type="dxa"/>
                  <w:noWrap w:val="0"/>
                  <w:vAlign w:val="center"/>
                </w:tcPr>
                <w:p w14:paraId="51257F77">
                  <w:pPr>
                    <w:topLinePunct/>
                    <w:adjustRightInd w:val="0"/>
                    <w:snapToGrid w:val="0"/>
                    <w:jc w:val="center"/>
                    <w:rPr>
                      <w:rFonts w:ascii="宋体" w:hAnsi="宋体" w:eastAsia="宋体" w:cs="宋体"/>
                      <w:color w:val="auto"/>
                      <w:sz w:val="21"/>
                      <w:szCs w:val="21"/>
                      <w:highlight w:val="none"/>
                    </w:rPr>
                  </w:pPr>
                  <w:r>
                    <w:rPr>
                      <w:rFonts w:hint="eastAsia" w:ascii="宋体" w:hAnsi="宋体" w:cs="宋体"/>
                      <w:color w:val="auto"/>
                      <w:sz w:val="21"/>
                      <w:szCs w:val="21"/>
                      <w:highlight w:val="none"/>
                      <w:lang w:val="en-US" w:eastAsia="zh-CN"/>
                    </w:rPr>
                    <w:t>有毒有害物质</w:t>
                  </w:r>
                </w:p>
              </w:tc>
              <w:tc>
                <w:tcPr>
                  <w:tcW w:w="427" w:type="dxa"/>
                  <w:vMerge w:val="continue"/>
                  <w:noWrap w:val="0"/>
                  <w:vAlign w:val="center"/>
                </w:tcPr>
                <w:p w14:paraId="0FEF37FF">
                  <w:pPr>
                    <w:topLinePunct/>
                    <w:adjustRightInd w:val="0"/>
                    <w:snapToGrid w:val="0"/>
                    <w:jc w:val="center"/>
                    <w:rPr>
                      <w:rFonts w:hint="default" w:ascii="Times New Roman" w:hAnsi="Times New Roman" w:eastAsia="宋体" w:cs="Times New Roman"/>
                      <w:color w:val="auto"/>
                      <w:kern w:val="0"/>
                      <w:szCs w:val="21"/>
                      <w:highlight w:val="none"/>
                      <w:lang w:val="en-US" w:eastAsia="zh-CN"/>
                    </w:rPr>
                  </w:pPr>
                </w:p>
              </w:tc>
              <w:tc>
                <w:tcPr>
                  <w:tcW w:w="870" w:type="dxa"/>
                  <w:noWrap w:val="0"/>
                  <w:vAlign w:val="center"/>
                </w:tcPr>
                <w:p w14:paraId="38CD9DEC">
                  <w:pPr>
                    <w:keepNext w:val="0"/>
                    <w:keepLines w:val="0"/>
                    <w:widowControl/>
                    <w:suppressLineNumbers w:val="0"/>
                    <w:jc w:val="center"/>
                    <w:rPr>
                      <w:rFonts w:hint="default" w:ascii="Times New Roman" w:hAnsi="Times New Roman" w:eastAsia="宋体" w:cs="Times New Roman"/>
                      <w:color w:val="auto"/>
                      <w:kern w:val="0"/>
                      <w:sz w:val="20"/>
                      <w:szCs w:val="20"/>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T/In</w:t>
                  </w:r>
                </w:p>
              </w:tc>
              <w:tc>
                <w:tcPr>
                  <w:tcW w:w="427" w:type="dxa"/>
                  <w:vMerge w:val="continue"/>
                  <w:noWrap w:val="0"/>
                  <w:vAlign w:val="center"/>
                </w:tcPr>
                <w:p w14:paraId="627AC8D7">
                  <w:pPr>
                    <w:topLinePunct/>
                    <w:adjustRightInd w:val="0"/>
                    <w:snapToGrid w:val="0"/>
                    <w:jc w:val="center"/>
                    <w:rPr>
                      <w:rFonts w:hint="default" w:ascii="Times New Roman" w:hAnsi="Times New Roman" w:cs="Times New Roman"/>
                      <w:color w:val="auto"/>
                      <w:kern w:val="0"/>
                      <w:szCs w:val="21"/>
                      <w:highlight w:val="none"/>
                    </w:rPr>
                  </w:pPr>
                </w:p>
              </w:tc>
            </w:tr>
            <w:tr w14:paraId="0C52B9B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454" w:hRule="atLeast"/>
                <w:jc w:val="center"/>
              </w:trPr>
              <w:tc>
                <w:tcPr>
                  <w:tcW w:w="427" w:type="dxa"/>
                  <w:noWrap w:val="0"/>
                  <w:vAlign w:val="center"/>
                </w:tcPr>
                <w:p w14:paraId="13642F2A">
                  <w:pPr>
                    <w:topLinePunct/>
                    <w:adjustRightInd w:val="0"/>
                    <w:snapToGrid w:val="0"/>
                    <w:jc w:val="center"/>
                    <w:rPr>
                      <w:rFonts w:hint="default" w:cs="Times New Roman"/>
                      <w:color w:val="auto"/>
                      <w:kern w:val="0"/>
                      <w:szCs w:val="21"/>
                      <w:highlight w:val="none"/>
                      <w:lang w:val="en-US" w:eastAsia="zh-CN"/>
                    </w:rPr>
                  </w:pPr>
                  <w:r>
                    <w:rPr>
                      <w:rFonts w:hint="eastAsia" w:cs="Times New Roman"/>
                      <w:color w:val="auto"/>
                      <w:kern w:val="0"/>
                      <w:szCs w:val="21"/>
                      <w:highlight w:val="none"/>
                      <w:lang w:val="en-US" w:eastAsia="zh-CN"/>
                    </w:rPr>
                    <w:t>7</w:t>
                  </w:r>
                </w:p>
              </w:tc>
              <w:tc>
                <w:tcPr>
                  <w:tcW w:w="636" w:type="dxa"/>
                  <w:noWrap w:val="0"/>
                  <w:vAlign w:val="center"/>
                </w:tcPr>
                <w:p w14:paraId="1E4D0348">
                  <w:pPr>
                    <w:shd w:val="clear"/>
                    <w:spacing w:line="240" w:lineRule="auto"/>
                    <w:jc w:val="center"/>
                    <w:rPr>
                      <w:rFonts w:hint="eastAsia"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废</w:t>
                  </w:r>
                  <w:r>
                    <w:rPr>
                      <w:rFonts w:hint="eastAsia" w:cs="Times New Roman"/>
                      <w:color w:val="auto"/>
                      <w:sz w:val="21"/>
                      <w:szCs w:val="21"/>
                      <w:highlight w:val="none"/>
                      <w:lang w:val="en-US" w:eastAsia="zh-CN"/>
                    </w:rPr>
                    <w:t>机</w:t>
                  </w:r>
                  <w:r>
                    <w:rPr>
                      <w:rFonts w:hint="default" w:ascii="Times New Roman" w:hAnsi="Times New Roman" w:eastAsia="宋体" w:cs="Times New Roman"/>
                      <w:color w:val="auto"/>
                      <w:sz w:val="21"/>
                      <w:szCs w:val="21"/>
                      <w:highlight w:val="none"/>
                    </w:rPr>
                    <w:t>油</w:t>
                  </w:r>
                  <w:r>
                    <w:rPr>
                      <w:rFonts w:hint="default" w:ascii="Times New Roman" w:hAnsi="Times New Roman" w:eastAsia="宋体" w:cs="Times New Roman"/>
                      <w:color w:val="auto"/>
                      <w:sz w:val="21"/>
                      <w:szCs w:val="21"/>
                      <w:highlight w:val="none"/>
                      <w:lang w:val="en-US" w:eastAsia="zh-CN"/>
                    </w:rPr>
                    <w:t>及其包装物</w:t>
                  </w:r>
                </w:p>
              </w:tc>
              <w:tc>
                <w:tcPr>
                  <w:tcW w:w="776" w:type="dxa"/>
                  <w:noWrap w:val="0"/>
                  <w:vAlign w:val="center"/>
                </w:tcPr>
                <w:p w14:paraId="20404C07">
                  <w:pPr>
                    <w:widowControl/>
                    <w:shd w:val="clear"/>
                    <w:spacing w:line="240" w:lineRule="auto"/>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sz w:val="21"/>
                      <w:szCs w:val="21"/>
                      <w:highlight w:val="none"/>
                    </w:rPr>
                    <w:t>HW08</w:t>
                  </w:r>
                </w:p>
              </w:tc>
              <w:tc>
                <w:tcPr>
                  <w:tcW w:w="1196" w:type="dxa"/>
                  <w:noWrap w:val="0"/>
                  <w:vAlign w:val="center"/>
                </w:tcPr>
                <w:p w14:paraId="6EA334E8">
                  <w:pPr>
                    <w:widowControl/>
                    <w:shd w:val="clear"/>
                    <w:spacing w:line="240" w:lineRule="auto"/>
                    <w:jc w:val="center"/>
                    <w:rPr>
                      <w:rFonts w:hint="default" w:ascii="Times New Roman" w:hAnsi="Times New Roman" w:eastAsia="宋体" w:cs="Times New Roman"/>
                      <w:color w:val="auto"/>
                      <w:kern w:val="0"/>
                      <w:sz w:val="20"/>
                      <w:szCs w:val="20"/>
                      <w:highlight w:val="none"/>
                      <w:lang w:val="en-US" w:eastAsia="zh-CN" w:bidi="ar"/>
                    </w:rPr>
                  </w:pPr>
                  <w:r>
                    <w:rPr>
                      <w:rFonts w:hint="default" w:ascii="Times New Roman" w:hAnsi="Times New Roman" w:eastAsia="宋体" w:cs="Times New Roman"/>
                      <w:color w:val="auto"/>
                      <w:sz w:val="21"/>
                      <w:szCs w:val="21"/>
                      <w:highlight w:val="none"/>
                    </w:rPr>
                    <w:t>900-249-08</w:t>
                  </w:r>
                </w:p>
              </w:tc>
              <w:tc>
                <w:tcPr>
                  <w:tcW w:w="794" w:type="dxa"/>
                  <w:noWrap w:val="0"/>
                  <w:vAlign w:val="center"/>
                </w:tcPr>
                <w:p w14:paraId="0DE30D67">
                  <w:pPr>
                    <w:pStyle w:val="24"/>
                    <w:keepNext w:val="0"/>
                    <w:keepLines w:val="0"/>
                    <w:pageBreakBefore w:val="0"/>
                    <w:widowControl w:val="0"/>
                    <w:numPr>
                      <w:ilvl w:val="0"/>
                      <w:numId w:val="0"/>
                    </w:numPr>
                    <w:shd w:val="clear"/>
                    <w:kinsoku/>
                    <w:wordWrap/>
                    <w:overflowPunct/>
                    <w:topLinePunct w:val="0"/>
                    <w:autoSpaceDE/>
                    <w:autoSpaceDN/>
                    <w:bidi w:val="0"/>
                    <w:adjustRightInd/>
                    <w:snapToGrid w:val="0"/>
                    <w:spacing w:after="0" w:line="240" w:lineRule="auto"/>
                    <w:ind w:left="0" w:leftChars="0" w:firstLine="0" w:firstLineChars="0"/>
                    <w:jc w:val="center"/>
                    <w:textAlignment w:val="auto"/>
                    <w:rPr>
                      <w:rFonts w:hint="eastAsia" w:cs="Times New Roman"/>
                      <w:color w:val="auto"/>
                      <w:kern w:val="0"/>
                      <w:szCs w:val="21"/>
                      <w:highlight w:val="none"/>
                      <w:lang w:val="en-US" w:eastAsia="zh-CN"/>
                    </w:rPr>
                  </w:pPr>
                  <w:r>
                    <w:rPr>
                      <w:rFonts w:hint="default" w:ascii="Times New Roman" w:hAnsi="Times New Roman" w:eastAsia="宋体" w:cs="Times New Roman"/>
                      <w:b w:val="0"/>
                      <w:bCs/>
                      <w:color w:val="auto"/>
                      <w:spacing w:val="-10"/>
                      <w:sz w:val="21"/>
                      <w:szCs w:val="21"/>
                      <w:highlight w:val="none"/>
                      <w:vertAlign w:val="baseline"/>
                      <w:lang w:val="en-US" w:eastAsia="zh-CN"/>
                    </w:rPr>
                    <w:t>0.0</w:t>
                  </w:r>
                  <w:r>
                    <w:rPr>
                      <w:rFonts w:hint="eastAsia" w:cs="Times New Roman"/>
                      <w:b w:val="0"/>
                      <w:bCs/>
                      <w:color w:val="auto"/>
                      <w:spacing w:val="-10"/>
                      <w:sz w:val="21"/>
                      <w:szCs w:val="21"/>
                      <w:highlight w:val="none"/>
                      <w:vertAlign w:val="baseline"/>
                      <w:lang w:val="en-US" w:eastAsia="zh-CN"/>
                    </w:rPr>
                    <w:t>25</w:t>
                  </w:r>
                </w:p>
              </w:tc>
              <w:tc>
                <w:tcPr>
                  <w:tcW w:w="636" w:type="dxa"/>
                  <w:noWrap w:val="0"/>
                  <w:vAlign w:val="center"/>
                </w:tcPr>
                <w:p w14:paraId="0F4F8810">
                  <w:pPr>
                    <w:shd w:val="clear"/>
                    <w:topLinePunct/>
                    <w:adjustRightInd w:val="0"/>
                    <w:snapToGrid w:val="0"/>
                    <w:spacing w:line="240" w:lineRule="auto"/>
                    <w:jc w:val="center"/>
                    <w:rPr>
                      <w:rFonts w:hint="eastAsia" w:cs="Times New Roman"/>
                      <w:color w:val="auto"/>
                      <w:kern w:val="0"/>
                      <w:szCs w:val="21"/>
                      <w:highlight w:val="none"/>
                      <w:lang w:val="en-US" w:eastAsia="zh-CN"/>
                    </w:rPr>
                  </w:pPr>
                  <w:r>
                    <w:rPr>
                      <w:rFonts w:hint="default" w:ascii="Times New Roman" w:hAnsi="Times New Roman" w:eastAsia="宋体" w:cs="Times New Roman"/>
                      <w:color w:val="auto"/>
                      <w:kern w:val="0"/>
                      <w:sz w:val="21"/>
                      <w:szCs w:val="21"/>
                      <w:highlight w:val="none"/>
                    </w:rPr>
                    <w:t>设备保养润滑</w:t>
                  </w:r>
                </w:p>
              </w:tc>
              <w:tc>
                <w:tcPr>
                  <w:tcW w:w="636" w:type="dxa"/>
                  <w:noWrap w:val="0"/>
                  <w:vAlign w:val="center"/>
                </w:tcPr>
                <w:p w14:paraId="5F5D4F34">
                  <w:pPr>
                    <w:shd w:val="clear"/>
                    <w:topLinePunct/>
                    <w:adjustRightInd w:val="0"/>
                    <w:snapToGrid w:val="0"/>
                    <w:spacing w:line="240" w:lineRule="auto"/>
                    <w:jc w:val="center"/>
                    <w:rPr>
                      <w:rFonts w:hint="eastAsia" w:cs="Times New Roman"/>
                      <w:color w:val="auto"/>
                      <w:kern w:val="0"/>
                      <w:szCs w:val="21"/>
                      <w:highlight w:val="none"/>
                      <w:lang w:val="en-US" w:eastAsia="zh-CN"/>
                    </w:rPr>
                  </w:pPr>
                  <w:r>
                    <w:rPr>
                      <w:rFonts w:hint="default" w:ascii="Times New Roman" w:hAnsi="Times New Roman" w:eastAsia="宋体" w:cs="Times New Roman"/>
                      <w:color w:val="auto"/>
                      <w:kern w:val="0"/>
                      <w:sz w:val="21"/>
                      <w:szCs w:val="21"/>
                      <w:highlight w:val="none"/>
                    </w:rPr>
                    <w:t>液态、固态</w:t>
                  </w:r>
                </w:p>
              </w:tc>
              <w:tc>
                <w:tcPr>
                  <w:tcW w:w="636" w:type="dxa"/>
                  <w:noWrap w:val="0"/>
                  <w:vAlign w:val="center"/>
                </w:tcPr>
                <w:p w14:paraId="4116263B">
                  <w:pPr>
                    <w:shd w:val="clear"/>
                    <w:topLinePunct/>
                    <w:adjustRightInd w:val="0"/>
                    <w:snapToGrid w:val="0"/>
                    <w:spacing w:line="240" w:lineRule="auto"/>
                    <w:jc w:val="center"/>
                    <w:rPr>
                      <w:rFonts w:hint="eastAsia" w:ascii="宋体" w:hAnsi="宋体" w:cs="宋体"/>
                      <w:color w:val="auto"/>
                      <w:sz w:val="21"/>
                      <w:szCs w:val="21"/>
                      <w:highlight w:val="none"/>
                      <w:lang w:val="en-US" w:eastAsia="zh-CN"/>
                    </w:rPr>
                  </w:pPr>
                  <w:r>
                    <w:rPr>
                      <w:rFonts w:hint="default" w:ascii="Times New Roman" w:hAnsi="Times New Roman" w:eastAsia="宋体" w:cs="Times New Roman"/>
                      <w:b w:val="0"/>
                      <w:bCs/>
                      <w:color w:val="auto"/>
                      <w:spacing w:val="-10"/>
                      <w:sz w:val="21"/>
                      <w:szCs w:val="21"/>
                      <w:highlight w:val="none"/>
                      <w:vertAlign w:val="baseline"/>
                      <w:lang w:val="en-US" w:eastAsia="zh-CN"/>
                    </w:rPr>
                    <w:t>油类物质</w:t>
                  </w:r>
                </w:p>
              </w:tc>
              <w:tc>
                <w:tcPr>
                  <w:tcW w:w="636" w:type="dxa"/>
                  <w:noWrap w:val="0"/>
                  <w:vAlign w:val="center"/>
                </w:tcPr>
                <w:p w14:paraId="4BD16914">
                  <w:pPr>
                    <w:shd w:val="clear"/>
                    <w:topLinePunct/>
                    <w:adjustRightInd w:val="0"/>
                    <w:snapToGrid w:val="0"/>
                    <w:spacing w:line="240" w:lineRule="auto"/>
                    <w:jc w:val="center"/>
                    <w:rPr>
                      <w:rFonts w:hint="eastAsia" w:ascii="宋体" w:hAnsi="宋体" w:cs="宋体"/>
                      <w:color w:val="auto"/>
                      <w:sz w:val="21"/>
                      <w:szCs w:val="21"/>
                      <w:highlight w:val="none"/>
                      <w:lang w:val="en-US" w:eastAsia="zh-CN"/>
                    </w:rPr>
                  </w:pPr>
                  <w:r>
                    <w:rPr>
                      <w:rFonts w:hint="default" w:ascii="Times New Roman" w:hAnsi="Times New Roman" w:eastAsia="宋体" w:cs="Times New Roman"/>
                      <w:b w:val="0"/>
                      <w:bCs/>
                      <w:color w:val="auto"/>
                      <w:spacing w:val="-10"/>
                      <w:sz w:val="21"/>
                      <w:szCs w:val="21"/>
                      <w:highlight w:val="none"/>
                      <w:vertAlign w:val="baseline"/>
                      <w:lang w:val="en-US" w:eastAsia="zh-CN"/>
                    </w:rPr>
                    <w:t>油类物质</w:t>
                  </w:r>
                </w:p>
              </w:tc>
              <w:tc>
                <w:tcPr>
                  <w:tcW w:w="427" w:type="dxa"/>
                  <w:vMerge w:val="continue"/>
                  <w:noWrap w:val="0"/>
                  <w:vAlign w:val="center"/>
                </w:tcPr>
                <w:p w14:paraId="6A68CEBC">
                  <w:pPr>
                    <w:widowControl/>
                    <w:shd w:val="clear"/>
                    <w:adjustRightInd w:val="0"/>
                    <w:snapToGrid w:val="0"/>
                    <w:spacing w:line="240" w:lineRule="auto"/>
                    <w:jc w:val="center"/>
                    <w:rPr>
                      <w:rFonts w:hint="default" w:ascii="Times New Roman" w:hAnsi="Times New Roman" w:eastAsia="宋体" w:cs="Times New Roman"/>
                      <w:color w:val="auto"/>
                      <w:kern w:val="0"/>
                      <w:szCs w:val="21"/>
                      <w:highlight w:val="none"/>
                      <w:lang w:val="en-US" w:eastAsia="zh-CN"/>
                    </w:rPr>
                  </w:pPr>
                </w:p>
              </w:tc>
              <w:tc>
                <w:tcPr>
                  <w:tcW w:w="870" w:type="dxa"/>
                  <w:noWrap w:val="0"/>
                  <w:vAlign w:val="center"/>
                </w:tcPr>
                <w:p w14:paraId="13E67B1F">
                  <w:pPr>
                    <w:keepNext w:val="0"/>
                    <w:keepLines w:val="0"/>
                    <w:widowControl/>
                    <w:suppressLineNumbers w:val="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rPr>
                    <w:t>T，I</w:t>
                  </w:r>
                </w:p>
              </w:tc>
              <w:tc>
                <w:tcPr>
                  <w:tcW w:w="427" w:type="dxa"/>
                  <w:vMerge w:val="continue"/>
                  <w:noWrap w:val="0"/>
                  <w:vAlign w:val="center"/>
                </w:tcPr>
                <w:p w14:paraId="0CB49333">
                  <w:pPr>
                    <w:topLinePunct/>
                    <w:adjustRightInd w:val="0"/>
                    <w:snapToGrid w:val="0"/>
                    <w:jc w:val="center"/>
                    <w:rPr>
                      <w:rFonts w:hint="default" w:ascii="Times New Roman" w:hAnsi="Times New Roman" w:cs="Times New Roman"/>
                      <w:color w:val="auto"/>
                      <w:kern w:val="0"/>
                      <w:szCs w:val="21"/>
                      <w:highlight w:val="none"/>
                    </w:rPr>
                  </w:pPr>
                </w:p>
              </w:tc>
            </w:tr>
            <w:tr w14:paraId="2F5DC73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7" w:type="dxa"/>
                  <w:noWrap w:val="0"/>
                  <w:vAlign w:val="center"/>
                </w:tcPr>
                <w:p w14:paraId="0FE699BA">
                  <w:pPr>
                    <w:topLinePunct/>
                    <w:adjustRightInd w:val="0"/>
                    <w:snapToGrid w:val="0"/>
                    <w:jc w:val="center"/>
                    <w:rPr>
                      <w:rFonts w:hint="default" w:cs="Times New Roman"/>
                      <w:color w:val="auto"/>
                      <w:kern w:val="0"/>
                      <w:szCs w:val="21"/>
                      <w:highlight w:val="none"/>
                      <w:lang w:val="en-US" w:eastAsia="zh-CN"/>
                    </w:rPr>
                  </w:pPr>
                  <w:r>
                    <w:rPr>
                      <w:rFonts w:hint="eastAsia" w:cs="Times New Roman"/>
                      <w:color w:val="auto"/>
                      <w:kern w:val="0"/>
                      <w:szCs w:val="21"/>
                      <w:highlight w:val="none"/>
                      <w:lang w:val="en-US" w:eastAsia="zh-CN"/>
                    </w:rPr>
                    <w:t>8</w:t>
                  </w:r>
                </w:p>
              </w:tc>
              <w:tc>
                <w:tcPr>
                  <w:tcW w:w="636" w:type="dxa"/>
                  <w:noWrap w:val="0"/>
                  <w:vAlign w:val="center"/>
                </w:tcPr>
                <w:p w14:paraId="4D256C9C">
                  <w:pPr>
                    <w:shd w:val="clear"/>
                    <w:adjustRightInd w:val="0"/>
                    <w:snapToGrid w:val="0"/>
                    <w:spacing w:line="240" w:lineRule="auto"/>
                    <w:jc w:val="center"/>
                    <w:rPr>
                      <w:rFonts w:hint="eastAsia" w:cs="Times New Roman"/>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eastAsia="zh-CN"/>
                    </w:rPr>
                    <w:t>废抹布及废手套</w:t>
                  </w:r>
                </w:p>
              </w:tc>
              <w:tc>
                <w:tcPr>
                  <w:tcW w:w="776" w:type="dxa"/>
                  <w:noWrap w:val="0"/>
                  <w:vAlign w:val="center"/>
                </w:tcPr>
                <w:p w14:paraId="7083B583">
                  <w:pPr>
                    <w:widowControl/>
                    <w:shd w:val="clear"/>
                    <w:adjustRightInd w:val="0"/>
                    <w:snapToGrid w:val="0"/>
                    <w:spacing w:line="240" w:lineRule="auto"/>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sz w:val="21"/>
                      <w:szCs w:val="21"/>
                      <w:highlight w:val="none"/>
                    </w:rPr>
                    <w:t>HW</w:t>
                  </w:r>
                  <w:r>
                    <w:rPr>
                      <w:rFonts w:hint="default" w:ascii="Times New Roman" w:hAnsi="Times New Roman" w:eastAsia="宋体" w:cs="Times New Roman"/>
                      <w:color w:val="auto"/>
                      <w:sz w:val="21"/>
                      <w:szCs w:val="21"/>
                      <w:highlight w:val="none"/>
                      <w:lang w:val="en-US" w:eastAsia="zh-CN"/>
                    </w:rPr>
                    <w:t>49</w:t>
                  </w:r>
                </w:p>
              </w:tc>
              <w:tc>
                <w:tcPr>
                  <w:tcW w:w="1196" w:type="dxa"/>
                  <w:noWrap w:val="0"/>
                  <w:vAlign w:val="center"/>
                </w:tcPr>
                <w:p w14:paraId="4F5CBBB4">
                  <w:pPr>
                    <w:widowControl/>
                    <w:shd w:val="clear"/>
                    <w:adjustRightInd w:val="0"/>
                    <w:snapToGrid w:val="0"/>
                    <w:spacing w:line="240" w:lineRule="auto"/>
                    <w:jc w:val="center"/>
                    <w:rPr>
                      <w:rFonts w:hint="default" w:ascii="Times New Roman" w:hAnsi="Times New Roman" w:eastAsia="宋体" w:cs="Times New Roman"/>
                      <w:color w:val="auto"/>
                      <w:kern w:val="0"/>
                      <w:sz w:val="20"/>
                      <w:szCs w:val="20"/>
                      <w:highlight w:val="none"/>
                      <w:lang w:val="en-US" w:eastAsia="zh-CN" w:bidi="ar"/>
                    </w:rPr>
                  </w:pPr>
                  <w:r>
                    <w:rPr>
                      <w:rFonts w:hint="default" w:ascii="Times New Roman" w:hAnsi="Times New Roman" w:eastAsia="宋体" w:cs="Times New Roman"/>
                      <w:color w:val="auto"/>
                      <w:sz w:val="21"/>
                      <w:szCs w:val="21"/>
                      <w:highlight w:val="none"/>
                    </w:rPr>
                    <w:t>900-</w:t>
                  </w:r>
                  <w:r>
                    <w:rPr>
                      <w:rFonts w:hint="default" w:ascii="Times New Roman" w:hAnsi="Times New Roman" w:eastAsia="宋体" w:cs="Times New Roman"/>
                      <w:color w:val="auto"/>
                      <w:sz w:val="21"/>
                      <w:szCs w:val="21"/>
                      <w:highlight w:val="none"/>
                      <w:lang w:val="en-US" w:eastAsia="zh-CN"/>
                    </w:rPr>
                    <w:t>041</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49</w:t>
                  </w:r>
                </w:p>
              </w:tc>
              <w:tc>
                <w:tcPr>
                  <w:tcW w:w="794" w:type="dxa"/>
                  <w:noWrap w:val="0"/>
                  <w:vAlign w:val="center"/>
                </w:tcPr>
                <w:p w14:paraId="03DE1307">
                  <w:pPr>
                    <w:pStyle w:val="24"/>
                    <w:keepNext w:val="0"/>
                    <w:keepLines w:val="0"/>
                    <w:pageBreakBefore w:val="0"/>
                    <w:widowControl w:val="0"/>
                    <w:numPr>
                      <w:ilvl w:val="0"/>
                      <w:numId w:val="0"/>
                    </w:numPr>
                    <w:shd w:val="clear"/>
                    <w:kinsoku/>
                    <w:wordWrap/>
                    <w:overflowPunct/>
                    <w:topLinePunct w:val="0"/>
                    <w:autoSpaceDE/>
                    <w:autoSpaceDN/>
                    <w:bidi w:val="0"/>
                    <w:adjustRightInd/>
                    <w:snapToGrid w:val="0"/>
                    <w:spacing w:after="0" w:line="240" w:lineRule="auto"/>
                    <w:ind w:left="0" w:leftChars="0" w:firstLine="0" w:firstLineChars="0"/>
                    <w:jc w:val="center"/>
                    <w:textAlignment w:val="auto"/>
                    <w:rPr>
                      <w:rFonts w:hint="default" w:cs="Times New Roman"/>
                      <w:color w:val="auto"/>
                      <w:kern w:val="0"/>
                      <w:szCs w:val="21"/>
                      <w:highlight w:val="none"/>
                      <w:lang w:val="en-US" w:eastAsia="zh-CN"/>
                    </w:rPr>
                  </w:pPr>
                  <w:r>
                    <w:rPr>
                      <w:rFonts w:hint="eastAsia" w:cs="Times New Roman"/>
                      <w:b w:val="0"/>
                      <w:bCs/>
                      <w:color w:val="auto"/>
                      <w:spacing w:val="-10"/>
                      <w:sz w:val="21"/>
                      <w:szCs w:val="21"/>
                      <w:highlight w:val="none"/>
                      <w:vertAlign w:val="baseline"/>
                      <w:lang w:val="en-US" w:eastAsia="zh-CN"/>
                    </w:rPr>
                    <w:t>0.031</w:t>
                  </w:r>
                </w:p>
              </w:tc>
              <w:tc>
                <w:tcPr>
                  <w:tcW w:w="636" w:type="dxa"/>
                  <w:noWrap w:val="0"/>
                  <w:vAlign w:val="center"/>
                </w:tcPr>
                <w:p w14:paraId="0B296F2A">
                  <w:pPr>
                    <w:widowControl/>
                    <w:shd w:val="clear"/>
                    <w:adjustRightInd w:val="0"/>
                    <w:snapToGrid w:val="0"/>
                    <w:spacing w:line="240" w:lineRule="auto"/>
                    <w:jc w:val="center"/>
                    <w:rPr>
                      <w:rFonts w:hint="eastAsia" w:cs="Times New Roman"/>
                      <w:color w:val="auto"/>
                      <w:kern w:val="0"/>
                      <w:szCs w:val="21"/>
                      <w:highlight w:val="none"/>
                      <w:lang w:val="en-US" w:eastAsia="zh-CN"/>
                    </w:rPr>
                  </w:pPr>
                  <w:r>
                    <w:rPr>
                      <w:rFonts w:hint="default" w:ascii="Times New Roman" w:hAnsi="Times New Roman" w:eastAsia="宋体" w:cs="Times New Roman"/>
                      <w:color w:val="auto"/>
                      <w:kern w:val="0"/>
                      <w:sz w:val="21"/>
                      <w:szCs w:val="21"/>
                      <w:highlight w:val="none"/>
                    </w:rPr>
                    <w:t>设备保养润滑</w:t>
                  </w:r>
                  <w:r>
                    <w:rPr>
                      <w:rFonts w:hint="eastAsia" w:cs="Times New Roman"/>
                      <w:color w:val="auto"/>
                      <w:kern w:val="0"/>
                      <w:sz w:val="21"/>
                      <w:szCs w:val="21"/>
                      <w:highlight w:val="none"/>
                      <w:lang w:eastAsia="zh-CN"/>
                    </w:rPr>
                    <w:t>、</w:t>
                  </w:r>
                  <w:r>
                    <w:rPr>
                      <w:rFonts w:hint="eastAsia" w:cs="Times New Roman"/>
                      <w:color w:val="auto"/>
                      <w:kern w:val="0"/>
                      <w:sz w:val="21"/>
                      <w:szCs w:val="21"/>
                      <w:highlight w:val="none"/>
                      <w:lang w:val="en-US" w:eastAsia="zh-CN"/>
                    </w:rPr>
                    <w:t>设备擦拭</w:t>
                  </w:r>
                </w:p>
              </w:tc>
              <w:tc>
                <w:tcPr>
                  <w:tcW w:w="636" w:type="dxa"/>
                  <w:noWrap w:val="0"/>
                  <w:vAlign w:val="center"/>
                </w:tcPr>
                <w:p w14:paraId="6C800AB4">
                  <w:pPr>
                    <w:widowControl/>
                    <w:shd w:val="clear"/>
                    <w:spacing w:line="240" w:lineRule="auto"/>
                    <w:jc w:val="center"/>
                    <w:rPr>
                      <w:rFonts w:hint="eastAsia" w:cs="Times New Roman"/>
                      <w:color w:val="auto"/>
                      <w:kern w:val="0"/>
                      <w:szCs w:val="21"/>
                      <w:highlight w:val="none"/>
                      <w:lang w:val="en-US" w:eastAsia="zh-CN"/>
                    </w:rPr>
                  </w:pPr>
                  <w:r>
                    <w:rPr>
                      <w:rFonts w:hint="default" w:ascii="Times New Roman" w:hAnsi="Times New Roman" w:eastAsia="宋体" w:cs="Times New Roman"/>
                      <w:color w:val="auto"/>
                      <w:sz w:val="21"/>
                      <w:szCs w:val="21"/>
                      <w:highlight w:val="none"/>
                    </w:rPr>
                    <w:t>固态</w:t>
                  </w:r>
                </w:p>
              </w:tc>
              <w:tc>
                <w:tcPr>
                  <w:tcW w:w="636" w:type="dxa"/>
                  <w:noWrap w:val="0"/>
                  <w:vAlign w:val="center"/>
                </w:tcPr>
                <w:p w14:paraId="5CC4A90C">
                  <w:pPr>
                    <w:shd w:val="clear"/>
                    <w:topLinePunct/>
                    <w:adjustRightInd w:val="0"/>
                    <w:snapToGrid w:val="0"/>
                    <w:spacing w:line="240" w:lineRule="auto"/>
                    <w:jc w:val="center"/>
                    <w:rPr>
                      <w:rFonts w:hint="eastAsia" w:ascii="宋体" w:hAnsi="宋体" w:cs="宋体"/>
                      <w:color w:val="auto"/>
                      <w:sz w:val="21"/>
                      <w:szCs w:val="21"/>
                      <w:highlight w:val="none"/>
                      <w:lang w:val="en-US" w:eastAsia="zh-CN"/>
                    </w:rPr>
                  </w:pPr>
                  <w:r>
                    <w:rPr>
                      <w:rFonts w:hint="default" w:ascii="Times New Roman" w:hAnsi="Times New Roman" w:eastAsia="宋体" w:cs="Times New Roman"/>
                      <w:b w:val="0"/>
                      <w:bCs/>
                      <w:color w:val="auto"/>
                      <w:spacing w:val="-10"/>
                      <w:sz w:val="21"/>
                      <w:szCs w:val="21"/>
                      <w:highlight w:val="none"/>
                      <w:vertAlign w:val="baseline"/>
                      <w:lang w:val="en-US" w:eastAsia="zh-CN"/>
                    </w:rPr>
                    <w:t>油类物质</w:t>
                  </w:r>
                  <w:r>
                    <w:rPr>
                      <w:rFonts w:hint="eastAsia" w:cs="Times New Roman"/>
                      <w:b w:val="0"/>
                      <w:bCs/>
                      <w:color w:val="auto"/>
                      <w:spacing w:val="-10"/>
                      <w:sz w:val="21"/>
                      <w:szCs w:val="21"/>
                      <w:highlight w:val="none"/>
                      <w:vertAlign w:val="baseline"/>
                      <w:lang w:val="en-US" w:eastAsia="zh-CN"/>
                    </w:rPr>
                    <w:t>、</w:t>
                  </w:r>
                  <w:r>
                    <w:rPr>
                      <w:rFonts w:hint="eastAsia" w:ascii="宋体" w:hAnsi="宋体" w:eastAsia="宋体"/>
                      <w:color w:val="auto"/>
                      <w:sz w:val="21"/>
                      <w:szCs w:val="24"/>
                      <w:highlight w:val="none"/>
                    </w:rPr>
                    <w:t>含有毒有害物质</w:t>
                  </w:r>
                </w:p>
              </w:tc>
              <w:tc>
                <w:tcPr>
                  <w:tcW w:w="636" w:type="dxa"/>
                  <w:noWrap w:val="0"/>
                  <w:vAlign w:val="center"/>
                </w:tcPr>
                <w:p w14:paraId="307B6E88">
                  <w:pPr>
                    <w:spacing w:beforeLines="0" w:afterLines="0"/>
                    <w:jc w:val="left"/>
                    <w:rPr>
                      <w:rFonts w:hint="eastAsia" w:ascii="宋体" w:hAnsi="宋体" w:cs="宋体"/>
                      <w:color w:val="auto"/>
                      <w:sz w:val="21"/>
                      <w:szCs w:val="21"/>
                      <w:highlight w:val="none"/>
                      <w:lang w:val="en-US" w:eastAsia="zh-CN"/>
                    </w:rPr>
                  </w:pPr>
                  <w:r>
                    <w:rPr>
                      <w:rFonts w:hint="default" w:ascii="Times New Roman" w:hAnsi="Times New Roman" w:eastAsia="宋体" w:cs="Times New Roman"/>
                      <w:b w:val="0"/>
                      <w:bCs/>
                      <w:color w:val="auto"/>
                      <w:spacing w:val="-10"/>
                      <w:sz w:val="21"/>
                      <w:szCs w:val="21"/>
                      <w:highlight w:val="none"/>
                      <w:vertAlign w:val="baseline"/>
                      <w:lang w:val="en-US" w:eastAsia="zh-CN"/>
                    </w:rPr>
                    <w:t>油类物质</w:t>
                  </w:r>
                  <w:r>
                    <w:rPr>
                      <w:rFonts w:hint="eastAsia" w:cs="Times New Roman"/>
                      <w:b w:val="0"/>
                      <w:bCs/>
                      <w:color w:val="auto"/>
                      <w:spacing w:val="-10"/>
                      <w:sz w:val="21"/>
                      <w:szCs w:val="21"/>
                      <w:highlight w:val="none"/>
                      <w:vertAlign w:val="baseline"/>
                      <w:lang w:val="en-US" w:eastAsia="zh-CN"/>
                    </w:rPr>
                    <w:t>、</w:t>
                  </w:r>
                  <w:r>
                    <w:rPr>
                      <w:rFonts w:hint="eastAsia" w:ascii="宋体" w:hAnsi="宋体" w:eastAsia="宋体"/>
                      <w:color w:val="auto"/>
                      <w:sz w:val="21"/>
                      <w:szCs w:val="24"/>
                      <w:highlight w:val="none"/>
                    </w:rPr>
                    <w:t>含有毒有害物质</w:t>
                  </w:r>
                </w:p>
              </w:tc>
              <w:tc>
                <w:tcPr>
                  <w:tcW w:w="427" w:type="dxa"/>
                  <w:vMerge w:val="continue"/>
                  <w:noWrap w:val="0"/>
                  <w:vAlign w:val="center"/>
                </w:tcPr>
                <w:p w14:paraId="5CD4D40A">
                  <w:pPr>
                    <w:widowControl/>
                    <w:shd w:val="clear"/>
                    <w:spacing w:line="240" w:lineRule="auto"/>
                    <w:jc w:val="center"/>
                    <w:rPr>
                      <w:rFonts w:hint="default" w:ascii="Times New Roman" w:hAnsi="Times New Roman" w:eastAsia="宋体" w:cs="Times New Roman"/>
                      <w:color w:val="auto"/>
                      <w:kern w:val="0"/>
                      <w:szCs w:val="21"/>
                      <w:highlight w:val="none"/>
                      <w:lang w:val="en-US" w:eastAsia="zh-CN"/>
                    </w:rPr>
                  </w:pPr>
                </w:p>
              </w:tc>
              <w:tc>
                <w:tcPr>
                  <w:tcW w:w="870" w:type="dxa"/>
                  <w:noWrap w:val="0"/>
                  <w:vAlign w:val="center"/>
                </w:tcPr>
                <w:p w14:paraId="07D735CE">
                  <w:pPr>
                    <w:keepNext w:val="0"/>
                    <w:keepLines w:val="0"/>
                    <w:widowControl/>
                    <w:suppressLineNumbers w:val="0"/>
                    <w:jc w:val="center"/>
                    <w:rPr>
                      <w:rFonts w:hint="default" w:ascii="Times New Roman" w:hAnsi="Times New Roman" w:eastAsia="宋体" w:cs="Times New Roman"/>
                      <w:color w:val="auto"/>
                      <w:kern w:val="0"/>
                      <w:sz w:val="21"/>
                      <w:szCs w:val="21"/>
                      <w:highlight w:val="none"/>
                      <w:lang w:val="en-US" w:eastAsia="zh-CN" w:bidi="ar"/>
                    </w:rPr>
                  </w:pPr>
                  <w:r>
                    <w:rPr>
                      <w:rFonts w:hint="eastAsia" w:ascii="TimesNewRomanPSMT" w:hAnsi="TimesNewRomanPSMT" w:eastAsia="TimesNewRomanPSMT"/>
                      <w:color w:val="auto"/>
                      <w:sz w:val="21"/>
                      <w:szCs w:val="24"/>
                      <w:highlight w:val="none"/>
                    </w:rPr>
                    <w:t>T/In</w:t>
                  </w:r>
                </w:p>
              </w:tc>
              <w:tc>
                <w:tcPr>
                  <w:tcW w:w="427" w:type="dxa"/>
                  <w:vMerge w:val="continue"/>
                  <w:noWrap w:val="0"/>
                  <w:vAlign w:val="center"/>
                </w:tcPr>
                <w:p w14:paraId="04B021F7">
                  <w:pPr>
                    <w:topLinePunct/>
                    <w:adjustRightInd w:val="0"/>
                    <w:snapToGrid w:val="0"/>
                    <w:jc w:val="center"/>
                    <w:rPr>
                      <w:rFonts w:hint="default" w:ascii="Times New Roman" w:hAnsi="Times New Roman" w:cs="Times New Roman"/>
                      <w:color w:val="auto"/>
                      <w:kern w:val="0"/>
                      <w:szCs w:val="21"/>
                      <w:highlight w:val="none"/>
                    </w:rPr>
                  </w:pPr>
                </w:p>
              </w:tc>
            </w:tr>
          </w:tbl>
          <w:p w14:paraId="1316786B">
            <w:pPr>
              <w:pStyle w:val="24"/>
              <w:keepNext w:val="0"/>
              <w:keepLines w:val="0"/>
              <w:pageBreakBefore w:val="0"/>
              <w:widowControl w:val="0"/>
              <w:numPr>
                <w:ilvl w:val="0"/>
                <w:numId w:val="0"/>
              </w:numPr>
              <w:shd w:val="clear"/>
              <w:kinsoku/>
              <w:wordWrap/>
              <w:overflowPunct/>
              <w:topLinePunct w:val="0"/>
              <w:autoSpaceDE/>
              <w:autoSpaceDN/>
              <w:bidi w:val="0"/>
              <w:adjustRightInd/>
              <w:snapToGrid w:val="0"/>
              <w:spacing w:after="0" w:line="240" w:lineRule="auto"/>
              <w:ind w:leftChars="0"/>
              <w:jc w:val="center"/>
              <w:textAlignment w:val="auto"/>
              <w:rPr>
                <w:rFonts w:hint="default" w:ascii="Times New Roman" w:hAnsi="Times New Roman" w:eastAsia="宋体" w:cs="Times New Roman"/>
                <w:b/>
                <w:bCs w:val="0"/>
                <w:color w:val="auto"/>
                <w:spacing w:val="-10"/>
                <w:sz w:val="24"/>
                <w:szCs w:val="24"/>
                <w:highlight w:val="none"/>
                <w:lang w:val="en-US" w:eastAsia="zh-CN"/>
              </w:rPr>
            </w:pPr>
            <w:r>
              <w:rPr>
                <w:rFonts w:hint="default" w:ascii="Times New Roman" w:hAnsi="Times New Roman" w:cs="Times New Roman"/>
                <w:b/>
                <w:bCs/>
                <w:color w:val="auto"/>
                <w:sz w:val="21"/>
                <w:szCs w:val="21"/>
                <w:highlight w:val="none"/>
              </w:rPr>
              <w:t>注：危险特性包括腐蚀性（C）、毒性（T）、易燃性（I）、反应性（R）和感染性（In）。</w:t>
            </w:r>
          </w:p>
          <w:p w14:paraId="39F391D2">
            <w:pPr>
              <w:pStyle w:val="83"/>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42" w:firstLineChars="200"/>
              <w:jc w:val="both"/>
              <w:textAlignment w:val="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val="0"/>
                <w:color w:val="auto"/>
                <w:spacing w:val="-10"/>
                <w:sz w:val="24"/>
                <w:szCs w:val="24"/>
                <w:highlight w:val="none"/>
                <w:lang w:val="en-US" w:eastAsia="zh-CN"/>
              </w:rPr>
              <w:t>（2）</w:t>
            </w:r>
            <w:r>
              <w:rPr>
                <w:rFonts w:hint="default" w:ascii="Times New Roman" w:hAnsi="Times New Roman" w:eastAsia="宋体" w:cs="Times New Roman"/>
                <w:b/>
                <w:bCs/>
                <w:color w:val="auto"/>
                <w:sz w:val="24"/>
                <w:szCs w:val="24"/>
                <w:highlight w:val="none"/>
              </w:rPr>
              <w:t>固体废物临时贮存设施的管理要求</w:t>
            </w:r>
          </w:p>
          <w:p w14:paraId="79786999">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22" w:firstLineChars="200"/>
              <w:jc w:val="both"/>
              <w:textAlignment w:val="auto"/>
              <w:rPr>
                <w:rFonts w:hint="default" w:ascii="Times New Roman" w:hAnsi="Times New Roman" w:eastAsia="宋体" w:cs="Times New Roman"/>
                <w:b/>
                <w:bCs/>
                <w:color w:val="auto"/>
                <w:kern w:val="0"/>
                <w:sz w:val="21"/>
                <w:szCs w:val="21"/>
                <w:highlight w:val="none"/>
                <w:lang w:eastAsia="zh-CN"/>
              </w:rPr>
            </w:pPr>
            <w:r>
              <w:rPr>
                <w:rFonts w:hint="default" w:ascii="Times New Roman" w:hAnsi="Times New Roman" w:eastAsia="宋体" w:cs="Times New Roman"/>
                <w:b/>
                <w:bCs/>
                <w:color w:val="auto"/>
                <w:kern w:val="0"/>
                <w:sz w:val="21"/>
                <w:szCs w:val="21"/>
                <w:highlight w:val="none"/>
              </w:rPr>
              <w:t>一般固体废物</w:t>
            </w:r>
            <w:r>
              <w:rPr>
                <w:rFonts w:hint="default" w:ascii="Times New Roman" w:hAnsi="Times New Roman" w:eastAsia="宋体" w:cs="Times New Roman"/>
                <w:b/>
                <w:bCs/>
                <w:color w:val="auto"/>
                <w:kern w:val="0"/>
                <w:sz w:val="21"/>
                <w:szCs w:val="21"/>
                <w:highlight w:val="none"/>
                <w:lang w:eastAsia="zh-CN"/>
              </w:rPr>
              <w:t>：</w:t>
            </w:r>
          </w:p>
          <w:p w14:paraId="68451CD1">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项目设置一般固体废物的临时贮存区，需要做到以下几点：</w:t>
            </w:r>
          </w:p>
          <w:p w14:paraId="35EA5C6A">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①所选场址应符合当地城乡建设总体规划要求；</w:t>
            </w:r>
          </w:p>
          <w:p w14:paraId="53096913">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②禁止选在自然保护区、风景名胜区和其他需要特别保护的区域；</w:t>
            </w:r>
          </w:p>
          <w:p w14:paraId="029302F8">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③贮存区的建设类型，必须与将要堆放的一般工业固体废物的类别相一致；</w:t>
            </w:r>
          </w:p>
          <w:p w14:paraId="2DB5F766">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④一般工业固体废物贮存区，禁止危险废物和生活垃圾混入；</w:t>
            </w:r>
          </w:p>
          <w:p w14:paraId="4B2EE3C8">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⑤贮存区使用单位，应建立检查维护制度；</w:t>
            </w:r>
          </w:p>
          <w:p w14:paraId="1DE7B3F3">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⑥贮存区的使用单位，应建立档案制度。应将入场的一般工业固体废物的种类和</w:t>
            </w:r>
            <w:r>
              <w:rPr>
                <w:rFonts w:hint="default" w:ascii="Times New Roman" w:hAnsi="Times New Roman" w:eastAsia="宋体" w:cs="Times New Roman"/>
                <w:color w:val="auto"/>
                <w:sz w:val="21"/>
                <w:szCs w:val="21"/>
                <w:highlight w:val="none"/>
                <w:lang w:val="en-US" w:eastAsia="zh-CN"/>
              </w:rPr>
              <w:t>数</w:t>
            </w:r>
            <w:r>
              <w:rPr>
                <w:rFonts w:hint="default" w:ascii="Times New Roman" w:hAnsi="Times New Roman" w:eastAsia="宋体" w:cs="Times New Roman"/>
                <w:b w:val="0"/>
                <w:bCs w:val="0"/>
                <w:color w:val="auto"/>
                <w:sz w:val="21"/>
                <w:szCs w:val="21"/>
                <w:highlight w:val="none"/>
                <w:lang w:val="en-US" w:eastAsia="zh-CN"/>
              </w:rPr>
              <w:t>量</w:t>
            </w:r>
            <w:r>
              <w:rPr>
                <w:rFonts w:hint="default" w:ascii="Times New Roman" w:hAnsi="Times New Roman" w:eastAsia="宋体" w:cs="Times New Roman"/>
                <w:b w:val="0"/>
                <w:bCs w:val="0"/>
                <w:color w:val="auto"/>
                <w:sz w:val="21"/>
                <w:szCs w:val="21"/>
                <w:highlight w:val="none"/>
              </w:rPr>
              <w:t>以及</w:t>
            </w:r>
            <w:r>
              <w:rPr>
                <w:rFonts w:hint="default" w:ascii="Times New Roman" w:hAnsi="Times New Roman" w:eastAsia="宋体" w:cs="Times New Roman"/>
                <w:color w:val="auto"/>
                <w:sz w:val="21"/>
                <w:szCs w:val="21"/>
                <w:highlight w:val="none"/>
              </w:rPr>
              <w:t>下列资料，详细记录在案，长期保存，供随时查阅；</w:t>
            </w:r>
          </w:p>
          <w:p w14:paraId="07EB682E">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⑦贮存区的地面与裙脚用坚固、防渗的材料建造，设置耐渗漏的地面，且表面无裂隙。</w:t>
            </w:r>
          </w:p>
          <w:p w14:paraId="257F79CC">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82" w:firstLineChars="200"/>
              <w:jc w:val="both"/>
              <w:textAlignment w:val="auto"/>
              <w:rPr>
                <w:rFonts w:hint="default" w:ascii="Times New Roman" w:hAnsi="Times New Roman" w:eastAsia="宋体" w:cs="Times New Roman"/>
                <w:b/>
                <w:bCs/>
                <w:color w:val="auto"/>
                <w:kern w:val="0"/>
                <w:sz w:val="24"/>
                <w:szCs w:val="24"/>
                <w:highlight w:val="none"/>
                <w:lang w:eastAsia="zh-CN"/>
              </w:rPr>
            </w:pPr>
            <w:r>
              <w:rPr>
                <w:rFonts w:hint="default" w:ascii="Times New Roman" w:hAnsi="Times New Roman" w:eastAsia="宋体" w:cs="Times New Roman"/>
                <w:b/>
                <w:bCs/>
                <w:color w:val="auto"/>
                <w:kern w:val="0"/>
                <w:sz w:val="24"/>
                <w:szCs w:val="24"/>
                <w:highlight w:val="none"/>
              </w:rPr>
              <w:t>危险废物</w:t>
            </w:r>
            <w:r>
              <w:rPr>
                <w:rFonts w:hint="default" w:ascii="Times New Roman" w:hAnsi="Times New Roman" w:eastAsia="宋体" w:cs="Times New Roman"/>
                <w:b/>
                <w:bCs/>
                <w:color w:val="auto"/>
                <w:kern w:val="0"/>
                <w:sz w:val="24"/>
                <w:szCs w:val="24"/>
                <w:highlight w:val="none"/>
                <w:lang w:eastAsia="zh-CN"/>
              </w:rPr>
              <w:t>：</w:t>
            </w:r>
          </w:p>
          <w:p w14:paraId="2EF7EB19">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bCs w:val="0"/>
                <w:color w:val="auto"/>
                <w:kern w:val="2"/>
                <w:sz w:val="21"/>
                <w:szCs w:val="21"/>
                <w:highlight w:val="none"/>
                <w:lang w:val="en-US" w:eastAsia="zh-CN" w:bidi="ar-SA"/>
              </w:rPr>
              <w:t>危险废物的厂内贮存措施需要严格执行《危险废物贮存污染控制标准》（GB</w:t>
            </w:r>
            <w:r>
              <w:rPr>
                <w:rFonts w:hint="default" w:ascii="Times New Roman" w:hAnsi="Times New Roman" w:eastAsia="宋体" w:cs="Times New Roman"/>
                <w:color w:val="auto"/>
                <w:sz w:val="21"/>
                <w:szCs w:val="21"/>
                <w:highlight w:val="none"/>
              </w:rPr>
              <w:t>18597-20</w:t>
            </w:r>
            <w:r>
              <w:rPr>
                <w:rFonts w:hint="default" w:ascii="Times New Roman" w:hAnsi="Times New Roman" w:eastAsia="宋体" w:cs="Times New Roman"/>
                <w:color w:val="auto"/>
                <w:sz w:val="21"/>
                <w:szCs w:val="21"/>
                <w:highlight w:val="none"/>
                <w:lang w:val="en-US" w:eastAsia="zh-CN"/>
              </w:rPr>
              <w:t>23</w:t>
            </w:r>
            <w:r>
              <w:rPr>
                <w:rFonts w:hint="default" w:ascii="Times New Roman" w:hAnsi="Times New Roman" w:eastAsia="宋体" w:cs="Times New Roman"/>
                <w:color w:val="auto"/>
                <w:sz w:val="21"/>
                <w:szCs w:val="21"/>
                <w:highlight w:val="none"/>
              </w:rPr>
              <w:t>）的有关标准，项目设置</w:t>
            </w:r>
            <w:r>
              <w:rPr>
                <w:rFonts w:hint="default" w:ascii="Times New Roman" w:hAnsi="Times New Roman" w:eastAsia="宋体" w:cs="Times New Roman"/>
                <w:color w:val="auto"/>
                <w:kern w:val="0"/>
                <w:sz w:val="21"/>
                <w:szCs w:val="21"/>
                <w:highlight w:val="none"/>
              </w:rPr>
              <w:t>危险废物贮存场所</w:t>
            </w:r>
            <w:r>
              <w:rPr>
                <w:rFonts w:hint="default" w:ascii="Times New Roman" w:hAnsi="Times New Roman" w:eastAsia="宋体" w:cs="Times New Roman"/>
                <w:color w:val="auto"/>
                <w:sz w:val="21"/>
                <w:szCs w:val="21"/>
                <w:highlight w:val="none"/>
              </w:rPr>
              <w:t>，需要做到以下几点：</w:t>
            </w:r>
          </w:p>
          <w:p w14:paraId="2B75E595">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z w:val="21"/>
                <w:szCs w:val="21"/>
                <w:highlight w:val="none"/>
              </w:rPr>
              <w:t>①项目</w:t>
            </w:r>
            <w:r>
              <w:rPr>
                <w:rFonts w:hint="default" w:ascii="Times New Roman" w:hAnsi="Times New Roman" w:eastAsia="宋体" w:cs="Times New Roman"/>
                <w:color w:val="auto"/>
                <w:kern w:val="0"/>
                <w:sz w:val="21"/>
                <w:szCs w:val="21"/>
                <w:highlight w:val="none"/>
              </w:rPr>
              <w:t>危险废物贮存场所</w:t>
            </w:r>
            <w:r>
              <w:rPr>
                <w:rFonts w:hint="default" w:ascii="Times New Roman" w:hAnsi="Times New Roman" w:eastAsia="宋体" w:cs="Times New Roman"/>
                <w:color w:val="auto"/>
                <w:sz w:val="21"/>
                <w:szCs w:val="21"/>
                <w:highlight w:val="none"/>
              </w:rPr>
              <w:t>对各类危险废物的堆存要求较严，</w:t>
            </w:r>
            <w:r>
              <w:rPr>
                <w:rFonts w:hint="default" w:ascii="Times New Roman" w:hAnsi="Times New Roman" w:eastAsia="宋体" w:cs="Times New Roman"/>
                <w:color w:val="auto"/>
                <w:kern w:val="0"/>
                <w:sz w:val="21"/>
                <w:szCs w:val="21"/>
                <w:highlight w:val="none"/>
              </w:rPr>
              <w:t>危险废物贮存场所</w:t>
            </w:r>
            <w:r>
              <w:rPr>
                <w:rFonts w:hint="default" w:ascii="Times New Roman" w:hAnsi="Times New Roman" w:eastAsia="宋体" w:cs="Times New Roman"/>
                <w:color w:val="auto"/>
                <w:sz w:val="21"/>
                <w:szCs w:val="21"/>
                <w:highlight w:val="none"/>
              </w:rPr>
              <w:t>应根据不同性质的危废进行分区堆放储存；</w:t>
            </w:r>
            <w:r>
              <w:rPr>
                <w:rFonts w:hint="default" w:ascii="Times New Roman" w:hAnsi="Times New Roman" w:eastAsia="宋体" w:cs="Times New Roman"/>
                <w:color w:val="auto"/>
                <w:sz w:val="21"/>
                <w:szCs w:val="21"/>
                <w:highlight w:val="none"/>
                <w:lang w:val="en-US" w:eastAsia="zh-CN"/>
              </w:rPr>
              <w:t>不同</w:t>
            </w:r>
            <w:r>
              <w:rPr>
                <w:rFonts w:hint="default" w:ascii="Times New Roman" w:hAnsi="Times New Roman" w:eastAsia="宋体" w:cs="Times New Roman"/>
                <w:color w:val="auto"/>
                <w:sz w:val="21"/>
                <w:szCs w:val="21"/>
                <w:highlight w:val="none"/>
              </w:rPr>
              <w:t>危险废物可集中堆放在某区</w:t>
            </w:r>
            <w:r>
              <w:rPr>
                <w:rFonts w:hint="default" w:ascii="Times New Roman" w:hAnsi="Times New Roman" w:eastAsia="宋体" w:cs="Times New Roman"/>
                <w:color w:val="auto"/>
                <w:sz w:val="21"/>
                <w:szCs w:val="21"/>
                <w:highlight w:val="none"/>
                <w:lang w:val="en-US" w:eastAsia="zh-CN"/>
              </w:rPr>
              <w:t>域</w:t>
            </w:r>
            <w:r>
              <w:rPr>
                <w:rFonts w:hint="default" w:ascii="Times New Roman" w:hAnsi="Times New Roman" w:eastAsia="宋体" w:cs="Times New Roman"/>
                <w:color w:val="auto"/>
                <w:sz w:val="21"/>
                <w:szCs w:val="21"/>
                <w:highlight w:val="none"/>
              </w:rPr>
              <w:t>，但必须用标签标明</w:t>
            </w:r>
            <w:r>
              <w:rPr>
                <w:rFonts w:hint="default" w:ascii="Times New Roman" w:hAnsi="Times New Roman" w:eastAsia="宋体" w:cs="Times New Roman"/>
                <w:color w:val="auto"/>
                <w:sz w:val="21"/>
                <w:szCs w:val="21"/>
                <w:highlight w:val="none"/>
                <w:lang w:val="en-US" w:eastAsia="zh-CN"/>
              </w:rPr>
              <w:t>各区域</w:t>
            </w:r>
            <w:r>
              <w:rPr>
                <w:rFonts w:hint="default" w:ascii="Times New Roman" w:hAnsi="Times New Roman" w:eastAsia="宋体" w:cs="Times New Roman"/>
                <w:color w:val="auto"/>
                <w:sz w:val="21"/>
                <w:szCs w:val="21"/>
                <w:highlight w:val="none"/>
              </w:rPr>
              <w:t>危险废物名称，且不相容废物不得混合装</w:t>
            </w:r>
            <w:r>
              <w:rPr>
                <w:rFonts w:hint="default" w:ascii="Times New Roman" w:hAnsi="Times New Roman" w:eastAsia="宋体" w:cs="Times New Roman"/>
                <w:color w:val="auto"/>
                <w:sz w:val="21"/>
                <w:szCs w:val="21"/>
                <w:highlight w:val="none"/>
                <w:lang w:val="en-US" w:eastAsia="zh-CN"/>
              </w:rPr>
              <w:t>在同一容器内</w:t>
            </w:r>
            <w:r>
              <w:rPr>
                <w:rFonts w:hint="default" w:ascii="Times New Roman" w:hAnsi="Times New Roman" w:eastAsia="宋体" w:cs="Times New Roman"/>
                <w:color w:val="auto"/>
                <w:sz w:val="21"/>
                <w:szCs w:val="21"/>
                <w:highlight w:val="none"/>
              </w:rPr>
              <w:t>；废包装单独堆放，也需用指示牌标明。各分区之间须有明确的界限，并做好防渗、消防等防范措施，储存区必须严格按照《危险废物贮存污染控制标准》（GB18597-20</w:t>
            </w:r>
            <w:r>
              <w:rPr>
                <w:rFonts w:hint="default" w:ascii="Times New Roman" w:hAnsi="Times New Roman" w:eastAsia="宋体" w:cs="Times New Roman"/>
                <w:color w:val="auto"/>
                <w:sz w:val="21"/>
                <w:szCs w:val="21"/>
                <w:highlight w:val="none"/>
                <w:lang w:val="en-US" w:eastAsia="zh-CN"/>
              </w:rPr>
              <w:t>23</w:t>
            </w:r>
            <w:r>
              <w:rPr>
                <w:rFonts w:hint="default" w:ascii="Times New Roman" w:hAnsi="Times New Roman" w:eastAsia="宋体" w:cs="Times New Roman"/>
                <w:color w:val="auto"/>
                <w:sz w:val="21"/>
                <w:szCs w:val="21"/>
                <w:highlight w:val="none"/>
              </w:rPr>
              <w:t>）建设和维护使用；</w:t>
            </w:r>
          </w:p>
          <w:p w14:paraId="11E7F99D">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②在常温、常压下易燃、易爆及排出有毒气体的危险废物必须进行预处理，使之稳定后贮存；</w:t>
            </w:r>
          </w:p>
          <w:p w14:paraId="27395A52">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③应使用符合标准的容器装危险废物；</w:t>
            </w:r>
          </w:p>
          <w:p w14:paraId="0C9E371E">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④不相容危险废物必须分开存放，并设置隔离带；</w:t>
            </w:r>
          </w:p>
          <w:p w14:paraId="43B18053">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⑤危险废物贮存前应进行检查，并注册登记，做好记录，记录上需注明危险废物的名称、来源、数量、入库日期、存放位置、出库日期及去向；</w:t>
            </w:r>
          </w:p>
          <w:p w14:paraId="432AD14D">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⑥建立档案管理制度，长期保存供随时查阅；</w:t>
            </w:r>
          </w:p>
          <w:p w14:paraId="5C742D3C">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⑦必须定期对贮存危险废物的容器及设施进行检查，发现破损应及时采取措施清理更换，并做好记录；</w:t>
            </w:r>
          </w:p>
          <w:p w14:paraId="7B677823">
            <w:pPr>
              <w:shd w:val="clear"/>
              <w:spacing w:line="360" w:lineRule="auto"/>
              <w:ind w:firstLine="420" w:firstLineChars="200"/>
              <w:jc w:val="both"/>
              <w:rPr>
                <w:rFonts w:hint="default" w:ascii="Times New Roman" w:hAnsi="Times New Roman" w:eastAsia="宋体" w:cs="Times New Roman"/>
                <w:b/>
                <w:bCs w:val="0"/>
                <w:color w:val="auto"/>
                <w:spacing w:val="-10"/>
                <w:sz w:val="21"/>
                <w:szCs w:val="21"/>
                <w:highlight w:val="none"/>
                <w:lang w:val="en-US" w:eastAsia="zh-CN"/>
              </w:rPr>
            </w:pPr>
            <w:r>
              <w:rPr>
                <w:rFonts w:hint="default" w:ascii="Times New Roman" w:hAnsi="Times New Roman" w:eastAsia="宋体" w:cs="Times New Roman"/>
                <w:color w:val="auto"/>
                <w:sz w:val="21"/>
                <w:szCs w:val="21"/>
                <w:highlight w:val="none"/>
              </w:rPr>
              <w:t>⑧建设单位必须严格遵守有关危险废物有关储存的规定，建立一套完整的仓库管理体制</w:t>
            </w:r>
            <w:r>
              <w:rPr>
                <w:rFonts w:hint="default" w:ascii="Times New Roman" w:hAnsi="Times New Roman" w:eastAsia="宋体" w:cs="Times New Roman"/>
                <w:color w:val="auto"/>
                <w:sz w:val="21"/>
                <w:szCs w:val="21"/>
                <w:highlight w:val="none"/>
                <w:lang w:eastAsia="zh-CN"/>
              </w:rPr>
              <w:t>。</w:t>
            </w:r>
          </w:p>
          <w:p w14:paraId="4DDFE2C6">
            <w:pPr>
              <w:pStyle w:val="24"/>
              <w:keepNext w:val="0"/>
              <w:keepLines w:val="0"/>
              <w:pageBreakBefore w:val="0"/>
              <w:widowControl w:val="0"/>
              <w:numPr>
                <w:ilvl w:val="0"/>
                <w:numId w:val="0"/>
              </w:numPr>
              <w:shd w:val="clear"/>
              <w:kinsoku/>
              <w:wordWrap/>
              <w:overflowPunct/>
              <w:topLinePunct w:val="0"/>
              <w:autoSpaceDE/>
              <w:autoSpaceDN/>
              <w:bidi w:val="0"/>
              <w:adjustRightInd/>
              <w:snapToGrid w:val="0"/>
              <w:spacing w:after="0" w:line="240" w:lineRule="auto"/>
              <w:ind w:leftChars="0"/>
              <w:jc w:val="center"/>
              <w:textAlignment w:val="auto"/>
              <w:rPr>
                <w:rFonts w:hint="default" w:ascii="Times New Roman" w:hAnsi="Times New Roman" w:eastAsia="宋体" w:cs="Times New Roman"/>
                <w:b/>
                <w:bCs w:val="0"/>
                <w:color w:val="auto"/>
                <w:spacing w:val="-10"/>
                <w:sz w:val="24"/>
                <w:szCs w:val="24"/>
                <w:highlight w:val="none"/>
                <w:lang w:val="en-US" w:eastAsia="zh-CN"/>
              </w:rPr>
            </w:pPr>
            <w:r>
              <w:rPr>
                <w:rFonts w:hint="default" w:ascii="Times New Roman" w:hAnsi="Times New Roman" w:eastAsia="宋体" w:cs="Times New Roman"/>
                <w:b/>
                <w:bCs w:val="0"/>
                <w:color w:val="auto"/>
                <w:spacing w:val="-10"/>
                <w:sz w:val="24"/>
                <w:szCs w:val="24"/>
                <w:highlight w:val="none"/>
                <w:lang w:val="en-US" w:eastAsia="zh-CN"/>
              </w:rPr>
              <w:t>表</w:t>
            </w:r>
            <w:r>
              <w:rPr>
                <w:rFonts w:hint="eastAsia" w:cs="Times New Roman"/>
                <w:b/>
                <w:bCs w:val="0"/>
                <w:color w:val="auto"/>
                <w:spacing w:val="-10"/>
                <w:sz w:val="24"/>
                <w:szCs w:val="24"/>
                <w:highlight w:val="none"/>
                <w:lang w:val="en-US" w:eastAsia="zh-CN"/>
              </w:rPr>
              <w:t>44</w:t>
            </w:r>
            <w:r>
              <w:rPr>
                <w:rFonts w:hint="default" w:ascii="Times New Roman" w:hAnsi="Times New Roman" w:eastAsia="宋体" w:cs="Times New Roman"/>
                <w:b/>
                <w:bCs w:val="0"/>
                <w:color w:val="auto"/>
                <w:spacing w:val="-10"/>
                <w:sz w:val="24"/>
                <w:szCs w:val="24"/>
                <w:highlight w:val="none"/>
                <w:lang w:val="en-US" w:eastAsia="zh-CN"/>
              </w:rPr>
              <w:t>建设项目危险废物贮存场所（设施）基本情况表</w:t>
            </w:r>
          </w:p>
          <w:tbl>
            <w:tblPr>
              <w:tblStyle w:val="3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35"/>
              <w:gridCol w:w="1268"/>
              <w:gridCol w:w="916"/>
              <w:gridCol w:w="1252"/>
              <w:gridCol w:w="510"/>
              <w:gridCol w:w="469"/>
              <w:gridCol w:w="1038"/>
              <w:gridCol w:w="1016"/>
              <w:gridCol w:w="916"/>
              <w:gridCol w:w="469"/>
            </w:tblGrid>
            <w:tr w14:paraId="4089A7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4" w:type="pct"/>
                  <w:noWrap w:val="0"/>
                  <w:vAlign w:val="center"/>
                </w:tcPr>
                <w:p w14:paraId="64BBBF4B">
                  <w:pPr>
                    <w:pStyle w:val="63"/>
                    <w:shd w:val="clear"/>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b/>
                      <w:color w:val="auto"/>
                      <w:sz w:val="21"/>
                      <w:szCs w:val="21"/>
                      <w:highlight w:val="none"/>
                    </w:rPr>
                    <w:t>贮存场所名称</w:t>
                  </w:r>
                </w:p>
              </w:tc>
              <w:tc>
                <w:tcPr>
                  <w:tcW w:w="746" w:type="pct"/>
                  <w:noWrap w:val="0"/>
                  <w:vAlign w:val="center"/>
                </w:tcPr>
                <w:p w14:paraId="40DCB892">
                  <w:pPr>
                    <w:pStyle w:val="63"/>
                    <w:shd w:val="clear"/>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b/>
                      <w:color w:val="auto"/>
                      <w:sz w:val="21"/>
                      <w:szCs w:val="21"/>
                      <w:highlight w:val="none"/>
                    </w:rPr>
                    <w:t>危险废物名称</w:t>
                  </w:r>
                </w:p>
              </w:tc>
              <w:tc>
                <w:tcPr>
                  <w:tcW w:w="539" w:type="pct"/>
                  <w:noWrap w:val="0"/>
                  <w:vAlign w:val="center"/>
                </w:tcPr>
                <w:p w14:paraId="0EA405D9">
                  <w:pPr>
                    <w:pStyle w:val="63"/>
                    <w:shd w:val="clear"/>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b/>
                      <w:color w:val="auto"/>
                      <w:kern w:val="0"/>
                      <w:sz w:val="21"/>
                      <w:szCs w:val="21"/>
                      <w:highlight w:val="none"/>
                      <w:lang w:bidi="en-US"/>
                    </w:rPr>
                    <w:t>危险废物类别</w:t>
                  </w:r>
                </w:p>
              </w:tc>
              <w:tc>
                <w:tcPr>
                  <w:tcW w:w="737" w:type="pct"/>
                  <w:noWrap w:val="0"/>
                  <w:vAlign w:val="center"/>
                </w:tcPr>
                <w:p w14:paraId="22CB5BD7">
                  <w:pPr>
                    <w:pStyle w:val="63"/>
                    <w:shd w:val="clear"/>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b/>
                      <w:color w:val="auto"/>
                      <w:sz w:val="21"/>
                      <w:szCs w:val="21"/>
                      <w:highlight w:val="none"/>
                    </w:rPr>
                    <w:t>危险废物代码</w:t>
                  </w:r>
                </w:p>
              </w:tc>
              <w:tc>
                <w:tcPr>
                  <w:tcW w:w="300" w:type="pct"/>
                  <w:noWrap w:val="0"/>
                  <w:vAlign w:val="center"/>
                </w:tcPr>
                <w:p w14:paraId="1C989DC3">
                  <w:pPr>
                    <w:pStyle w:val="63"/>
                    <w:shd w:val="clear"/>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b/>
                      <w:color w:val="auto"/>
                      <w:sz w:val="21"/>
                      <w:szCs w:val="21"/>
                      <w:highlight w:val="none"/>
                    </w:rPr>
                    <w:t>位置</w:t>
                  </w:r>
                </w:p>
              </w:tc>
              <w:tc>
                <w:tcPr>
                  <w:tcW w:w="276" w:type="pct"/>
                  <w:noWrap w:val="0"/>
                  <w:vAlign w:val="center"/>
                </w:tcPr>
                <w:p w14:paraId="47607E63">
                  <w:pPr>
                    <w:pStyle w:val="63"/>
                    <w:shd w:val="clear"/>
                    <w:spacing w:line="240" w:lineRule="auto"/>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贮存</w:t>
                  </w:r>
                </w:p>
                <w:p w14:paraId="185524E3">
                  <w:pPr>
                    <w:pStyle w:val="63"/>
                    <w:shd w:val="clear"/>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b/>
                      <w:color w:val="auto"/>
                      <w:sz w:val="21"/>
                      <w:szCs w:val="21"/>
                      <w:highlight w:val="none"/>
                    </w:rPr>
                    <w:t>方式</w:t>
                  </w:r>
                </w:p>
              </w:tc>
              <w:tc>
                <w:tcPr>
                  <w:tcW w:w="611" w:type="pct"/>
                  <w:noWrap w:val="0"/>
                  <w:vAlign w:val="center"/>
                </w:tcPr>
                <w:p w14:paraId="4C05C8E6">
                  <w:pPr>
                    <w:pStyle w:val="63"/>
                    <w:shd w:val="clear"/>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b/>
                      <w:color w:val="auto"/>
                      <w:sz w:val="21"/>
                      <w:szCs w:val="21"/>
                      <w:highlight w:val="none"/>
                    </w:rPr>
                    <w:t>贮存能力</w:t>
                  </w:r>
                  <w:r>
                    <w:rPr>
                      <w:rFonts w:hint="default" w:ascii="Times New Roman" w:hAnsi="Times New Roman" w:eastAsia="宋体" w:cs="Times New Roman"/>
                      <w:b/>
                      <w:color w:val="auto"/>
                      <w:sz w:val="21"/>
                      <w:szCs w:val="21"/>
                      <w:highlight w:val="none"/>
                      <w:lang w:eastAsia="zh-CN"/>
                    </w:rPr>
                    <w:t>（</w:t>
                  </w:r>
                  <w:r>
                    <w:rPr>
                      <w:rFonts w:hint="eastAsia" w:ascii="Times New Roman" w:hAnsi="Times New Roman" w:cs="Times New Roman"/>
                      <w:b/>
                      <w:color w:val="auto"/>
                      <w:sz w:val="21"/>
                      <w:szCs w:val="21"/>
                      <w:highlight w:val="none"/>
                      <w:lang w:val="en-US" w:eastAsia="zh-CN"/>
                    </w:rPr>
                    <w:t>t/a</w:t>
                  </w:r>
                  <w:r>
                    <w:rPr>
                      <w:rFonts w:hint="default" w:ascii="Times New Roman" w:hAnsi="Times New Roman" w:eastAsia="宋体" w:cs="Times New Roman"/>
                      <w:b/>
                      <w:color w:val="auto"/>
                      <w:sz w:val="21"/>
                      <w:szCs w:val="21"/>
                      <w:highlight w:val="none"/>
                      <w:lang w:eastAsia="zh-CN"/>
                    </w:rPr>
                    <w:t>）</w:t>
                  </w:r>
                </w:p>
              </w:tc>
              <w:tc>
                <w:tcPr>
                  <w:tcW w:w="598" w:type="pct"/>
                  <w:noWrap w:val="0"/>
                  <w:vAlign w:val="center"/>
                </w:tcPr>
                <w:p w14:paraId="1E74DAA8">
                  <w:pPr>
                    <w:pStyle w:val="63"/>
                    <w:shd w:val="clear"/>
                    <w:spacing w:line="240" w:lineRule="auto"/>
                    <w:jc w:val="center"/>
                    <w:rPr>
                      <w:rFonts w:hint="eastAsia" w:ascii="Times New Roman" w:hAnsi="Times New Roman" w:eastAsia="宋体" w:cs="Times New Roman"/>
                      <w:b/>
                      <w:color w:val="auto"/>
                      <w:sz w:val="21"/>
                      <w:szCs w:val="21"/>
                      <w:highlight w:val="none"/>
                      <w:lang w:val="en-US" w:eastAsia="zh-CN"/>
                    </w:rPr>
                  </w:pPr>
                  <w:r>
                    <w:rPr>
                      <w:rFonts w:hint="eastAsia" w:ascii="Times New Roman" w:hAnsi="Times New Roman" w:cs="Times New Roman"/>
                      <w:b/>
                      <w:color w:val="auto"/>
                      <w:sz w:val="21"/>
                      <w:szCs w:val="21"/>
                      <w:highlight w:val="none"/>
                      <w:lang w:val="en-US" w:eastAsia="zh-CN"/>
                    </w:rPr>
                    <w:t>占地面积（㎡）</w:t>
                  </w:r>
                </w:p>
              </w:tc>
              <w:tc>
                <w:tcPr>
                  <w:tcW w:w="539" w:type="pct"/>
                  <w:noWrap w:val="0"/>
                  <w:vAlign w:val="center"/>
                </w:tcPr>
                <w:p w14:paraId="64F2CAAC">
                  <w:pPr>
                    <w:pStyle w:val="63"/>
                    <w:shd w:val="clear"/>
                    <w:spacing w:line="240" w:lineRule="auto"/>
                    <w:jc w:val="center"/>
                    <w:rPr>
                      <w:rFonts w:hint="default" w:ascii="Times New Roman" w:hAnsi="Times New Roman" w:cs="Times New Roman"/>
                      <w:b/>
                      <w:color w:val="auto"/>
                      <w:sz w:val="21"/>
                      <w:szCs w:val="21"/>
                      <w:highlight w:val="none"/>
                      <w:lang w:val="en-US" w:eastAsia="zh-CN"/>
                    </w:rPr>
                  </w:pPr>
                  <w:r>
                    <w:rPr>
                      <w:rFonts w:hint="eastAsia" w:ascii="Times New Roman" w:hAnsi="Times New Roman" w:cs="Times New Roman"/>
                      <w:b/>
                      <w:color w:val="auto"/>
                      <w:sz w:val="21"/>
                      <w:szCs w:val="21"/>
                      <w:highlight w:val="none"/>
                      <w:lang w:val="en-US" w:eastAsia="zh-CN"/>
                    </w:rPr>
                    <w:t>总占地面积(㎡）</w:t>
                  </w:r>
                </w:p>
              </w:tc>
              <w:tc>
                <w:tcPr>
                  <w:tcW w:w="276" w:type="pct"/>
                  <w:noWrap w:val="0"/>
                  <w:vAlign w:val="center"/>
                </w:tcPr>
                <w:p w14:paraId="642B53CD">
                  <w:pPr>
                    <w:pStyle w:val="63"/>
                    <w:shd w:val="clear"/>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b/>
                      <w:color w:val="auto"/>
                      <w:sz w:val="21"/>
                      <w:szCs w:val="21"/>
                      <w:highlight w:val="none"/>
                    </w:rPr>
                    <w:t>贮存周期</w:t>
                  </w:r>
                </w:p>
              </w:tc>
            </w:tr>
            <w:tr w14:paraId="707094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9" w:hRule="atLeast"/>
                <w:jc w:val="center"/>
              </w:trPr>
              <w:tc>
                <w:tcPr>
                  <w:tcW w:w="374" w:type="pct"/>
                  <w:vMerge w:val="restart"/>
                  <w:noWrap w:val="0"/>
                  <w:vAlign w:val="center"/>
                </w:tcPr>
                <w:p w14:paraId="3A5731BB">
                  <w:pPr>
                    <w:pStyle w:val="24"/>
                    <w:keepNext w:val="0"/>
                    <w:keepLines w:val="0"/>
                    <w:pageBreakBefore w:val="0"/>
                    <w:widowControl w:val="0"/>
                    <w:numPr>
                      <w:ilvl w:val="0"/>
                      <w:numId w:val="0"/>
                    </w:numPr>
                    <w:shd w:val="clear"/>
                    <w:kinsoku/>
                    <w:wordWrap/>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bidi="en-US"/>
                    </w:rPr>
                    <w:t>危废间</w:t>
                  </w:r>
                </w:p>
              </w:tc>
              <w:tc>
                <w:tcPr>
                  <w:tcW w:w="746" w:type="pct"/>
                  <w:noWrap w:val="0"/>
                  <w:vAlign w:val="center"/>
                </w:tcPr>
                <w:p w14:paraId="2E4C7561">
                  <w:pPr>
                    <w:widowControl/>
                    <w:shd w:val="clear"/>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eastAsia" w:cs="Times New Roman"/>
                      <w:color w:val="auto"/>
                      <w:sz w:val="21"/>
                      <w:szCs w:val="21"/>
                      <w:highlight w:val="none"/>
                      <w:lang w:val="en-US" w:eastAsia="zh-CN"/>
                    </w:rPr>
                    <w:t>废</w:t>
                  </w:r>
                  <w:r>
                    <w:rPr>
                      <w:rFonts w:hint="default" w:ascii="Times New Roman" w:hAnsi="Times New Roman" w:eastAsia="宋体" w:cs="Times New Roman"/>
                      <w:color w:val="auto"/>
                      <w:sz w:val="21"/>
                      <w:szCs w:val="21"/>
                      <w:highlight w:val="none"/>
                    </w:rPr>
                    <w:t>饱和活性炭</w:t>
                  </w:r>
                </w:p>
              </w:tc>
              <w:tc>
                <w:tcPr>
                  <w:tcW w:w="539" w:type="pct"/>
                  <w:noWrap w:val="0"/>
                  <w:vAlign w:val="center"/>
                </w:tcPr>
                <w:p w14:paraId="38AF6680">
                  <w:pPr>
                    <w:widowControl/>
                    <w:shd w:val="clear"/>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HW49</w:t>
                  </w:r>
                </w:p>
              </w:tc>
              <w:tc>
                <w:tcPr>
                  <w:tcW w:w="737" w:type="pct"/>
                  <w:noWrap w:val="0"/>
                  <w:vAlign w:val="center"/>
                </w:tcPr>
                <w:p w14:paraId="07305AE0">
                  <w:pPr>
                    <w:widowControl/>
                    <w:shd w:val="clear"/>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900-039-49</w:t>
                  </w:r>
                </w:p>
              </w:tc>
              <w:tc>
                <w:tcPr>
                  <w:tcW w:w="300" w:type="pct"/>
                  <w:vMerge w:val="restart"/>
                  <w:noWrap w:val="0"/>
                  <w:vAlign w:val="center"/>
                </w:tcPr>
                <w:p w14:paraId="259C6555">
                  <w:pPr>
                    <w:pStyle w:val="80"/>
                    <w:numPr>
                      <w:ilvl w:val="0"/>
                      <w:numId w:val="0"/>
                    </w:numPr>
                    <w:shd w:val="clear"/>
                    <w:spacing w:before="0" w:beforeLines="0" w:line="240" w:lineRule="auto"/>
                    <w:ind w:left="0" w:leftChars="0" w:firstLine="0" w:firstLineChars="0"/>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bidi="en-US"/>
                    </w:rPr>
                    <w:t>车间内</w:t>
                  </w:r>
                </w:p>
              </w:tc>
              <w:tc>
                <w:tcPr>
                  <w:tcW w:w="276" w:type="pct"/>
                  <w:noWrap w:val="0"/>
                  <w:vAlign w:val="center"/>
                </w:tcPr>
                <w:p w14:paraId="667C5820">
                  <w:pPr>
                    <w:shd w:val="clear"/>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lang w:bidi="en-US"/>
                    </w:rPr>
                    <w:t>桶装</w:t>
                  </w:r>
                </w:p>
              </w:tc>
              <w:tc>
                <w:tcPr>
                  <w:tcW w:w="611" w:type="pct"/>
                  <w:noWrap w:val="0"/>
                  <w:vAlign w:val="center"/>
                </w:tcPr>
                <w:p w14:paraId="44861FE6">
                  <w:pPr>
                    <w:pStyle w:val="80"/>
                    <w:numPr>
                      <w:ilvl w:val="0"/>
                      <w:numId w:val="0"/>
                    </w:numPr>
                    <w:shd w:val="clear"/>
                    <w:spacing w:before="0" w:beforeLines="0" w:line="240" w:lineRule="auto"/>
                    <w:ind w:left="0" w:leftChars="0" w:firstLine="0" w:firstLineChars="0"/>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eastAsia"/>
                      <w:color w:val="auto"/>
                      <w:sz w:val="21"/>
                      <w:szCs w:val="21"/>
                      <w:highlight w:val="none"/>
                      <w:lang w:val="en-US" w:eastAsia="zh-CN"/>
                    </w:rPr>
                    <w:t>3.9</w:t>
                  </w:r>
                </w:p>
              </w:tc>
              <w:tc>
                <w:tcPr>
                  <w:tcW w:w="598" w:type="pct"/>
                  <w:noWrap w:val="0"/>
                  <w:vAlign w:val="center"/>
                </w:tcPr>
                <w:p w14:paraId="4DC0B083">
                  <w:pPr>
                    <w:pStyle w:val="80"/>
                    <w:numPr>
                      <w:ilvl w:val="0"/>
                      <w:numId w:val="0"/>
                    </w:numPr>
                    <w:shd w:val="clear"/>
                    <w:spacing w:before="0" w:beforeLines="0" w:line="240" w:lineRule="auto"/>
                    <w:ind w:left="0" w:leftChars="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5</w:t>
                  </w:r>
                </w:p>
              </w:tc>
              <w:tc>
                <w:tcPr>
                  <w:tcW w:w="539" w:type="pct"/>
                  <w:vMerge w:val="restart"/>
                  <w:noWrap w:val="0"/>
                  <w:vAlign w:val="center"/>
                </w:tcPr>
                <w:p w14:paraId="2192B91A">
                  <w:pPr>
                    <w:pStyle w:val="80"/>
                    <w:numPr>
                      <w:ilvl w:val="0"/>
                      <w:numId w:val="0"/>
                    </w:numPr>
                    <w:shd w:val="clear"/>
                    <w:spacing w:before="0" w:beforeLines="0" w:line="240" w:lineRule="auto"/>
                    <w:ind w:left="0" w:leftChars="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15</w:t>
                  </w:r>
                </w:p>
              </w:tc>
              <w:tc>
                <w:tcPr>
                  <w:tcW w:w="276" w:type="pct"/>
                  <w:noWrap w:val="0"/>
                  <w:vAlign w:val="center"/>
                </w:tcPr>
                <w:p w14:paraId="10F10A46">
                  <w:pPr>
                    <w:keepNext w:val="0"/>
                    <w:keepLines w:val="0"/>
                    <w:pageBreakBefore w:val="0"/>
                    <w:widowControl w:val="0"/>
                    <w:numPr>
                      <w:ilvl w:val="0"/>
                      <w:numId w:val="0"/>
                    </w:numPr>
                    <w:shd w:val="clear"/>
                    <w:kinsoku/>
                    <w:wordWrap/>
                    <w:overflowPunct/>
                    <w:topLinePunct w:val="0"/>
                    <w:autoSpaceDE/>
                    <w:autoSpaceDN/>
                    <w:bidi w:val="0"/>
                    <w:adjustRightInd/>
                    <w:snapToGrid w:val="0"/>
                    <w:spacing w:after="0" w:line="360" w:lineRule="auto"/>
                    <w:jc w:val="center"/>
                    <w:textAlignment w:val="auto"/>
                    <w:rPr>
                      <w:rFonts w:hint="default" w:ascii="Times New Roman" w:hAnsi="Times New Roman" w:eastAsia="宋体" w:cs="Times New Roman"/>
                      <w:b/>
                      <w:bCs w:val="0"/>
                      <w:color w:val="auto"/>
                      <w:spacing w:val="-10"/>
                      <w:sz w:val="24"/>
                      <w:szCs w:val="24"/>
                      <w:highlight w:val="none"/>
                      <w:vertAlign w:val="baseline"/>
                      <w:lang w:val="en-US" w:eastAsia="zh-CN"/>
                    </w:rPr>
                  </w:pPr>
                  <w:r>
                    <w:rPr>
                      <w:rFonts w:hint="eastAsia" w:cs="Times New Roman"/>
                      <w:color w:val="auto"/>
                      <w:sz w:val="21"/>
                      <w:szCs w:val="21"/>
                      <w:highlight w:val="none"/>
                      <w:lang w:val="en-US" w:eastAsia="zh-CN"/>
                    </w:rPr>
                    <w:t>半</w:t>
                  </w:r>
                  <w:r>
                    <w:rPr>
                      <w:rFonts w:hint="eastAsia" w:eastAsia="宋体" w:cs="Times New Roman"/>
                      <w:b w:val="0"/>
                      <w:bCs/>
                      <w:color w:val="auto"/>
                      <w:spacing w:val="-10"/>
                      <w:sz w:val="21"/>
                      <w:szCs w:val="21"/>
                      <w:highlight w:val="none"/>
                      <w:vertAlign w:val="baseline"/>
                      <w:lang w:val="en-US" w:eastAsia="zh-CN"/>
                    </w:rPr>
                    <w:t>年</w:t>
                  </w:r>
                </w:p>
              </w:tc>
            </w:tr>
            <w:tr w14:paraId="6B776F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3" w:hRule="atLeast"/>
                <w:jc w:val="center"/>
              </w:trPr>
              <w:tc>
                <w:tcPr>
                  <w:tcW w:w="374" w:type="pct"/>
                  <w:vMerge w:val="continue"/>
                  <w:noWrap w:val="0"/>
                  <w:vAlign w:val="center"/>
                </w:tcPr>
                <w:p w14:paraId="0BB8BC90">
                  <w:pPr>
                    <w:pStyle w:val="24"/>
                    <w:keepNext w:val="0"/>
                    <w:keepLines w:val="0"/>
                    <w:pageBreakBefore w:val="0"/>
                    <w:widowControl w:val="0"/>
                    <w:numPr>
                      <w:ilvl w:val="0"/>
                      <w:numId w:val="0"/>
                    </w:numPr>
                    <w:shd w:val="clear"/>
                    <w:kinsoku/>
                    <w:wordWrap/>
                    <w:overflowPunct/>
                    <w:topLinePunct w:val="0"/>
                    <w:autoSpaceDE/>
                    <w:autoSpaceDN/>
                    <w:bidi w:val="0"/>
                    <w:adjustRightInd/>
                    <w:snapToGrid w:val="0"/>
                    <w:spacing w:after="0" w:line="360" w:lineRule="auto"/>
                    <w:jc w:val="both"/>
                    <w:textAlignment w:val="auto"/>
                    <w:rPr>
                      <w:rFonts w:hint="default" w:ascii="Times New Roman" w:hAnsi="Times New Roman" w:eastAsia="宋体" w:cs="Times New Roman"/>
                      <w:b/>
                      <w:bCs w:val="0"/>
                      <w:color w:val="auto"/>
                      <w:spacing w:val="-10"/>
                      <w:sz w:val="24"/>
                      <w:szCs w:val="24"/>
                      <w:highlight w:val="none"/>
                      <w:vertAlign w:val="baseline"/>
                      <w:lang w:val="en-US" w:eastAsia="zh-CN"/>
                    </w:rPr>
                  </w:pPr>
                </w:p>
              </w:tc>
              <w:tc>
                <w:tcPr>
                  <w:tcW w:w="746" w:type="pct"/>
                  <w:noWrap w:val="0"/>
                  <w:vAlign w:val="center"/>
                </w:tcPr>
                <w:p w14:paraId="5E32DDC9">
                  <w:pPr>
                    <w:shd w:val="clear"/>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eastAsia" w:cs="Times New Roman"/>
                      <w:color w:val="auto"/>
                      <w:sz w:val="21"/>
                      <w:szCs w:val="21"/>
                      <w:highlight w:val="none"/>
                      <w:lang w:val="en-US" w:eastAsia="zh-CN"/>
                    </w:rPr>
                    <w:t>实验废物（含废液）</w:t>
                  </w:r>
                </w:p>
              </w:tc>
              <w:tc>
                <w:tcPr>
                  <w:tcW w:w="539" w:type="pct"/>
                  <w:noWrap w:val="0"/>
                  <w:vAlign w:val="center"/>
                </w:tcPr>
                <w:p w14:paraId="3AEF8020">
                  <w:pPr>
                    <w:topLinePunct/>
                    <w:adjustRightInd w:val="0"/>
                    <w:snapToGrid w:val="0"/>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cs="Times New Roman"/>
                      <w:bCs/>
                      <w:color w:val="auto"/>
                      <w:szCs w:val="21"/>
                      <w:highlight w:val="none"/>
                    </w:rPr>
                    <w:t>HW49</w:t>
                  </w:r>
                </w:p>
              </w:tc>
              <w:tc>
                <w:tcPr>
                  <w:tcW w:w="737" w:type="pct"/>
                  <w:noWrap w:val="0"/>
                  <w:vAlign w:val="center"/>
                </w:tcPr>
                <w:p w14:paraId="1A1CD50A">
                  <w:pPr>
                    <w:topLinePunct/>
                    <w:adjustRightInd w:val="0"/>
                    <w:snapToGrid w:val="0"/>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cs="Times New Roman"/>
                      <w:bCs/>
                      <w:color w:val="auto"/>
                      <w:szCs w:val="21"/>
                      <w:highlight w:val="none"/>
                    </w:rPr>
                    <w:t>900-047-49</w:t>
                  </w:r>
                </w:p>
              </w:tc>
              <w:tc>
                <w:tcPr>
                  <w:tcW w:w="300" w:type="pct"/>
                  <w:vMerge w:val="continue"/>
                  <w:noWrap w:val="0"/>
                  <w:vAlign w:val="center"/>
                </w:tcPr>
                <w:p w14:paraId="5770AAFD">
                  <w:pPr>
                    <w:pStyle w:val="24"/>
                    <w:keepNext w:val="0"/>
                    <w:keepLines w:val="0"/>
                    <w:pageBreakBefore w:val="0"/>
                    <w:widowControl w:val="0"/>
                    <w:numPr>
                      <w:ilvl w:val="0"/>
                      <w:numId w:val="0"/>
                    </w:numPr>
                    <w:shd w:val="clear"/>
                    <w:kinsoku/>
                    <w:wordWrap/>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p>
              </w:tc>
              <w:tc>
                <w:tcPr>
                  <w:tcW w:w="276" w:type="pct"/>
                  <w:noWrap w:val="0"/>
                  <w:vAlign w:val="center"/>
                </w:tcPr>
                <w:p w14:paraId="00154973">
                  <w:pPr>
                    <w:shd w:val="clear"/>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lang w:bidi="en-US"/>
                    </w:rPr>
                    <w:t>桶装</w:t>
                  </w:r>
                </w:p>
              </w:tc>
              <w:tc>
                <w:tcPr>
                  <w:tcW w:w="611" w:type="pct"/>
                  <w:noWrap w:val="0"/>
                  <w:vAlign w:val="center"/>
                </w:tcPr>
                <w:p w14:paraId="6B153AF2">
                  <w:pPr>
                    <w:pStyle w:val="24"/>
                    <w:keepNext w:val="0"/>
                    <w:keepLines w:val="0"/>
                    <w:pageBreakBefore w:val="0"/>
                    <w:widowControl w:val="0"/>
                    <w:numPr>
                      <w:ilvl w:val="0"/>
                      <w:numId w:val="0"/>
                    </w:numPr>
                    <w:shd w:val="clear"/>
                    <w:kinsoku/>
                    <w:wordWrap/>
                    <w:overflowPunct/>
                    <w:topLinePunct w:val="0"/>
                    <w:autoSpaceDE/>
                    <w:autoSpaceDN/>
                    <w:bidi w:val="0"/>
                    <w:adjustRightInd/>
                    <w:snapToGrid w:val="0"/>
                    <w:spacing w:after="0" w:line="240" w:lineRule="auto"/>
                    <w:ind w:left="0" w:leftChars="0" w:firstLine="0" w:firstLineChars="0"/>
                    <w:jc w:val="center"/>
                    <w:textAlignment w:val="auto"/>
                    <w:rPr>
                      <w:rFonts w:hint="default" w:ascii="Times New Roman" w:hAnsi="Times New Roman" w:eastAsia="宋体" w:cs="Times New Roman"/>
                      <w:b w:val="0"/>
                      <w:bCs/>
                      <w:color w:val="auto"/>
                      <w:spacing w:val="-10"/>
                      <w:sz w:val="21"/>
                      <w:szCs w:val="21"/>
                      <w:highlight w:val="none"/>
                      <w:vertAlign w:val="baseline"/>
                      <w:lang w:val="en-US" w:eastAsia="zh-CN"/>
                    </w:rPr>
                  </w:pPr>
                  <w:r>
                    <w:rPr>
                      <w:rFonts w:hint="eastAsia" w:cs="Times New Roman"/>
                      <w:b w:val="0"/>
                      <w:bCs/>
                      <w:color w:val="auto"/>
                      <w:spacing w:val="-10"/>
                      <w:sz w:val="21"/>
                      <w:szCs w:val="21"/>
                      <w:highlight w:val="none"/>
                      <w:vertAlign w:val="baseline"/>
                      <w:lang w:val="en-US" w:eastAsia="zh-CN"/>
                    </w:rPr>
                    <w:t>1.536</w:t>
                  </w:r>
                </w:p>
              </w:tc>
              <w:tc>
                <w:tcPr>
                  <w:tcW w:w="598" w:type="pct"/>
                  <w:noWrap w:val="0"/>
                  <w:vAlign w:val="center"/>
                </w:tcPr>
                <w:p w14:paraId="760489B6">
                  <w:pPr>
                    <w:pStyle w:val="24"/>
                    <w:keepNext w:val="0"/>
                    <w:keepLines w:val="0"/>
                    <w:pageBreakBefore w:val="0"/>
                    <w:widowControl w:val="0"/>
                    <w:numPr>
                      <w:ilvl w:val="0"/>
                      <w:numId w:val="0"/>
                    </w:numPr>
                    <w:shd w:val="clear"/>
                    <w:kinsoku/>
                    <w:wordWrap/>
                    <w:overflowPunct/>
                    <w:topLinePunct w:val="0"/>
                    <w:autoSpaceDE/>
                    <w:autoSpaceDN/>
                    <w:bidi w:val="0"/>
                    <w:adjustRightInd/>
                    <w:snapToGrid w:val="0"/>
                    <w:spacing w:after="0" w:line="240" w:lineRule="auto"/>
                    <w:ind w:left="0" w:leftChars="0" w:firstLine="0" w:firstLineChars="0"/>
                    <w:jc w:val="center"/>
                    <w:textAlignment w:val="auto"/>
                    <w:rPr>
                      <w:rFonts w:hint="default" w:ascii="Times New Roman" w:hAnsi="Times New Roman" w:eastAsia="宋体" w:cs="Times New Roman"/>
                      <w:b w:val="0"/>
                      <w:bCs w:val="0"/>
                      <w:color w:val="auto"/>
                      <w:spacing w:val="-10"/>
                      <w:sz w:val="21"/>
                      <w:szCs w:val="21"/>
                      <w:highlight w:val="none"/>
                      <w:vertAlign w:val="baseline"/>
                      <w:lang w:val="en-US" w:eastAsia="zh-CN"/>
                    </w:rPr>
                  </w:pPr>
                  <w:r>
                    <w:rPr>
                      <w:rFonts w:hint="eastAsia" w:cs="Times New Roman"/>
                      <w:b w:val="0"/>
                      <w:bCs w:val="0"/>
                      <w:color w:val="auto"/>
                      <w:spacing w:val="-10"/>
                      <w:sz w:val="21"/>
                      <w:szCs w:val="21"/>
                      <w:highlight w:val="none"/>
                      <w:vertAlign w:val="baseline"/>
                      <w:lang w:val="en-US" w:eastAsia="zh-CN"/>
                    </w:rPr>
                    <w:t>3</w:t>
                  </w:r>
                </w:p>
              </w:tc>
              <w:tc>
                <w:tcPr>
                  <w:tcW w:w="539" w:type="pct"/>
                  <w:vMerge w:val="continue"/>
                  <w:noWrap w:val="0"/>
                  <w:vAlign w:val="center"/>
                </w:tcPr>
                <w:p w14:paraId="41E26A97">
                  <w:pPr>
                    <w:pStyle w:val="24"/>
                    <w:keepNext w:val="0"/>
                    <w:keepLines w:val="0"/>
                    <w:pageBreakBefore w:val="0"/>
                    <w:widowControl w:val="0"/>
                    <w:numPr>
                      <w:ilvl w:val="0"/>
                      <w:numId w:val="0"/>
                    </w:numPr>
                    <w:shd w:val="clear"/>
                    <w:kinsoku/>
                    <w:wordWrap/>
                    <w:overflowPunct/>
                    <w:topLinePunct w:val="0"/>
                    <w:autoSpaceDE/>
                    <w:autoSpaceDN/>
                    <w:bidi w:val="0"/>
                    <w:adjustRightInd/>
                    <w:snapToGrid w:val="0"/>
                    <w:spacing w:after="0" w:line="240" w:lineRule="auto"/>
                    <w:ind w:left="0" w:leftChars="0" w:firstLine="0" w:firstLineChars="0"/>
                    <w:jc w:val="center"/>
                    <w:textAlignment w:val="auto"/>
                    <w:rPr>
                      <w:rFonts w:hint="eastAsia" w:ascii="Times New Roman" w:hAnsi="Times New Roman" w:eastAsia="宋体" w:cs="Times New Roman"/>
                      <w:b w:val="0"/>
                      <w:bCs w:val="0"/>
                      <w:color w:val="auto"/>
                      <w:spacing w:val="-10"/>
                      <w:sz w:val="21"/>
                      <w:szCs w:val="21"/>
                      <w:highlight w:val="none"/>
                      <w:vertAlign w:val="baseline"/>
                      <w:lang w:val="en-US" w:eastAsia="zh-CN"/>
                    </w:rPr>
                  </w:pPr>
                </w:p>
              </w:tc>
              <w:tc>
                <w:tcPr>
                  <w:tcW w:w="276" w:type="pct"/>
                  <w:noWrap w:val="0"/>
                  <w:vAlign w:val="center"/>
                </w:tcPr>
                <w:p w14:paraId="2C8CEC10">
                  <w:pPr>
                    <w:pStyle w:val="24"/>
                    <w:keepNext w:val="0"/>
                    <w:keepLines w:val="0"/>
                    <w:pageBreakBefore w:val="0"/>
                    <w:widowControl w:val="0"/>
                    <w:numPr>
                      <w:ilvl w:val="0"/>
                      <w:numId w:val="0"/>
                    </w:numPr>
                    <w:shd w:val="clear"/>
                    <w:kinsoku/>
                    <w:wordWrap/>
                    <w:overflowPunct/>
                    <w:topLinePunct w:val="0"/>
                    <w:autoSpaceDE/>
                    <w:autoSpaceDN/>
                    <w:bidi w:val="0"/>
                    <w:adjustRightInd/>
                    <w:snapToGrid w:val="0"/>
                    <w:spacing w:after="0" w:line="360" w:lineRule="auto"/>
                    <w:jc w:val="center"/>
                    <w:textAlignment w:val="auto"/>
                    <w:rPr>
                      <w:rFonts w:hint="default" w:ascii="Times New Roman" w:hAnsi="Times New Roman" w:eastAsia="宋体" w:cs="Times New Roman"/>
                      <w:b/>
                      <w:bCs w:val="0"/>
                      <w:color w:val="auto"/>
                      <w:spacing w:val="-10"/>
                      <w:sz w:val="24"/>
                      <w:szCs w:val="24"/>
                      <w:highlight w:val="none"/>
                      <w:vertAlign w:val="baseline"/>
                      <w:lang w:val="en-US" w:eastAsia="zh-CN"/>
                    </w:rPr>
                  </w:pPr>
                  <w:r>
                    <w:rPr>
                      <w:rFonts w:hint="eastAsia" w:cs="Times New Roman"/>
                      <w:b w:val="0"/>
                      <w:bCs/>
                      <w:color w:val="auto"/>
                      <w:spacing w:val="-10"/>
                      <w:sz w:val="21"/>
                      <w:szCs w:val="21"/>
                      <w:highlight w:val="none"/>
                      <w:vertAlign w:val="baseline"/>
                      <w:lang w:val="en-US" w:eastAsia="zh-CN"/>
                    </w:rPr>
                    <w:t>半年</w:t>
                  </w:r>
                </w:p>
              </w:tc>
            </w:tr>
            <w:tr w14:paraId="316792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4" w:type="pct"/>
                  <w:vMerge w:val="continue"/>
                  <w:noWrap w:val="0"/>
                  <w:vAlign w:val="center"/>
                </w:tcPr>
                <w:p w14:paraId="4131D7BD">
                  <w:pPr>
                    <w:pStyle w:val="24"/>
                    <w:keepNext w:val="0"/>
                    <w:keepLines w:val="0"/>
                    <w:pageBreakBefore w:val="0"/>
                    <w:widowControl w:val="0"/>
                    <w:numPr>
                      <w:ilvl w:val="0"/>
                      <w:numId w:val="0"/>
                    </w:numPr>
                    <w:shd w:val="clear"/>
                    <w:kinsoku/>
                    <w:wordWrap/>
                    <w:overflowPunct/>
                    <w:topLinePunct w:val="0"/>
                    <w:autoSpaceDE/>
                    <w:autoSpaceDN/>
                    <w:bidi w:val="0"/>
                    <w:adjustRightInd/>
                    <w:snapToGrid w:val="0"/>
                    <w:spacing w:after="0" w:line="360" w:lineRule="auto"/>
                    <w:jc w:val="both"/>
                    <w:textAlignment w:val="auto"/>
                    <w:rPr>
                      <w:rFonts w:hint="default" w:ascii="Times New Roman" w:hAnsi="Times New Roman" w:eastAsia="宋体" w:cs="Times New Roman"/>
                      <w:b/>
                      <w:bCs w:val="0"/>
                      <w:color w:val="auto"/>
                      <w:spacing w:val="-10"/>
                      <w:sz w:val="24"/>
                      <w:szCs w:val="24"/>
                      <w:highlight w:val="none"/>
                      <w:vertAlign w:val="baseline"/>
                      <w:lang w:val="en-US" w:eastAsia="zh-CN"/>
                    </w:rPr>
                  </w:pPr>
                </w:p>
              </w:tc>
              <w:tc>
                <w:tcPr>
                  <w:tcW w:w="746" w:type="pct"/>
                  <w:noWrap w:val="0"/>
                  <w:vAlign w:val="center"/>
                </w:tcPr>
                <w:p w14:paraId="77EDBB0C">
                  <w:pPr>
                    <w:topLinePunct/>
                    <w:adjustRightInd w:val="0"/>
                    <w:snapToGrid w:val="0"/>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cs="Times New Roman"/>
                      <w:color w:val="auto"/>
                      <w:kern w:val="0"/>
                      <w:szCs w:val="21"/>
                      <w:highlight w:val="none"/>
                      <w:lang w:val="en-US" w:eastAsia="zh-CN"/>
                    </w:rPr>
                    <w:t>废灯管</w:t>
                  </w:r>
                </w:p>
              </w:tc>
              <w:tc>
                <w:tcPr>
                  <w:tcW w:w="539" w:type="pct"/>
                  <w:noWrap w:val="0"/>
                  <w:vAlign w:val="center"/>
                </w:tcPr>
                <w:p w14:paraId="36FC2C2D">
                  <w:pPr>
                    <w:topLinePunct/>
                    <w:adjustRightInd w:val="0"/>
                    <w:snapToGrid w:val="0"/>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cs="Times New Roman"/>
                      <w:bCs/>
                      <w:color w:val="auto"/>
                      <w:szCs w:val="21"/>
                      <w:highlight w:val="none"/>
                      <w:lang w:val="en-US" w:eastAsia="zh-CN"/>
                    </w:rPr>
                    <w:t>HW29</w:t>
                  </w:r>
                </w:p>
              </w:tc>
              <w:tc>
                <w:tcPr>
                  <w:tcW w:w="737" w:type="pct"/>
                  <w:noWrap w:val="0"/>
                  <w:vAlign w:val="center"/>
                </w:tcPr>
                <w:p w14:paraId="22F7C36C">
                  <w:pPr>
                    <w:topLinePunct/>
                    <w:adjustRightInd w:val="0"/>
                    <w:snapToGrid w:val="0"/>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cs="Times New Roman"/>
                      <w:bCs/>
                      <w:color w:val="auto"/>
                      <w:szCs w:val="21"/>
                      <w:highlight w:val="none"/>
                      <w:lang w:val="en-US" w:eastAsia="zh-CN"/>
                    </w:rPr>
                    <w:t>900-023-29</w:t>
                  </w:r>
                </w:p>
              </w:tc>
              <w:tc>
                <w:tcPr>
                  <w:tcW w:w="300" w:type="pct"/>
                  <w:vMerge w:val="continue"/>
                  <w:noWrap w:val="0"/>
                  <w:vAlign w:val="center"/>
                </w:tcPr>
                <w:p w14:paraId="499303FA">
                  <w:pPr>
                    <w:pStyle w:val="24"/>
                    <w:keepNext w:val="0"/>
                    <w:keepLines w:val="0"/>
                    <w:pageBreakBefore w:val="0"/>
                    <w:widowControl w:val="0"/>
                    <w:numPr>
                      <w:ilvl w:val="0"/>
                      <w:numId w:val="0"/>
                    </w:numPr>
                    <w:shd w:val="clear"/>
                    <w:kinsoku/>
                    <w:wordWrap/>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p>
              </w:tc>
              <w:tc>
                <w:tcPr>
                  <w:tcW w:w="276" w:type="pct"/>
                  <w:noWrap w:val="0"/>
                  <w:vAlign w:val="center"/>
                </w:tcPr>
                <w:p w14:paraId="652767D0">
                  <w:pPr>
                    <w:shd w:val="clear"/>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lang w:bidi="en-US"/>
                    </w:rPr>
                    <w:t>桶装</w:t>
                  </w:r>
                </w:p>
              </w:tc>
              <w:tc>
                <w:tcPr>
                  <w:tcW w:w="611" w:type="pct"/>
                  <w:noWrap w:val="0"/>
                  <w:vAlign w:val="center"/>
                </w:tcPr>
                <w:p w14:paraId="5B6338D3">
                  <w:pPr>
                    <w:topLinePunct/>
                    <w:adjustRightInd w:val="0"/>
                    <w:snapToGrid w:val="0"/>
                    <w:jc w:val="center"/>
                    <w:rPr>
                      <w:rFonts w:hint="default" w:ascii="Times New Roman" w:hAnsi="Times New Roman" w:eastAsia="宋体" w:cs="Times New Roman"/>
                      <w:b w:val="0"/>
                      <w:bCs/>
                      <w:color w:val="auto"/>
                      <w:spacing w:val="-10"/>
                      <w:sz w:val="21"/>
                      <w:szCs w:val="21"/>
                      <w:highlight w:val="none"/>
                      <w:vertAlign w:val="baseline"/>
                      <w:lang w:val="en-US" w:eastAsia="zh-CN"/>
                    </w:rPr>
                  </w:pPr>
                  <w:r>
                    <w:rPr>
                      <w:rFonts w:hint="default" w:ascii="Times New Roman" w:hAnsi="Times New Roman" w:eastAsia="宋体" w:cs="Times New Roman"/>
                      <w:color w:val="auto"/>
                      <w:kern w:val="0"/>
                      <w:szCs w:val="21"/>
                      <w:highlight w:val="none"/>
                      <w:lang w:val="en-US" w:eastAsia="zh-CN"/>
                    </w:rPr>
                    <w:t>0.005</w:t>
                  </w:r>
                </w:p>
              </w:tc>
              <w:tc>
                <w:tcPr>
                  <w:tcW w:w="598" w:type="pct"/>
                  <w:noWrap w:val="0"/>
                  <w:vAlign w:val="center"/>
                </w:tcPr>
                <w:p w14:paraId="03D70BBB">
                  <w:pPr>
                    <w:pStyle w:val="24"/>
                    <w:keepNext w:val="0"/>
                    <w:keepLines w:val="0"/>
                    <w:pageBreakBefore w:val="0"/>
                    <w:widowControl w:val="0"/>
                    <w:numPr>
                      <w:ilvl w:val="0"/>
                      <w:numId w:val="0"/>
                    </w:numPr>
                    <w:shd w:val="clear"/>
                    <w:kinsoku/>
                    <w:wordWrap/>
                    <w:overflowPunct/>
                    <w:topLinePunct w:val="0"/>
                    <w:autoSpaceDE/>
                    <w:autoSpaceDN/>
                    <w:bidi w:val="0"/>
                    <w:adjustRightInd/>
                    <w:snapToGrid w:val="0"/>
                    <w:spacing w:after="0" w:line="240" w:lineRule="auto"/>
                    <w:ind w:left="0" w:leftChars="0" w:firstLine="0" w:firstLineChars="0"/>
                    <w:jc w:val="center"/>
                    <w:textAlignment w:val="auto"/>
                    <w:rPr>
                      <w:rFonts w:hint="default" w:ascii="Times New Roman" w:hAnsi="Times New Roman" w:eastAsia="宋体" w:cs="Times New Roman"/>
                      <w:b w:val="0"/>
                      <w:bCs w:val="0"/>
                      <w:color w:val="auto"/>
                      <w:spacing w:val="-10"/>
                      <w:sz w:val="21"/>
                      <w:szCs w:val="21"/>
                      <w:highlight w:val="none"/>
                      <w:vertAlign w:val="baseline"/>
                      <w:lang w:val="en-US" w:eastAsia="zh-CN"/>
                    </w:rPr>
                  </w:pPr>
                  <w:r>
                    <w:rPr>
                      <w:rFonts w:hint="eastAsia" w:cs="Times New Roman"/>
                      <w:b w:val="0"/>
                      <w:bCs w:val="0"/>
                      <w:color w:val="auto"/>
                      <w:spacing w:val="-10"/>
                      <w:sz w:val="21"/>
                      <w:szCs w:val="21"/>
                      <w:highlight w:val="none"/>
                      <w:vertAlign w:val="baseline"/>
                      <w:lang w:val="en-US" w:eastAsia="zh-CN"/>
                    </w:rPr>
                    <w:t>1</w:t>
                  </w:r>
                </w:p>
              </w:tc>
              <w:tc>
                <w:tcPr>
                  <w:tcW w:w="539" w:type="pct"/>
                  <w:vMerge w:val="continue"/>
                  <w:noWrap w:val="0"/>
                  <w:vAlign w:val="top"/>
                </w:tcPr>
                <w:p w14:paraId="39631279">
                  <w:pPr>
                    <w:pStyle w:val="24"/>
                    <w:keepNext w:val="0"/>
                    <w:keepLines w:val="0"/>
                    <w:pageBreakBefore w:val="0"/>
                    <w:widowControl w:val="0"/>
                    <w:numPr>
                      <w:ilvl w:val="0"/>
                      <w:numId w:val="0"/>
                    </w:numPr>
                    <w:shd w:val="clear"/>
                    <w:kinsoku/>
                    <w:wordWrap/>
                    <w:overflowPunct/>
                    <w:topLinePunct w:val="0"/>
                    <w:autoSpaceDE/>
                    <w:autoSpaceDN/>
                    <w:bidi w:val="0"/>
                    <w:adjustRightInd/>
                    <w:snapToGrid w:val="0"/>
                    <w:spacing w:after="0" w:line="240" w:lineRule="auto"/>
                    <w:ind w:left="0" w:leftChars="0" w:firstLine="0" w:firstLineChars="0"/>
                    <w:jc w:val="center"/>
                    <w:textAlignment w:val="auto"/>
                    <w:rPr>
                      <w:rFonts w:hint="eastAsia" w:ascii="Times New Roman" w:hAnsi="Times New Roman" w:eastAsia="宋体" w:cs="Times New Roman"/>
                      <w:b w:val="0"/>
                      <w:bCs w:val="0"/>
                      <w:color w:val="auto"/>
                      <w:spacing w:val="-10"/>
                      <w:sz w:val="21"/>
                      <w:szCs w:val="21"/>
                      <w:highlight w:val="none"/>
                      <w:vertAlign w:val="baseline"/>
                      <w:lang w:val="en-US" w:eastAsia="zh-CN"/>
                    </w:rPr>
                  </w:pPr>
                </w:p>
              </w:tc>
              <w:tc>
                <w:tcPr>
                  <w:tcW w:w="276" w:type="pct"/>
                  <w:noWrap w:val="0"/>
                  <w:vAlign w:val="top"/>
                </w:tcPr>
                <w:p w14:paraId="4A1A2D25">
                  <w:pPr>
                    <w:pStyle w:val="24"/>
                    <w:keepNext w:val="0"/>
                    <w:keepLines w:val="0"/>
                    <w:pageBreakBefore w:val="0"/>
                    <w:widowControl w:val="0"/>
                    <w:numPr>
                      <w:ilvl w:val="0"/>
                      <w:numId w:val="0"/>
                    </w:numPr>
                    <w:shd w:val="clear"/>
                    <w:kinsoku/>
                    <w:wordWrap/>
                    <w:overflowPunct/>
                    <w:topLinePunct w:val="0"/>
                    <w:autoSpaceDE/>
                    <w:autoSpaceDN/>
                    <w:bidi w:val="0"/>
                    <w:adjustRightInd/>
                    <w:snapToGrid w:val="0"/>
                    <w:spacing w:after="0" w:line="360" w:lineRule="auto"/>
                    <w:jc w:val="both"/>
                    <w:textAlignment w:val="auto"/>
                    <w:rPr>
                      <w:rFonts w:hint="default" w:ascii="Times New Roman" w:hAnsi="Times New Roman" w:eastAsia="宋体" w:cs="Times New Roman"/>
                      <w:b/>
                      <w:bCs w:val="0"/>
                      <w:color w:val="auto"/>
                      <w:spacing w:val="-10"/>
                      <w:sz w:val="24"/>
                      <w:szCs w:val="24"/>
                      <w:highlight w:val="none"/>
                      <w:vertAlign w:val="baseline"/>
                      <w:lang w:val="en-US" w:eastAsia="zh-CN"/>
                    </w:rPr>
                  </w:pPr>
                  <w:r>
                    <w:rPr>
                      <w:rFonts w:hint="eastAsia" w:cs="Times New Roman"/>
                      <w:b w:val="0"/>
                      <w:bCs/>
                      <w:color w:val="auto"/>
                      <w:spacing w:val="-10"/>
                      <w:sz w:val="21"/>
                      <w:szCs w:val="21"/>
                      <w:highlight w:val="none"/>
                      <w:vertAlign w:val="baseline"/>
                      <w:lang w:val="en-US" w:eastAsia="zh-CN"/>
                    </w:rPr>
                    <w:t>1年</w:t>
                  </w:r>
                </w:p>
              </w:tc>
            </w:tr>
            <w:tr w14:paraId="53030C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4" w:type="pct"/>
                  <w:vMerge w:val="continue"/>
                  <w:noWrap w:val="0"/>
                  <w:vAlign w:val="center"/>
                </w:tcPr>
                <w:p w14:paraId="2D962EAB">
                  <w:pPr>
                    <w:pStyle w:val="24"/>
                    <w:keepNext w:val="0"/>
                    <w:keepLines w:val="0"/>
                    <w:pageBreakBefore w:val="0"/>
                    <w:widowControl w:val="0"/>
                    <w:numPr>
                      <w:ilvl w:val="0"/>
                      <w:numId w:val="0"/>
                    </w:numPr>
                    <w:shd w:val="clear"/>
                    <w:kinsoku/>
                    <w:wordWrap/>
                    <w:overflowPunct/>
                    <w:topLinePunct w:val="0"/>
                    <w:autoSpaceDE/>
                    <w:autoSpaceDN/>
                    <w:bidi w:val="0"/>
                    <w:adjustRightInd/>
                    <w:snapToGrid w:val="0"/>
                    <w:spacing w:after="0" w:line="360" w:lineRule="auto"/>
                    <w:jc w:val="both"/>
                    <w:textAlignment w:val="auto"/>
                    <w:rPr>
                      <w:rFonts w:hint="default" w:ascii="Times New Roman" w:hAnsi="Times New Roman" w:eastAsia="宋体" w:cs="Times New Roman"/>
                      <w:b/>
                      <w:bCs w:val="0"/>
                      <w:color w:val="auto"/>
                      <w:spacing w:val="-10"/>
                      <w:sz w:val="24"/>
                      <w:szCs w:val="24"/>
                      <w:highlight w:val="none"/>
                      <w:vertAlign w:val="baseline"/>
                      <w:lang w:val="en-US" w:eastAsia="zh-CN"/>
                    </w:rPr>
                  </w:pPr>
                </w:p>
              </w:tc>
              <w:tc>
                <w:tcPr>
                  <w:tcW w:w="746" w:type="pct"/>
                  <w:noWrap w:val="0"/>
                  <w:vAlign w:val="center"/>
                </w:tcPr>
                <w:p w14:paraId="7534DEB6">
                  <w:pPr>
                    <w:topLinePunct/>
                    <w:adjustRightInd w:val="0"/>
                    <w:snapToGrid w:val="0"/>
                    <w:jc w:val="center"/>
                    <w:rPr>
                      <w:rFonts w:hint="default" w:ascii="Times New Roman" w:hAnsi="Times New Roman" w:eastAsia="宋体" w:cs="Times New Roman"/>
                      <w:b w:val="0"/>
                      <w:bCs w:val="0"/>
                      <w:color w:val="auto"/>
                      <w:sz w:val="21"/>
                      <w:szCs w:val="21"/>
                      <w:highlight w:val="none"/>
                      <w:lang w:eastAsia="zh-CN"/>
                    </w:rPr>
                  </w:pPr>
                  <w:r>
                    <w:rPr>
                      <w:rFonts w:hint="eastAsia" w:cs="Times New Roman"/>
                      <w:color w:val="auto"/>
                      <w:sz w:val="21"/>
                      <w:szCs w:val="21"/>
                      <w:highlight w:val="none"/>
                      <w:lang w:val="en-US" w:eastAsia="zh-CN"/>
                    </w:rPr>
                    <w:t>危废样品废物</w:t>
                  </w:r>
                </w:p>
              </w:tc>
              <w:tc>
                <w:tcPr>
                  <w:tcW w:w="539" w:type="pct"/>
                  <w:noWrap w:val="0"/>
                  <w:vAlign w:val="center"/>
                </w:tcPr>
                <w:p w14:paraId="2D8EADF4">
                  <w:pPr>
                    <w:topLinePunct/>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Cs w:val="21"/>
                      <w:highlight w:val="none"/>
                      <w:lang w:val="en-US" w:eastAsia="zh-CN"/>
                    </w:rPr>
                    <w:t>HW49</w:t>
                  </w:r>
                </w:p>
              </w:tc>
              <w:tc>
                <w:tcPr>
                  <w:tcW w:w="737" w:type="pct"/>
                  <w:noWrap w:val="0"/>
                  <w:vAlign w:val="center"/>
                </w:tcPr>
                <w:p w14:paraId="2CD45F6A">
                  <w:pPr>
                    <w:topLinePunct/>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Cs w:val="21"/>
                      <w:highlight w:val="none"/>
                      <w:lang w:val="en-US" w:eastAsia="zh-CN"/>
                    </w:rPr>
                    <w:t>900-047-49</w:t>
                  </w:r>
                </w:p>
              </w:tc>
              <w:tc>
                <w:tcPr>
                  <w:tcW w:w="300" w:type="pct"/>
                  <w:vMerge w:val="continue"/>
                  <w:noWrap w:val="0"/>
                  <w:vAlign w:val="center"/>
                </w:tcPr>
                <w:p w14:paraId="634D1EC9">
                  <w:pPr>
                    <w:pStyle w:val="24"/>
                    <w:keepNext w:val="0"/>
                    <w:keepLines w:val="0"/>
                    <w:pageBreakBefore w:val="0"/>
                    <w:widowControl w:val="0"/>
                    <w:numPr>
                      <w:ilvl w:val="0"/>
                      <w:numId w:val="0"/>
                    </w:numPr>
                    <w:shd w:val="clear"/>
                    <w:kinsoku/>
                    <w:wordWrap/>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p>
              </w:tc>
              <w:tc>
                <w:tcPr>
                  <w:tcW w:w="276" w:type="pct"/>
                  <w:noWrap w:val="0"/>
                  <w:vAlign w:val="center"/>
                </w:tcPr>
                <w:p w14:paraId="347F427E">
                  <w:pPr>
                    <w:shd w:val="clear"/>
                    <w:spacing w:line="240" w:lineRule="auto"/>
                    <w:jc w:val="center"/>
                    <w:rPr>
                      <w:rFonts w:hint="eastAsia" w:ascii="Times New Roman" w:hAnsi="Times New Roman" w:eastAsia="宋体" w:cs="Times New Roman"/>
                      <w:color w:val="auto"/>
                      <w:kern w:val="0"/>
                      <w:sz w:val="21"/>
                      <w:szCs w:val="21"/>
                      <w:highlight w:val="none"/>
                      <w:lang w:val="en-US" w:eastAsia="zh-CN" w:bidi="en-US"/>
                    </w:rPr>
                  </w:pPr>
                  <w:r>
                    <w:rPr>
                      <w:rFonts w:hint="eastAsia" w:cs="Times New Roman"/>
                      <w:color w:val="auto"/>
                      <w:kern w:val="0"/>
                      <w:sz w:val="21"/>
                      <w:szCs w:val="21"/>
                      <w:highlight w:val="none"/>
                      <w:lang w:val="en-US" w:eastAsia="zh-CN" w:bidi="en-US"/>
                    </w:rPr>
                    <w:t>桶装</w:t>
                  </w:r>
                </w:p>
              </w:tc>
              <w:tc>
                <w:tcPr>
                  <w:tcW w:w="611" w:type="pct"/>
                  <w:noWrap w:val="0"/>
                  <w:vAlign w:val="center"/>
                </w:tcPr>
                <w:p w14:paraId="6B000D0C">
                  <w:pPr>
                    <w:topLinePunct/>
                    <w:adjustRightInd w:val="0"/>
                    <w:snapToGrid w:val="0"/>
                    <w:jc w:val="center"/>
                    <w:rPr>
                      <w:rFonts w:hint="default" w:cs="Times New Roman"/>
                      <w:b w:val="0"/>
                      <w:bCs/>
                      <w:color w:val="auto"/>
                      <w:spacing w:val="-10"/>
                      <w:sz w:val="21"/>
                      <w:szCs w:val="21"/>
                      <w:highlight w:val="none"/>
                      <w:vertAlign w:val="baseline"/>
                      <w:lang w:val="en-US" w:eastAsia="zh-CN"/>
                    </w:rPr>
                  </w:pPr>
                  <w:r>
                    <w:rPr>
                      <w:rFonts w:hint="default" w:ascii="Times New Roman" w:hAnsi="Times New Roman" w:eastAsia="宋体" w:cs="Times New Roman"/>
                      <w:color w:val="auto"/>
                      <w:kern w:val="0"/>
                      <w:szCs w:val="21"/>
                      <w:highlight w:val="none"/>
                      <w:lang w:val="en-US" w:eastAsia="zh-CN"/>
                    </w:rPr>
                    <w:t>0.</w:t>
                  </w:r>
                  <w:r>
                    <w:rPr>
                      <w:rFonts w:hint="eastAsia" w:cs="Times New Roman"/>
                      <w:color w:val="auto"/>
                      <w:kern w:val="0"/>
                      <w:szCs w:val="21"/>
                      <w:highlight w:val="none"/>
                      <w:lang w:val="en-US" w:eastAsia="zh-CN"/>
                    </w:rPr>
                    <w:t>56</w:t>
                  </w:r>
                </w:p>
              </w:tc>
              <w:tc>
                <w:tcPr>
                  <w:tcW w:w="598" w:type="pct"/>
                  <w:noWrap w:val="0"/>
                  <w:vAlign w:val="center"/>
                </w:tcPr>
                <w:p w14:paraId="30DDC060">
                  <w:pPr>
                    <w:pStyle w:val="24"/>
                    <w:keepNext w:val="0"/>
                    <w:keepLines w:val="0"/>
                    <w:pageBreakBefore w:val="0"/>
                    <w:widowControl w:val="0"/>
                    <w:numPr>
                      <w:ilvl w:val="0"/>
                      <w:numId w:val="0"/>
                    </w:numPr>
                    <w:shd w:val="clear"/>
                    <w:kinsoku/>
                    <w:wordWrap/>
                    <w:overflowPunct/>
                    <w:topLinePunct w:val="0"/>
                    <w:autoSpaceDE/>
                    <w:autoSpaceDN/>
                    <w:bidi w:val="0"/>
                    <w:adjustRightInd/>
                    <w:snapToGrid w:val="0"/>
                    <w:spacing w:after="0" w:line="240" w:lineRule="auto"/>
                    <w:ind w:left="0" w:leftChars="0" w:firstLine="0" w:firstLineChars="0"/>
                    <w:jc w:val="center"/>
                    <w:textAlignment w:val="auto"/>
                    <w:rPr>
                      <w:rFonts w:hint="default" w:ascii="Times New Roman" w:hAnsi="Times New Roman" w:eastAsia="宋体" w:cs="Times New Roman"/>
                      <w:b w:val="0"/>
                      <w:bCs w:val="0"/>
                      <w:color w:val="auto"/>
                      <w:spacing w:val="-10"/>
                      <w:sz w:val="21"/>
                      <w:szCs w:val="21"/>
                      <w:highlight w:val="none"/>
                      <w:vertAlign w:val="baseline"/>
                      <w:lang w:val="en-US" w:eastAsia="zh-CN"/>
                    </w:rPr>
                  </w:pPr>
                  <w:r>
                    <w:rPr>
                      <w:rFonts w:hint="eastAsia" w:cs="Times New Roman"/>
                      <w:b w:val="0"/>
                      <w:bCs w:val="0"/>
                      <w:color w:val="auto"/>
                      <w:spacing w:val="-10"/>
                      <w:sz w:val="21"/>
                      <w:szCs w:val="21"/>
                      <w:highlight w:val="none"/>
                      <w:vertAlign w:val="baseline"/>
                      <w:lang w:val="en-US" w:eastAsia="zh-CN"/>
                    </w:rPr>
                    <w:t>2</w:t>
                  </w:r>
                </w:p>
              </w:tc>
              <w:tc>
                <w:tcPr>
                  <w:tcW w:w="539" w:type="pct"/>
                  <w:vMerge w:val="continue"/>
                  <w:noWrap w:val="0"/>
                  <w:vAlign w:val="top"/>
                </w:tcPr>
                <w:p w14:paraId="590C30DD">
                  <w:pPr>
                    <w:pStyle w:val="24"/>
                    <w:keepNext w:val="0"/>
                    <w:keepLines w:val="0"/>
                    <w:pageBreakBefore w:val="0"/>
                    <w:widowControl w:val="0"/>
                    <w:numPr>
                      <w:ilvl w:val="0"/>
                      <w:numId w:val="0"/>
                    </w:numPr>
                    <w:shd w:val="clear"/>
                    <w:kinsoku/>
                    <w:wordWrap/>
                    <w:overflowPunct/>
                    <w:topLinePunct w:val="0"/>
                    <w:autoSpaceDE/>
                    <w:autoSpaceDN/>
                    <w:bidi w:val="0"/>
                    <w:adjustRightInd/>
                    <w:snapToGrid w:val="0"/>
                    <w:spacing w:after="0" w:line="240" w:lineRule="auto"/>
                    <w:ind w:left="0" w:leftChars="0" w:firstLine="0" w:firstLineChars="0"/>
                    <w:jc w:val="center"/>
                    <w:textAlignment w:val="auto"/>
                    <w:rPr>
                      <w:rFonts w:hint="eastAsia" w:ascii="Times New Roman" w:hAnsi="Times New Roman" w:eastAsia="宋体" w:cs="Times New Roman"/>
                      <w:b w:val="0"/>
                      <w:bCs w:val="0"/>
                      <w:color w:val="auto"/>
                      <w:spacing w:val="-10"/>
                      <w:sz w:val="21"/>
                      <w:szCs w:val="21"/>
                      <w:highlight w:val="none"/>
                      <w:vertAlign w:val="baseline"/>
                      <w:lang w:val="en-US" w:eastAsia="zh-CN"/>
                    </w:rPr>
                  </w:pPr>
                </w:p>
              </w:tc>
              <w:tc>
                <w:tcPr>
                  <w:tcW w:w="276" w:type="pct"/>
                  <w:noWrap w:val="0"/>
                  <w:vAlign w:val="top"/>
                </w:tcPr>
                <w:p w14:paraId="641F578F">
                  <w:pPr>
                    <w:pStyle w:val="24"/>
                    <w:keepNext w:val="0"/>
                    <w:keepLines w:val="0"/>
                    <w:pageBreakBefore w:val="0"/>
                    <w:widowControl w:val="0"/>
                    <w:numPr>
                      <w:ilvl w:val="0"/>
                      <w:numId w:val="0"/>
                    </w:numPr>
                    <w:shd w:val="clear"/>
                    <w:kinsoku/>
                    <w:wordWrap/>
                    <w:overflowPunct/>
                    <w:topLinePunct w:val="0"/>
                    <w:autoSpaceDE/>
                    <w:autoSpaceDN/>
                    <w:bidi w:val="0"/>
                    <w:adjustRightInd/>
                    <w:snapToGrid w:val="0"/>
                    <w:spacing w:after="0" w:line="360" w:lineRule="auto"/>
                    <w:jc w:val="both"/>
                    <w:textAlignment w:val="auto"/>
                    <w:rPr>
                      <w:rFonts w:hint="default" w:ascii="Times New Roman" w:hAnsi="Times New Roman" w:eastAsia="宋体" w:cs="Times New Roman"/>
                      <w:b/>
                      <w:bCs w:val="0"/>
                      <w:color w:val="auto"/>
                      <w:spacing w:val="-10"/>
                      <w:sz w:val="24"/>
                      <w:szCs w:val="24"/>
                      <w:highlight w:val="none"/>
                      <w:vertAlign w:val="baseline"/>
                      <w:lang w:val="en-US" w:eastAsia="zh-CN"/>
                    </w:rPr>
                  </w:pPr>
                  <w:r>
                    <w:rPr>
                      <w:rFonts w:hint="eastAsia" w:cs="Times New Roman"/>
                      <w:b w:val="0"/>
                      <w:bCs/>
                      <w:color w:val="auto"/>
                      <w:spacing w:val="-10"/>
                      <w:sz w:val="21"/>
                      <w:szCs w:val="21"/>
                      <w:highlight w:val="none"/>
                      <w:vertAlign w:val="baseline"/>
                      <w:lang w:val="en-US" w:eastAsia="zh-CN"/>
                    </w:rPr>
                    <w:t>半年</w:t>
                  </w:r>
                </w:p>
              </w:tc>
            </w:tr>
            <w:tr w14:paraId="5E38D2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4" w:type="pct"/>
                  <w:vMerge w:val="continue"/>
                  <w:noWrap w:val="0"/>
                  <w:vAlign w:val="center"/>
                </w:tcPr>
                <w:p w14:paraId="1E137091">
                  <w:pPr>
                    <w:pStyle w:val="24"/>
                    <w:keepNext w:val="0"/>
                    <w:keepLines w:val="0"/>
                    <w:pageBreakBefore w:val="0"/>
                    <w:widowControl w:val="0"/>
                    <w:numPr>
                      <w:ilvl w:val="0"/>
                      <w:numId w:val="0"/>
                    </w:numPr>
                    <w:shd w:val="clear"/>
                    <w:kinsoku/>
                    <w:wordWrap/>
                    <w:overflowPunct/>
                    <w:topLinePunct w:val="0"/>
                    <w:autoSpaceDE/>
                    <w:autoSpaceDN/>
                    <w:bidi w:val="0"/>
                    <w:adjustRightInd/>
                    <w:snapToGrid w:val="0"/>
                    <w:spacing w:after="0" w:line="360" w:lineRule="auto"/>
                    <w:jc w:val="both"/>
                    <w:textAlignment w:val="auto"/>
                    <w:rPr>
                      <w:rFonts w:hint="default" w:ascii="Times New Roman" w:hAnsi="Times New Roman" w:eastAsia="宋体" w:cs="Times New Roman"/>
                      <w:b/>
                      <w:bCs w:val="0"/>
                      <w:color w:val="auto"/>
                      <w:spacing w:val="-10"/>
                      <w:sz w:val="24"/>
                      <w:szCs w:val="24"/>
                      <w:highlight w:val="none"/>
                      <w:vertAlign w:val="baseline"/>
                      <w:lang w:val="en-US" w:eastAsia="zh-CN"/>
                    </w:rPr>
                  </w:pPr>
                </w:p>
              </w:tc>
              <w:tc>
                <w:tcPr>
                  <w:tcW w:w="746" w:type="pct"/>
                  <w:noWrap w:val="0"/>
                  <w:vAlign w:val="center"/>
                </w:tcPr>
                <w:p w14:paraId="6A1902E4">
                  <w:pPr>
                    <w:topLinePunct/>
                    <w:adjustRightInd w:val="0"/>
                    <w:snapToGrid w:val="0"/>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废试剂瓶</w:t>
                  </w:r>
                </w:p>
              </w:tc>
              <w:tc>
                <w:tcPr>
                  <w:tcW w:w="539" w:type="pct"/>
                  <w:noWrap w:val="0"/>
                  <w:vAlign w:val="center"/>
                </w:tcPr>
                <w:p w14:paraId="63452F00">
                  <w:pPr>
                    <w:topLinePunct/>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HW49其他废物</w:t>
                  </w:r>
                </w:p>
              </w:tc>
              <w:tc>
                <w:tcPr>
                  <w:tcW w:w="737" w:type="pct"/>
                  <w:noWrap w:val="0"/>
                  <w:vAlign w:val="center"/>
                </w:tcPr>
                <w:p w14:paraId="270C440A">
                  <w:pPr>
                    <w:topLinePunct/>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900-047-49</w:t>
                  </w:r>
                </w:p>
              </w:tc>
              <w:tc>
                <w:tcPr>
                  <w:tcW w:w="300" w:type="pct"/>
                  <w:vMerge w:val="continue"/>
                  <w:noWrap w:val="0"/>
                  <w:vAlign w:val="center"/>
                </w:tcPr>
                <w:p w14:paraId="4A952B69">
                  <w:pPr>
                    <w:pStyle w:val="24"/>
                    <w:keepNext w:val="0"/>
                    <w:keepLines w:val="0"/>
                    <w:pageBreakBefore w:val="0"/>
                    <w:widowControl w:val="0"/>
                    <w:numPr>
                      <w:ilvl w:val="0"/>
                      <w:numId w:val="0"/>
                    </w:numPr>
                    <w:shd w:val="clear"/>
                    <w:kinsoku/>
                    <w:wordWrap/>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p>
              </w:tc>
              <w:tc>
                <w:tcPr>
                  <w:tcW w:w="276" w:type="pct"/>
                  <w:noWrap w:val="0"/>
                  <w:vAlign w:val="center"/>
                </w:tcPr>
                <w:p w14:paraId="6401A078">
                  <w:pPr>
                    <w:shd w:val="clear"/>
                    <w:spacing w:line="240" w:lineRule="auto"/>
                    <w:jc w:val="center"/>
                    <w:rPr>
                      <w:rFonts w:hint="eastAsia" w:cs="Times New Roman"/>
                      <w:color w:val="auto"/>
                      <w:kern w:val="0"/>
                      <w:sz w:val="21"/>
                      <w:szCs w:val="21"/>
                      <w:highlight w:val="none"/>
                      <w:lang w:val="en-US" w:eastAsia="zh-CN" w:bidi="en-US"/>
                    </w:rPr>
                  </w:pPr>
                  <w:r>
                    <w:rPr>
                      <w:rFonts w:hint="eastAsia" w:cs="Times New Roman"/>
                      <w:color w:val="auto"/>
                      <w:kern w:val="0"/>
                      <w:sz w:val="21"/>
                      <w:szCs w:val="21"/>
                      <w:highlight w:val="none"/>
                      <w:lang w:val="en-US" w:eastAsia="zh-CN" w:bidi="en-US"/>
                    </w:rPr>
                    <w:t>桶装</w:t>
                  </w:r>
                </w:p>
              </w:tc>
              <w:tc>
                <w:tcPr>
                  <w:tcW w:w="611" w:type="pct"/>
                  <w:noWrap w:val="0"/>
                  <w:vAlign w:val="center"/>
                </w:tcPr>
                <w:p w14:paraId="73C02045">
                  <w:pPr>
                    <w:topLinePunct/>
                    <w:adjustRightInd w:val="0"/>
                    <w:snapToGrid w:val="0"/>
                    <w:jc w:val="center"/>
                    <w:rPr>
                      <w:rFonts w:hint="default" w:cs="Times New Roman"/>
                      <w:color w:val="auto"/>
                      <w:kern w:val="0"/>
                      <w:szCs w:val="21"/>
                      <w:highlight w:val="none"/>
                      <w:lang w:val="en-US" w:eastAsia="zh-CN"/>
                    </w:rPr>
                  </w:pPr>
                  <w:r>
                    <w:rPr>
                      <w:rFonts w:hint="eastAsia" w:cs="Times New Roman"/>
                      <w:color w:val="auto"/>
                      <w:kern w:val="0"/>
                      <w:szCs w:val="21"/>
                      <w:highlight w:val="none"/>
                      <w:lang w:val="en-US" w:eastAsia="zh-CN"/>
                    </w:rPr>
                    <w:t>0.0326</w:t>
                  </w:r>
                </w:p>
              </w:tc>
              <w:tc>
                <w:tcPr>
                  <w:tcW w:w="598" w:type="pct"/>
                  <w:noWrap w:val="0"/>
                  <w:vAlign w:val="center"/>
                </w:tcPr>
                <w:p w14:paraId="202DB723">
                  <w:pPr>
                    <w:pStyle w:val="24"/>
                    <w:keepNext w:val="0"/>
                    <w:keepLines w:val="0"/>
                    <w:pageBreakBefore w:val="0"/>
                    <w:widowControl w:val="0"/>
                    <w:numPr>
                      <w:ilvl w:val="0"/>
                      <w:numId w:val="0"/>
                    </w:numPr>
                    <w:shd w:val="clear"/>
                    <w:kinsoku/>
                    <w:wordWrap/>
                    <w:overflowPunct/>
                    <w:topLinePunct w:val="0"/>
                    <w:autoSpaceDE/>
                    <w:autoSpaceDN/>
                    <w:bidi w:val="0"/>
                    <w:adjustRightInd/>
                    <w:snapToGrid w:val="0"/>
                    <w:spacing w:after="0" w:line="240" w:lineRule="auto"/>
                    <w:ind w:left="0" w:leftChars="0" w:firstLine="0" w:firstLineChars="0"/>
                    <w:jc w:val="center"/>
                    <w:textAlignment w:val="auto"/>
                    <w:rPr>
                      <w:rFonts w:hint="default" w:cs="Times New Roman"/>
                      <w:b w:val="0"/>
                      <w:bCs w:val="0"/>
                      <w:color w:val="auto"/>
                      <w:spacing w:val="-10"/>
                      <w:sz w:val="21"/>
                      <w:szCs w:val="21"/>
                      <w:highlight w:val="none"/>
                      <w:vertAlign w:val="baseline"/>
                      <w:lang w:val="en-US" w:eastAsia="zh-CN"/>
                    </w:rPr>
                  </w:pPr>
                  <w:r>
                    <w:rPr>
                      <w:rFonts w:hint="eastAsia" w:cs="Times New Roman"/>
                      <w:b w:val="0"/>
                      <w:bCs w:val="0"/>
                      <w:color w:val="auto"/>
                      <w:spacing w:val="-10"/>
                      <w:sz w:val="21"/>
                      <w:szCs w:val="21"/>
                      <w:highlight w:val="none"/>
                      <w:vertAlign w:val="baseline"/>
                      <w:lang w:val="en-US" w:eastAsia="zh-CN"/>
                    </w:rPr>
                    <w:t>1</w:t>
                  </w:r>
                </w:p>
              </w:tc>
              <w:tc>
                <w:tcPr>
                  <w:tcW w:w="539" w:type="pct"/>
                  <w:vMerge w:val="continue"/>
                  <w:noWrap w:val="0"/>
                  <w:vAlign w:val="top"/>
                </w:tcPr>
                <w:p w14:paraId="2118F6D3">
                  <w:pPr>
                    <w:pStyle w:val="24"/>
                    <w:keepNext w:val="0"/>
                    <w:keepLines w:val="0"/>
                    <w:pageBreakBefore w:val="0"/>
                    <w:widowControl w:val="0"/>
                    <w:numPr>
                      <w:ilvl w:val="0"/>
                      <w:numId w:val="0"/>
                    </w:numPr>
                    <w:shd w:val="clear"/>
                    <w:kinsoku/>
                    <w:wordWrap/>
                    <w:overflowPunct/>
                    <w:topLinePunct w:val="0"/>
                    <w:autoSpaceDE/>
                    <w:autoSpaceDN/>
                    <w:bidi w:val="0"/>
                    <w:adjustRightInd/>
                    <w:snapToGrid w:val="0"/>
                    <w:spacing w:after="0" w:line="240" w:lineRule="auto"/>
                    <w:ind w:left="0" w:leftChars="0" w:firstLine="0" w:firstLineChars="0"/>
                    <w:jc w:val="center"/>
                    <w:textAlignment w:val="auto"/>
                    <w:rPr>
                      <w:rFonts w:hint="eastAsia" w:ascii="Times New Roman" w:hAnsi="Times New Roman" w:eastAsia="宋体" w:cs="Times New Roman"/>
                      <w:b w:val="0"/>
                      <w:bCs w:val="0"/>
                      <w:color w:val="auto"/>
                      <w:spacing w:val="-10"/>
                      <w:sz w:val="21"/>
                      <w:szCs w:val="21"/>
                      <w:highlight w:val="none"/>
                      <w:vertAlign w:val="baseline"/>
                      <w:lang w:val="en-US" w:eastAsia="zh-CN"/>
                    </w:rPr>
                  </w:pPr>
                </w:p>
              </w:tc>
              <w:tc>
                <w:tcPr>
                  <w:tcW w:w="276" w:type="pct"/>
                  <w:noWrap w:val="0"/>
                  <w:vAlign w:val="top"/>
                </w:tcPr>
                <w:p w14:paraId="5B4B0DEA">
                  <w:pPr>
                    <w:pStyle w:val="24"/>
                    <w:keepNext w:val="0"/>
                    <w:keepLines w:val="0"/>
                    <w:pageBreakBefore w:val="0"/>
                    <w:widowControl w:val="0"/>
                    <w:numPr>
                      <w:ilvl w:val="0"/>
                      <w:numId w:val="0"/>
                    </w:numPr>
                    <w:shd w:val="clear"/>
                    <w:kinsoku/>
                    <w:wordWrap/>
                    <w:overflowPunct/>
                    <w:topLinePunct w:val="0"/>
                    <w:autoSpaceDE/>
                    <w:autoSpaceDN/>
                    <w:bidi w:val="0"/>
                    <w:adjustRightInd/>
                    <w:snapToGrid w:val="0"/>
                    <w:spacing w:after="0" w:line="360" w:lineRule="auto"/>
                    <w:jc w:val="both"/>
                    <w:textAlignment w:val="auto"/>
                    <w:rPr>
                      <w:rFonts w:hint="default" w:cs="Times New Roman"/>
                      <w:b w:val="0"/>
                      <w:bCs/>
                      <w:color w:val="auto"/>
                      <w:spacing w:val="-10"/>
                      <w:sz w:val="21"/>
                      <w:szCs w:val="21"/>
                      <w:highlight w:val="none"/>
                      <w:vertAlign w:val="baseline"/>
                      <w:lang w:val="en-US" w:eastAsia="zh-CN"/>
                    </w:rPr>
                  </w:pPr>
                  <w:r>
                    <w:rPr>
                      <w:rFonts w:hint="eastAsia" w:cs="Times New Roman"/>
                      <w:b w:val="0"/>
                      <w:bCs/>
                      <w:color w:val="auto"/>
                      <w:spacing w:val="-10"/>
                      <w:sz w:val="21"/>
                      <w:szCs w:val="21"/>
                      <w:highlight w:val="none"/>
                      <w:vertAlign w:val="baseline"/>
                      <w:lang w:val="en-US" w:eastAsia="zh-CN"/>
                    </w:rPr>
                    <w:t>3个月</w:t>
                  </w:r>
                </w:p>
              </w:tc>
            </w:tr>
            <w:tr w14:paraId="57FDF8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4" w:type="pct"/>
                  <w:vMerge w:val="continue"/>
                  <w:noWrap w:val="0"/>
                  <w:vAlign w:val="center"/>
                </w:tcPr>
                <w:p w14:paraId="4AC9754B">
                  <w:pPr>
                    <w:pStyle w:val="24"/>
                    <w:keepNext w:val="0"/>
                    <w:keepLines w:val="0"/>
                    <w:pageBreakBefore w:val="0"/>
                    <w:widowControl w:val="0"/>
                    <w:numPr>
                      <w:ilvl w:val="0"/>
                      <w:numId w:val="0"/>
                    </w:numPr>
                    <w:shd w:val="clear"/>
                    <w:kinsoku/>
                    <w:wordWrap/>
                    <w:overflowPunct/>
                    <w:topLinePunct w:val="0"/>
                    <w:autoSpaceDE/>
                    <w:autoSpaceDN/>
                    <w:bidi w:val="0"/>
                    <w:adjustRightInd/>
                    <w:snapToGrid w:val="0"/>
                    <w:spacing w:after="0" w:line="360" w:lineRule="auto"/>
                    <w:jc w:val="both"/>
                    <w:textAlignment w:val="auto"/>
                    <w:rPr>
                      <w:rFonts w:hint="default" w:ascii="Times New Roman" w:hAnsi="Times New Roman" w:eastAsia="宋体" w:cs="Times New Roman"/>
                      <w:b/>
                      <w:bCs w:val="0"/>
                      <w:color w:val="auto"/>
                      <w:spacing w:val="-10"/>
                      <w:sz w:val="24"/>
                      <w:szCs w:val="24"/>
                      <w:highlight w:val="none"/>
                      <w:vertAlign w:val="baseline"/>
                      <w:lang w:val="en-US" w:eastAsia="zh-CN"/>
                    </w:rPr>
                  </w:pPr>
                </w:p>
              </w:tc>
              <w:tc>
                <w:tcPr>
                  <w:tcW w:w="746" w:type="pct"/>
                  <w:noWrap w:val="0"/>
                  <w:vAlign w:val="center"/>
                </w:tcPr>
                <w:p w14:paraId="00F43C1C">
                  <w:pPr>
                    <w:topLinePunct/>
                    <w:adjustRightInd w:val="0"/>
                    <w:snapToGrid w:val="0"/>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沾染化学品的废包装袋</w:t>
                  </w:r>
                </w:p>
              </w:tc>
              <w:tc>
                <w:tcPr>
                  <w:tcW w:w="539" w:type="pct"/>
                  <w:noWrap w:val="0"/>
                  <w:vAlign w:val="center"/>
                </w:tcPr>
                <w:p w14:paraId="0D1E68F3">
                  <w:pPr>
                    <w:topLinePunct/>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HW49其他废物</w:t>
                  </w:r>
                </w:p>
              </w:tc>
              <w:tc>
                <w:tcPr>
                  <w:tcW w:w="737" w:type="pct"/>
                  <w:noWrap w:val="0"/>
                  <w:vAlign w:val="center"/>
                </w:tcPr>
                <w:p w14:paraId="0544768A">
                  <w:pPr>
                    <w:keepNext w:val="0"/>
                    <w:keepLines w:val="0"/>
                    <w:widowControl/>
                    <w:suppressLineNumbers w:val="0"/>
                    <w:jc w:val="left"/>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 w:val="20"/>
                      <w:szCs w:val="20"/>
                      <w:highlight w:val="none"/>
                      <w:lang w:val="en-US" w:eastAsia="zh-CN" w:bidi="ar"/>
                    </w:rPr>
                    <w:t>900-041-49</w:t>
                  </w:r>
                </w:p>
              </w:tc>
              <w:tc>
                <w:tcPr>
                  <w:tcW w:w="300" w:type="pct"/>
                  <w:vMerge w:val="continue"/>
                  <w:noWrap w:val="0"/>
                  <w:vAlign w:val="center"/>
                </w:tcPr>
                <w:p w14:paraId="42780697">
                  <w:pPr>
                    <w:pStyle w:val="24"/>
                    <w:keepNext w:val="0"/>
                    <w:keepLines w:val="0"/>
                    <w:pageBreakBefore w:val="0"/>
                    <w:widowControl w:val="0"/>
                    <w:numPr>
                      <w:ilvl w:val="0"/>
                      <w:numId w:val="0"/>
                    </w:numPr>
                    <w:shd w:val="clear"/>
                    <w:kinsoku/>
                    <w:wordWrap/>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p>
              </w:tc>
              <w:tc>
                <w:tcPr>
                  <w:tcW w:w="276" w:type="pct"/>
                  <w:noWrap w:val="0"/>
                  <w:vAlign w:val="center"/>
                </w:tcPr>
                <w:p w14:paraId="24D4888D">
                  <w:pPr>
                    <w:shd w:val="clear"/>
                    <w:spacing w:line="240" w:lineRule="auto"/>
                    <w:jc w:val="center"/>
                    <w:rPr>
                      <w:rFonts w:hint="default" w:cs="Times New Roman"/>
                      <w:color w:val="auto"/>
                      <w:kern w:val="0"/>
                      <w:sz w:val="21"/>
                      <w:szCs w:val="21"/>
                      <w:highlight w:val="none"/>
                      <w:lang w:val="en-US" w:eastAsia="zh-CN" w:bidi="en-US"/>
                    </w:rPr>
                  </w:pPr>
                  <w:r>
                    <w:rPr>
                      <w:rFonts w:hint="eastAsia" w:cs="Times New Roman"/>
                      <w:color w:val="auto"/>
                      <w:kern w:val="0"/>
                      <w:sz w:val="21"/>
                      <w:szCs w:val="21"/>
                      <w:highlight w:val="none"/>
                      <w:lang w:val="en-US" w:eastAsia="zh-CN" w:bidi="en-US"/>
                    </w:rPr>
                    <w:t>桶装</w:t>
                  </w:r>
                </w:p>
              </w:tc>
              <w:tc>
                <w:tcPr>
                  <w:tcW w:w="611" w:type="pct"/>
                  <w:noWrap w:val="0"/>
                  <w:vAlign w:val="center"/>
                </w:tcPr>
                <w:p w14:paraId="51F14914">
                  <w:pPr>
                    <w:topLinePunct/>
                    <w:adjustRightInd w:val="0"/>
                    <w:snapToGrid w:val="0"/>
                    <w:jc w:val="center"/>
                    <w:rPr>
                      <w:rFonts w:hint="eastAsia" w:cs="Times New Roman"/>
                      <w:color w:val="auto"/>
                      <w:kern w:val="0"/>
                      <w:szCs w:val="21"/>
                      <w:highlight w:val="none"/>
                      <w:lang w:val="en-US" w:eastAsia="zh-CN"/>
                    </w:rPr>
                  </w:pPr>
                  <w:r>
                    <w:rPr>
                      <w:rFonts w:hint="eastAsia" w:cs="Times New Roman"/>
                      <w:b w:val="0"/>
                      <w:bCs w:val="0"/>
                      <w:color w:val="auto"/>
                      <w:spacing w:val="-10"/>
                      <w:sz w:val="21"/>
                      <w:szCs w:val="21"/>
                      <w:highlight w:val="none"/>
                      <w:vertAlign w:val="baseline"/>
                      <w:lang w:val="en-US" w:eastAsia="zh-CN"/>
                    </w:rPr>
                    <w:t>0.013</w:t>
                  </w:r>
                </w:p>
              </w:tc>
              <w:tc>
                <w:tcPr>
                  <w:tcW w:w="598" w:type="pct"/>
                  <w:noWrap w:val="0"/>
                  <w:vAlign w:val="center"/>
                </w:tcPr>
                <w:p w14:paraId="19248BD3">
                  <w:pPr>
                    <w:pStyle w:val="24"/>
                    <w:keepNext w:val="0"/>
                    <w:keepLines w:val="0"/>
                    <w:pageBreakBefore w:val="0"/>
                    <w:widowControl w:val="0"/>
                    <w:numPr>
                      <w:ilvl w:val="0"/>
                      <w:numId w:val="0"/>
                    </w:numPr>
                    <w:shd w:val="clear"/>
                    <w:kinsoku/>
                    <w:wordWrap/>
                    <w:overflowPunct/>
                    <w:topLinePunct w:val="0"/>
                    <w:autoSpaceDE/>
                    <w:autoSpaceDN/>
                    <w:bidi w:val="0"/>
                    <w:adjustRightInd/>
                    <w:snapToGrid w:val="0"/>
                    <w:spacing w:after="0" w:line="240" w:lineRule="auto"/>
                    <w:ind w:left="0" w:leftChars="0" w:firstLine="0" w:firstLineChars="0"/>
                    <w:jc w:val="center"/>
                    <w:textAlignment w:val="auto"/>
                    <w:rPr>
                      <w:rFonts w:hint="default" w:cs="Times New Roman"/>
                      <w:b w:val="0"/>
                      <w:bCs w:val="0"/>
                      <w:color w:val="auto"/>
                      <w:spacing w:val="-10"/>
                      <w:sz w:val="21"/>
                      <w:szCs w:val="21"/>
                      <w:highlight w:val="none"/>
                      <w:vertAlign w:val="baseline"/>
                      <w:lang w:val="en-US" w:eastAsia="zh-CN"/>
                    </w:rPr>
                  </w:pPr>
                  <w:r>
                    <w:rPr>
                      <w:rFonts w:hint="eastAsia" w:cs="Times New Roman"/>
                      <w:b w:val="0"/>
                      <w:bCs w:val="0"/>
                      <w:color w:val="auto"/>
                      <w:spacing w:val="-10"/>
                      <w:sz w:val="21"/>
                      <w:szCs w:val="21"/>
                      <w:highlight w:val="none"/>
                      <w:vertAlign w:val="baseline"/>
                      <w:lang w:val="en-US" w:eastAsia="zh-CN"/>
                    </w:rPr>
                    <w:t>1</w:t>
                  </w:r>
                </w:p>
              </w:tc>
              <w:tc>
                <w:tcPr>
                  <w:tcW w:w="539" w:type="pct"/>
                  <w:vMerge w:val="continue"/>
                  <w:noWrap w:val="0"/>
                  <w:vAlign w:val="top"/>
                </w:tcPr>
                <w:p w14:paraId="240B5B56">
                  <w:pPr>
                    <w:pStyle w:val="24"/>
                    <w:keepNext w:val="0"/>
                    <w:keepLines w:val="0"/>
                    <w:pageBreakBefore w:val="0"/>
                    <w:widowControl w:val="0"/>
                    <w:numPr>
                      <w:ilvl w:val="0"/>
                      <w:numId w:val="0"/>
                    </w:numPr>
                    <w:shd w:val="clear"/>
                    <w:kinsoku/>
                    <w:wordWrap/>
                    <w:overflowPunct/>
                    <w:topLinePunct w:val="0"/>
                    <w:autoSpaceDE/>
                    <w:autoSpaceDN/>
                    <w:bidi w:val="0"/>
                    <w:adjustRightInd/>
                    <w:snapToGrid w:val="0"/>
                    <w:spacing w:after="0" w:line="240" w:lineRule="auto"/>
                    <w:ind w:left="0" w:leftChars="0" w:firstLine="0" w:firstLineChars="0"/>
                    <w:jc w:val="center"/>
                    <w:textAlignment w:val="auto"/>
                    <w:rPr>
                      <w:rFonts w:hint="eastAsia" w:ascii="Times New Roman" w:hAnsi="Times New Roman" w:eastAsia="宋体" w:cs="Times New Roman"/>
                      <w:b w:val="0"/>
                      <w:bCs w:val="0"/>
                      <w:color w:val="auto"/>
                      <w:spacing w:val="-10"/>
                      <w:sz w:val="21"/>
                      <w:szCs w:val="21"/>
                      <w:highlight w:val="none"/>
                      <w:vertAlign w:val="baseline"/>
                      <w:lang w:val="en-US" w:eastAsia="zh-CN"/>
                    </w:rPr>
                  </w:pPr>
                </w:p>
              </w:tc>
              <w:tc>
                <w:tcPr>
                  <w:tcW w:w="276" w:type="pct"/>
                  <w:noWrap w:val="0"/>
                  <w:vAlign w:val="top"/>
                </w:tcPr>
                <w:p w14:paraId="2F7D48A6">
                  <w:pPr>
                    <w:pStyle w:val="24"/>
                    <w:keepNext w:val="0"/>
                    <w:keepLines w:val="0"/>
                    <w:pageBreakBefore w:val="0"/>
                    <w:widowControl w:val="0"/>
                    <w:numPr>
                      <w:ilvl w:val="0"/>
                      <w:numId w:val="0"/>
                    </w:numPr>
                    <w:shd w:val="clear"/>
                    <w:kinsoku/>
                    <w:wordWrap/>
                    <w:overflowPunct/>
                    <w:topLinePunct w:val="0"/>
                    <w:autoSpaceDE/>
                    <w:autoSpaceDN/>
                    <w:bidi w:val="0"/>
                    <w:adjustRightInd/>
                    <w:snapToGrid w:val="0"/>
                    <w:spacing w:after="0" w:line="360" w:lineRule="auto"/>
                    <w:jc w:val="both"/>
                    <w:textAlignment w:val="auto"/>
                    <w:rPr>
                      <w:rFonts w:hint="default" w:cs="Times New Roman"/>
                      <w:b w:val="0"/>
                      <w:bCs/>
                      <w:color w:val="auto"/>
                      <w:spacing w:val="-10"/>
                      <w:sz w:val="21"/>
                      <w:szCs w:val="21"/>
                      <w:highlight w:val="none"/>
                      <w:vertAlign w:val="baseline"/>
                      <w:lang w:val="en-US" w:eastAsia="zh-CN"/>
                    </w:rPr>
                  </w:pPr>
                  <w:r>
                    <w:rPr>
                      <w:rFonts w:hint="eastAsia" w:cs="Times New Roman"/>
                      <w:b w:val="0"/>
                      <w:bCs/>
                      <w:color w:val="auto"/>
                      <w:spacing w:val="-10"/>
                      <w:sz w:val="21"/>
                      <w:szCs w:val="21"/>
                      <w:highlight w:val="none"/>
                      <w:vertAlign w:val="baseline"/>
                      <w:lang w:val="en-US" w:eastAsia="zh-CN"/>
                    </w:rPr>
                    <w:t>3个月</w:t>
                  </w:r>
                </w:p>
              </w:tc>
            </w:tr>
            <w:tr w14:paraId="03C8CE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4" w:type="pct"/>
                  <w:vMerge w:val="continue"/>
                  <w:noWrap w:val="0"/>
                  <w:vAlign w:val="center"/>
                </w:tcPr>
                <w:p w14:paraId="1EC8B67C">
                  <w:pPr>
                    <w:pStyle w:val="24"/>
                    <w:keepNext w:val="0"/>
                    <w:keepLines w:val="0"/>
                    <w:pageBreakBefore w:val="0"/>
                    <w:widowControl w:val="0"/>
                    <w:numPr>
                      <w:ilvl w:val="0"/>
                      <w:numId w:val="0"/>
                    </w:numPr>
                    <w:shd w:val="clear"/>
                    <w:kinsoku/>
                    <w:wordWrap/>
                    <w:overflowPunct/>
                    <w:topLinePunct w:val="0"/>
                    <w:autoSpaceDE/>
                    <w:autoSpaceDN/>
                    <w:bidi w:val="0"/>
                    <w:adjustRightInd/>
                    <w:snapToGrid w:val="0"/>
                    <w:spacing w:after="0" w:line="360" w:lineRule="auto"/>
                    <w:jc w:val="both"/>
                    <w:textAlignment w:val="auto"/>
                    <w:rPr>
                      <w:rFonts w:hint="default" w:ascii="Times New Roman" w:hAnsi="Times New Roman" w:eastAsia="宋体" w:cs="Times New Roman"/>
                      <w:b/>
                      <w:bCs w:val="0"/>
                      <w:color w:val="auto"/>
                      <w:spacing w:val="-10"/>
                      <w:sz w:val="24"/>
                      <w:szCs w:val="24"/>
                      <w:highlight w:val="none"/>
                      <w:vertAlign w:val="baseline"/>
                      <w:lang w:val="en-US" w:eastAsia="zh-CN"/>
                    </w:rPr>
                  </w:pPr>
                </w:p>
              </w:tc>
              <w:tc>
                <w:tcPr>
                  <w:tcW w:w="746" w:type="pct"/>
                  <w:noWrap w:val="0"/>
                  <w:vAlign w:val="center"/>
                </w:tcPr>
                <w:p w14:paraId="7A908D5B">
                  <w:pPr>
                    <w:shd w:val="clear"/>
                    <w:spacing w:line="240" w:lineRule="auto"/>
                    <w:jc w:val="center"/>
                    <w:rPr>
                      <w:rFonts w:hint="eastAsia"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废</w:t>
                  </w:r>
                  <w:r>
                    <w:rPr>
                      <w:rFonts w:hint="eastAsia" w:cs="Times New Roman"/>
                      <w:color w:val="auto"/>
                      <w:sz w:val="21"/>
                      <w:szCs w:val="21"/>
                      <w:highlight w:val="none"/>
                      <w:lang w:val="en-US" w:eastAsia="zh-CN"/>
                    </w:rPr>
                    <w:t>机</w:t>
                  </w:r>
                  <w:r>
                    <w:rPr>
                      <w:rFonts w:hint="default" w:ascii="Times New Roman" w:hAnsi="Times New Roman" w:eastAsia="宋体" w:cs="Times New Roman"/>
                      <w:color w:val="auto"/>
                      <w:sz w:val="21"/>
                      <w:szCs w:val="21"/>
                      <w:highlight w:val="none"/>
                    </w:rPr>
                    <w:t>油</w:t>
                  </w:r>
                  <w:r>
                    <w:rPr>
                      <w:rFonts w:hint="default" w:ascii="Times New Roman" w:hAnsi="Times New Roman" w:eastAsia="宋体" w:cs="Times New Roman"/>
                      <w:color w:val="auto"/>
                      <w:sz w:val="21"/>
                      <w:szCs w:val="21"/>
                      <w:highlight w:val="none"/>
                      <w:lang w:val="en-US" w:eastAsia="zh-CN"/>
                    </w:rPr>
                    <w:t>及其包装物</w:t>
                  </w:r>
                </w:p>
              </w:tc>
              <w:tc>
                <w:tcPr>
                  <w:tcW w:w="539" w:type="pct"/>
                  <w:noWrap w:val="0"/>
                  <w:vAlign w:val="center"/>
                </w:tcPr>
                <w:p w14:paraId="695F7B53">
                  <w:pPr>
                    <w:widowControl/>
                    <w:shd w:val="clear"/>
                    <w:spacing w:line="240" w:lineRule="auto"/>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sz w:val="21"/>
                      <w:szCs w:val="21"/>
                      <w:highlight w:val="none"/>
                    </w:rPr>
                    <w:t>HW08</w:t>
                  </w:r>
                </w:p>
              </w:tc>
              <w:tc>
                <w:tcPr>
                  <w:tcW w:w="737" w:type="pct"/>
                  <w:noWrap w:val="0"/>
                  <w:vAlign w:val="center"/>
                </w:tcPr>
                <w:p w14:paraId="4F1C5B05">
                  <w:pPr>
                    <w:widowControl/>
                    <w:shd w:val="clear"/>
                    <w:spacing w:line="240" w:lineRule="auto"/>
                    <w:jc w:val="center"/>
                    <w:rPr>
                      <w:rFonts w:hint="default" w:ascii="Times New Roman" w:hAnsi="Times New Roman" w:eastAsia="宋体" w:cs="Times New Roman"/>
                      <w:color w:val="auto"/>
                      <w:kern w:val="0"/>
                      <w:sz w:val="20"/>
                      <w:szCs w:val="20"/>
                      <w:highlight w:val="none"/>
                      <w:lang w:val="en-US" w:eastAsia="zh-CN" w:bidi="ar"/>
                    </w:rPr>
                  </w:pPr>
                  <w:r>
                    <w:rPr>
                      <w:rFonts w:hint="default" w:ascii="Times New Roman" w:hAnsi="Times New Roman" w:eastAsia="宋体" w:cs="Times New Roman"/>
                      <w:color w:val="auto"/>
                      <w:sz w:val="21"/>
                      <w:szCs w:val="21"/>
                      <w:highlight w:val="none"/>
                    </w:rPr>
                    <w:t>900-249-08</w:t>
                  </w:r>
                </w:p>
              </w:tc>
              <w:tc>
                <w:tcPr>
                  <w:tcW w:w="300" w:type="pct"/>
                  <w:vMerge w:val="continue"/>
                  <w:noWrap w:val="0"/>
                  <w:vAlign w:val="center"/>
                </w:tcPr>
                <w:p w14:paraId="1711F458">
                  <w:pPr>
                    <w:pStyle w:val="24"/>
                    <w:keepNext w:val="0"/>
                    <w:keepLines w:val="0"/>
                    <w:pageBreakBefore w:val="0"/>
                    <w:widowControl w:val="0"/>
                    <w:numPr>
                      <w:ilvl w:val="0"/>
                      <w:numId w:val="0"/>
                    </w:numPr>
                    <w:shd w:val="clear"/>
                    <w:kinsoku/>
                    <w:wordWrap/>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p>
              </w:tc>
              <w:tc>
                <w:tcPr>
                  <w:tcW w:w="276" w:type="pct"/>
                  <w:noWrap w:val="0"/>
                  <w:vAlign w:val="center"/>
                </w:tcPr>
                <w:p w14:paraId="5F89D052">
                  <w:pPr>
                    <w:shd w:val="clear"/>
                    <w:spacing w:line="240" w:lineRule="auto"/>
                    <w:jc w:val="center"/>
                    <w:rPr>
                      <w:rFonts w:hint="eastAsia" w:cs="Times New Roman"/>
                      <w:color w:val="auto"/>
                      <w:kern w:val="0"/>
                      <w:sz w:val="21"/>
                      <w:szCs w:val="21"/>
                      <w:highlight w:val="none"/>
                      <w:lang w:val="en-US" w:eastAsia="zh-CN" w:bidi="en-US"/>
                    </w:rPr>
                  </w:pPr>
                  <w:r>
                    <w:rPr>
                      <w:rFonts w:hint="eastAsia" w:cs="Times New Roman"/>
                      <w:color w:val="auto"/>
                      <w:kern w:val="0"/>
                      <w:sz w:val="21"/>
                      <w:szCs w:val="21"/>
                      <w:highlight w:val="none"/>
                      <w:lang w:val="en-US" w:eastAsia="zh-CN" w:bidi="en-US"/>
                    </w:rPr>
                    <w:t>桶装</w:t>
                  </w:r>
                </w:p>
              </w:tc>
              <w:tc>
                <w:tcPr>
                  <w:tcW w:w="611" w:type="pct"/>
                  <w:noWrap w:val="0"/>
                  <w:vAlign w:val="center"/>
                </w:tcPr>
                <w:p w14:paraId="79730C9D">
                  <w:pPr>
                    <w:topLinePunct/>
                    <w:adjustRightInd w:val="0"/>
                    <w:snapToGrid w:val="0"/>
                    <w:jc w:val="center"/>
                    <w:rPr>
                      <w:rFonts w:hint="default" w:cs="Times New Roman"/>
                      <w:b w:val="0"/>
                      <w:bCs w:val="0"/>
                      <w:color w:val="auto"/>
                      <w:spacing w:val="-10"/>
                      <w:sz w:val="21"/>
                      <w:szCs w:val="21"/>
                      <w:highlight w:val="none"/>
                      <w:vertAlign w:val="baseline"/>
                      <w:lang w:val="en-US" w:eastAsia="zh-CN"/>
                    </w:rPr>
                  </w:pPr>
                  <w:r>
                    <w:rPr>
                      <w:rFonts w:hint="eastAsia" w:cs="Times New Roman"/>
                      <w:b w:val="0"/>
                      <w:bCs w:val="0"/>
                      <w:color w:val="auto"/>
                      <w:spacing w:val="-10"/>
                      <w:sz w:val="21"/>
                      <w:szCs w:val="21"/>
                      <w:highlight w:val="none"/>
                      <w:vertAlign w:val="baseline"/>
                      <w:lang w:val="en-US" w:eastAsia="zh-CN"/>
                    </w:rPr>
                    <w:t>0.025</w:t>
                  </w:r>
                </w:p>
              </w:tc>
              <w:tc>
                <w:tcPr>
                  <w:tcW w:w="598" w:type="pct"/>
                  <w:noWrap w:val="0"/>
                  <w:vAlign w:val="center"/>
                </w:tcPr>
                <w:p w14:paraId="5A57112B">
                  <w:pPr>
                    <w:pStyle w:val="24"/>
                    <w:keepNext w:val="0"/>
                    <w:keepLines w:val="0"/>
                    <w:pageBreakBefore w:val="0"/>
                    <w:widowControl w:val="0"/>
                    <w:numPr>
                      <w:ilvl w:val="0"/>
                      <w:numId w:val="0"/>
                    </w:numPr>
                    <w:shd w:val="clear"/>
                    <w:kinsoku/>
                    <w:wordWrap/>
                    <w:overflowPunct/>
                    <w:topLinePunct w:val="0"/>
                    <w:autoSpaceDE/>
                    <w:autoSpaceDN/>
                    <w:bidi w:val="0"/>
                    <w:adjustRightInd/>
                    <w:snapToGrid w:val="0"/>
                    <w:spacing w:after="0" w:line="240" w:lineRule="auto"/>
                    <w:ind w:left="0" w:leftChars="0" w:firstLine="0" w:firstLineChars="0"/>
                    <w:jc w:val="center"/>
                    <w:textAlignment w:val="auto"/>
                    <w:rPr>
                      <w:rFonts w:hint="default" w:cs="Times New Roman"/>
                      <w:b w:val="0"/>
                      <w:bCs w:val="0"/>
                      <w:color w:val="auto"/>
                      <w:spacing w:val="-10"/>
                      <w:sz w:val="21"/>
                      <w:szCs w:val="21"/>
                      <w:highlight w:val="none"/>
                      <w:vertAlign w:val="baseline"/>
                      <w:lang w:val="en-US" w:eastAsia="zh-CN"/>
                    </w:rPr>
                  </w:pPr>
                  <w:r>
                    <w:rPr>
                      <w:rFonts w:hint="eastAsia" w:cs="Times New Roman"/>
                      <w:b w:val="0"/>
                      <w:bCs w:val="0"/>
                      <w:color w:val="auto"/>
                      <w:spacing w:val="-10"/>
                      <w:sz w:val="21"/>
                      <w:szCs w:val="21"/>
                      <w:highlight w:val="none"/>
                      <w:vertAlign w:val="baseline"/>
                      <w:lang w:val="en-US" w:eastAsia="zh-CN"/>
                    </w:rPr>
                    <w:t>1</w:t>
                  </w:r>
                </w:p>
              </w:tc>
              <w:tc>
                <w:tcPr>
                  <w:tcW w:w="539" w:type="pct"/>
                  <w:vMerge w:val="continue"/>
                  <w:noWrap w:val="0"/>
                  <w:vAlign w:val="top"/>
                </w:tcPr>
                <w:p w14:paraId="2503CE3C">
                  <w:pPr>
                    <w:pStyle w:val="24"/>
                    <w:keepNext w:val="0"/>
                    <w:keepLines w:val="0"/>
                    <w:pageBreakBefore w:val="0"/>
                    <w:widowControl w:val="0"/>
                    <w:numPr>
                      <w:ilvl w:val="0"/>
                      <w:numId w:val="0"/>
                    </w:numPr>
                    <w:shd w:val="clear"/>
                    <w:kinsoku/>
                    <w:wordWrap/>
                    <w:overflowPunct/>
                    <w:topLinePunct w:val="0"/>
                    <w:autoSpaceDE/>
                    <w:autoSpaceDN/>
                    <w:bidi w:val="0"/>
                    <w:adjustRightInd/>
                    <w:snapToGrid w:val="0"/>
                    <w:spacing w:after="0" w:line="240" w:lineRule="auto"/>
                    <w:ind w:left="0" w:leftChars="0" w:firstLine="0" w:firstLineChars="0"/>
                    <w:jc w:val="center"/>
                    <w:textAlignment w:val="auto"/>
                    <w:rPr>
                      <w:rFonts w:hint="eastAsia" w:ascii="Times New Roman" w:hAnsi="Times New Roman" w:eastAsia="宋体" w:cs="Times New Roman"/>
                      <w:b w:val="0"/>
                      <w:bCs w:val="0"/>
                      <w:color w:val="auto"/>
                      <w:spacing w:val="-10"/>
                      <w:sz w:val="21"/>
                      <w:szCs w:val="21"/>
                      <w:highlight w:val="none"/>
                      <w:vertAlign w:val="baseline"/>
                      <w:lang w:val="en-US" w:eastAsia="zh-CN"/>
                    </w:rPr>
                  </w:pPr>
                </w:p>
              </w:tc>
              <w:tc>
                <w:tcPr>
                  <w:tcW w:w="276" w:type="pct"/>
                  <w:noWrap w:val="0"/>
                  <w:vAlign w:val="top"/>
                </w:tcPr>
                <w:p w14:paraId="4A08EE3B">
                  <w:pPr>
                    <w:pStyle w:val="24"/>
                    <w:keepNext w:val="0"/>
                    <w:keepLines w:val="0"/>
                    <w:pageBreakBefore w:val="0"/>
                    <w:widowControl w:val="0"/>
                    <w:numPr>
                      <w:ilvl w:val="0"/>
                      <w:numId w:val="0"/>
                    </w:numPr>
                    <w:shd w:val="clear"/>
                    <w:kinsoku/>
                    <w:wordWrap/>
                    <w:overflowPunct/>
                    <w:topLinePunct w:val="0"/>
                    <w:autoSpaceDE/>
                    <w:autoSpaceDN/>
                    <w:bidi w:val="0"/>
                    <w:adjustRightInd/>
                    <w:snapToGrid w:val="0"/>
                    <w:spacing w:after="0" w:line="360" w:lineRule="auto"/>
                    <w:jc w:val="both"/>
                    <w:textAlignment w:val="auto"/>
                    <w:rPr>
                      <w:rFonts w:hint="default" w:cs="Times New Roman"/>
                      <w:b w:val="0"/>
                      <w:bCs/>
                      <w:color w:val="auto"/>
                      <w:spacing w:val="-10"/>
                      <w:sz w:val="21"/>
                      <w:szCs w:val="21"/>
                      <w:highlight w:val="none"/>
                      <w:vertAlign w:val="baseline"/>
                      <w:lang w:val="en-US" w:eastAsia="zh-CN"/>
                    </w:rPr>
                  </w:pPr>
                  <w:r>
                    <w:rPr>
                      <w:rFonts w:hint="eastAsia" w:cs="Times New Roman"/>
                      <w:b w:val="0"/>
                      <w:bCs/>
                      <w:color w:val="auto"/>
                      <w:spacing w:val="-10"/>
                      <w:sz w:val="21"/>
                      <w:szCs w:val="21"/>
                      <w:highlight w:val="none"/>
                      <w:vertAlign w:val="baseline"/>
                      <w:lang w:val="en-US" w:eastAsia="zh-CN"/>
                    </w:rPr>
                    <w:t>1年</w:t>
                  </w:r>
                </w:p>
              </w:tc>
            </w:tr>
            <w:tr w14:paraId="408D6A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4" w:type="pct"/>
                  <w:vMerge w:val="continue"/>
                  <w:noWrap w:val="0"/>
                  <w:vAlign w:val="center"/>
                </w:tcPr>
                <w:p w14:paraId="56AF09F7">
                  <w:pPr>
                    <w:pStyle w:val="24"/>
                    <w:keepNext w:val="0"/>
                    <w:keepLines w:val="0"/>
                    <w:pageBreakBefore w:val="0"/>
                    <w:widowControl w:val="0"/>
                    <w:numPr>
                      <w:ilvl w:val="0"/>
                      <w:numId w:val="0"/>
                    </w:numPr>
                    <w:shd w:val="clear"/>
                    <w:kinsoku/>
                    <w:wordWrap/>
                    <w:overflowPunct/>
                    <w:topLinePunct w:val="0"/>
                    <w:autoSpaceDE/>
                    <w:autoSpaceDN/>
                    <w:bidi w:val="0"/>
                    <w:adjustRightInd/>
                    <w:snapToGrid w:val="0"/>
                    <w:spacing w:after="0" w:line="360" w:lineRule="auto"/>
                    <w:jc w:val="both"/>
                    <w:textAlignment w:val="auto"/>
                    <w:rPr>
                      <w:rFonts w:hint="default" w:ascii="Times New Roman" w:hAnsi="Times New Roman" w:eastAsia="宋体" w:cs="Times New Roman"/>
                      <w:b/>
                      <w:bCs w:val="0"/>
                      <w:color w:val="auto"/>
                      <w:spacing w:val="-10"/>
                      <w:sz w:val="24"/>
                      <w:szCs w:val="24"/>
                      <w:highlight w:val="none"/>
                      <w:vertAlign w:val="baseline"/>
                      <w:lang w:val="en-US" w:eastAsia="zh-CN"/>
                    </w:rPr>
                  </w:pPr>
                </w:p>
              </w:tc>
              <w:tc>
                <w:tcPr>
                  <w:tcW w:w="746" w:type="pct"/>
                  <w:noWrap w:val="0"/>
                  <w:vAlign w:val="center"/>
                </w:tcPr>
                <w:p w14:paraId="6BFB973B">
                  <w:pPr>
                    <w:shd w:val="clear"/>
                    <w:adjustRightInd w:val="0"/>
                    <w:snapToGrid w:val="0"/>
                    <w:spacing w:line="240" w:lineRule="auto"/>
                    <w:jc w:val="center"/>
                    <w:rPr>
                      <w:rFonts w:hint="eastAsia" w:cs="Times New Roman"/>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eastAsia="zh-CN"/>
                    </w:rPr>
                    <w:t>废抹布及废手套</w:t>
                  </w:r>
                </w:p>
              </w:tc>
              <w:tc>
                <w:tcPr>
                  <w:tcW w:w="539" w:type="pct"/>
                  <w:noWrap w:val="0"/>
                  <w:vAlign w:val="center"/>
                </w:tcPr>
                <w:p w14:paraId="59D63B34">
                  <w:pPr>
                    <w:widowControl/>
                    <w:shd w:val="clear"/>
                    <w:adjustRightInd w:val="0"/>
                    <w:snapToGrid w:val="0"/>
                    <w:spacing w:line="240" w:lineRule="auto"/>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sz w:val="21"/>
                      <w:szCs w:val="21"/>
                      <w:highlight w:val="none"/>
                    </w:rPr>
                    <w:t>HW</w:t>
                  </w:r>
                  <w:r>
                    <w:rPr>
                      <w:rFonts w:hint="default" w:ascii="Times New Roman" w:hAnsi="Times New Roman" w:eastAsia="宋体" w:cs="Times New Roman"/>
                      <w:color w:val="auto"/>
                      <w:sz w:val="21"/>
                      <w:szCs w:val="21"/>
                      <w:highlight w:val="none"/>
                      <w:lang w:val="en-US" w:eastAsia="zh-CN"/>
                    </w:rPr>
                    <w:t>49</w:t>
                  </w:r>
                </w:p>
              </w:tc>
              <w:tc>
                <w:tcPr>
                  <w:tcW w:w="737" w:type="pct"/>
                  <w:noWrap w:val="0"/>
                  <w:vAlign w:val="center"/>
                </w:tcPr>
                <w:p w14:paraId="4BDFAF20">
                  <w:pPr>
                    <w:widowControl/>
                    <w:shd w:val="clear"/>
                    <w:adjustRightInd w:val="0"/>
                    <w:snapToGrid w:val="0"/>
                    <w:spacing w:line="240" w:lineRule="auto"/>
                    <w:jc w:val="center"/>
                    <w:rPr>
                      <w:rFonts w:hint="default" w:ascii="Times New Roman" w:hAnsi="Times New Roman" w:eastAsia="宋体" w:cs="Times New Roman"/>
                      <w:color w:val="auto"/>
                      <w:kern w:val="0"/>
                      <w:sz w:val="20"/>
                      <w:szCs w:val="20"/>
                      <w:highlight w:val="none"/>
                      <w:lang w:val="en-US" w:eastAsia="zh-CN" w:bidi="ar"/>
                    </w:rPr>
                  </w:pPr>
                  <w:r>
                    <w:rPr>
                      <w:rFonts w:hint="default" w:ascii="Times New Roman" w:hAnsi="Times New Roman" w:eastAsia="宋体" w:cs="Times New Roman"/>
                      <w:color w:val="auto"/>
                      <w:sz w:val="21"/>
                      <w:szCs w:val="21"/>
                      <w:highlight w:val="none"/>
                    </w:rPr>
                    <w:t>900-</w:t>
                  </w:r>
                  <w:r>
                    <w:rPr>
                      <w:rFonts w:hint="default" w:ascii="Times New Roman" w:hAnsi="Times New Roman" w:eastAsia="宋体" w:cs="Times New Roman"/>
                      <w:color w:val="auto"/>
                      <w:sz w:val="21"/>
                      <w:szCs w:val="21"/>
                      <w:highlight w:val="none"/>
                      <w:lang w:val="en-US" w:eastAsia="zh-CN"/>
                    </w:rPr>
                    <w:t>041</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49</w:t>
                  </w:r>
                </w:p>
              </w:tc>
              <w:tc>
                <w:tcPr>
                  <w:tcW w:w="300" w:type="pct"/>
                  <w:vMerge w:val="continue"/>
                  <w:noWrap w:val="0"/>
                  <w:vAlign w:val="center"/>
                </w:tcPr>
                <w:p w14:paraId="40610644">
                  <w:pPr>
                    <w:pStyle w:val="24"/>
                    <w:keepNext w:val="0"/>
                    <w:keepLines w:val="0"/>
                    <w:pageBreakBefore w:val="0"/>
                    <w:widowControl w:val="0"/>
                    <w:numPr>
                      <w:ilvl w:val="0"/>
                      <w:numId w:val="0"/>
                    </w:numPr>
                    <w:shd w:val="clear"/>
                    <w:kinsoku/>
                    <w:wordWrap/>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p>
              </w:tc>
              <w:tc>
                <w:tcPr>
                  <w:tcW w:w="276" w:type="pct"/>
                  <w:noWrap w:val="0"/>
                  <w:vAlign w:val="center"/>
                </w:tcPr>
                <w:p w14:paraId="64B4B769">
                  <w:pPr>
                    <w:shd w:val="clear"/>
                    <w:spacing w:line="240" w:lineRule="auto"/>
                    <w:jc w:val="center"/>
                    <w:rPr>
                      <w:rFonts w:hint="eastAsia" w:cs="Times New Roman"/>
                      <w:color w:val="auto"/>
                      <w:kern w:val="0"/>
                      <w:sz w:val="21"/>
                      <w:szCs w:val="21"/>
                      <w:highlight w:val="none"/>
                      <w:lang w:val="en-US" w:eastAsia="zh-CN" w:bidi="en-US"/>
                    </w:rPr>
                  </w:pPr>
                  <w:r>
                    <w:rPr>
                      <w:rFonts w:hint="eastAsia" w:cs="Times New Roman"/>
                      <w:color w:val="auto"/>
                      <w:kern w:val="0"/>
                      <w:sz w:val="21"/>
                      <w:szCs w:val="21"/>
                      <w:highlight w:val="none"/>
                      <w:lang w:val="en-US" w:eastAsia="zh-CN" w:bidi="en-US"/>
                    </w:rPr>
                    <w:t>桶装</w:t>
                  </w:r>
                </w:p>
              </w:tc>
              <w:tc>
                <w:tcPr>
                  <w:tcW w:w="611" w:type="pct"/>
                  <w:noWrap w:val="0"/>
                  <w:vAlign w:val="center"/>
                </w:tcPr>
                <w:p w14:paraId="12D39B21">
                  <w:pPr>
                    <w:topLinePunct/>
                    <w:adjustRightInd w:val="0"/>
                    <w:snapToGrid w:val="0"/>
                    <w:jc w:val="center"/>
                    <w:rPr>
                      <w:rFonts w:hint="default" w:cs="Times New Roman"/>
                      <w:b w:val="0"/>
                      <w:bCs w:val="0"/>
                      <w:color w:val="auto"/>
                      <w:spacing w:val="-10"/>
                      <w:sz w:val="21"/>
                      <w:szCs w:val="21"/>
                      <w:highlight w:val="none"/>
                      <w:vertAlign w:val="baseline"/>
                      <w:lang w:val="en-US" w:eastAsia="zh-CN"/>
                    </w:rPr>
                  </w:pPr>
                  <w:r>
                    <w:rPr>
                      <w:rFonts w:hint="eastAsia" w:cs="Times New Roman"/>
                      <w:b w:val="0"/>
                      <w:bCs w:val="0"/>
                      <w:color w:val="auto"/>
                      <w:spacing w:val="-10"/>
                      <w:sz w:val="21"/>
                      <w:szCs w:val="21"/>
                      <w:highlight w:val="none"/>
                      <w:vertAlign w:val="baseline"/>
                      <w:lang w:val="en-US" w:eastAsia="zh-CN"/>
                    </w:rPr>
                    <w:t>0.031</w:t>
                  </w:r>
                </w:p>
              </w:tc>
              <w:tc>
                <w:tcPr>
                  <w:tcW w:w="598" w:type="pct"/>
                  <w:noWrap w:val="0"/>
                  <w:vAlign w:val="center"/>
                </w:tcPr>
                <w:p w14:paraId="3C9B5162">
                  <w:pPr>
                    <w:pStyle w:val="24"/>
                    <w:keepNext w:val="0"/>
                    <w:keepLines w:val="0"/>
                    <w:pageBreakBefore w:val="0"/>
                    <w:widowControl w:val="0"/>
                    <w:numPr>
                      <w:ilvl w:val="0"/>
                      <w:numId w:val="0"/>
                    </w:numPr>
                    <w:shd w:val="clear"/>
                    <w:kinsoku/>
                    <w:wordWrap/>
                    <w:overflowPunct/>
                    <w:topLinePunct w:val="0"/>
                    <w:autoSpaceDE/>
                    <w:autoSpaceDN/>
                    <w:bidi w:val="0"/>
                    <w:adjustRightInd/>
                    <w:snapToGrid w:val="0"/>
                    <w:spacing w:after="0" w:line="240" w:lineRule="auto"/>
                    <w:ind w:left="0" w:leftChars="0" w:firstLine="0" w:firstLineChars="0"/>
                    <w:jc w:val="center"/>
                    <w:textAlignment w:val="auto"/>
                    <w:rPr>
                      <w:rFonts w:hint="default" w:cs="Times New Roman"/>
                      <w:b w:val="0"/>
                      <w:bCs w:val="0"/>
                      <w:color w:val="auto"/>
                      <w:spacing w:val="-10"/>
                      <w:sz w:val="21"/>
                      <w:szCs w:val="21"/>
                      <w:highlight w:val="none"/>
                      <w:vertAlign w:val="baseline"/>
                      <w:lang w:val="en-US" w:eastAsia="zh-CN"/>
                    </w:rPr>
                  </w:pPr>
                  <w:r>
                    <w:rPr>
                      <w:rFonts w:hint="eastAsia" w:cs="Times New Roman"/>
                      <w:b w:val="0"/>
                      <w:bCs w:val="0"/>
                      <w:color w:val="auto"/>
                      <w:spacing w:val="-10"/>
                      <w:sz w:val="21"/>
                      <w:szCs w:val="21"/>
                      <w:highlight w:val="none"/>
                      <w:vertAlign w:val="baseline"/>
                      <w:lang w:val="en-US" w:eastAsia="zh-CN"/>
                    </w:rPr>
                    <w:t>1</w:t>
                  </w:r>
                </w:p>
              </w:tc>
              <w:tc>
                <w:tcPr>
                  <w:tcW w:w="539" w:type="pct"/>
                  <w:vMerge w:val="continue"/>
                  <w:noWrap w:val="0"/>
                  <w:vAlign w:val="top"/>
                </w:tcPr>
                <w:p w14:paraId="16FC5A20">
                  <w:pPr>
                    <w:pStyle w:val="24"/>
                    <w:keepNext w:val="0"/>
                    <w:keepLines w:val="0"/>
                    <w:pageBreakBefore w:val="0"/>
                    <w:widowControl w:val="0"/>
                    <w:numPr>
                      <w:ilvl w:val="0"/>
                      <w:numId w:val="0"/>
                    </w:numPr>
                    <w:shd w:val="clear"/>
                    <w:kinsoku/>
                    <w:wordWrap/>
                    <w:overflowPunct/>
                    <w:topLinePunct w:val="0"/>
                    <w:autoSpaceDE/>
                    <w:autoSpaceDN/>
                    <w:bidi w:val="0"/>
                    <w:adjustRightInd/>
                    <w:snapToGrid w:val="0"/>
                    <w:spacing w:after="0" w:line="240" w:lineRule="auto"/>
                    <w:ind w:left="0" w:leftChars="0" w:firstLine="0" w:firstLineChars="0"/>
                    <w:jc w:val="center"/>
                    <w:textAlignment w:val="auto"/>
                    <w:rPr>
                      <w:rFonts w:hint="eastAsia" w:ascii="Times New Roman" w:hAnsi="Times New Roman" w:eastAsia="宋体" w:cs="Times New Roman"/>
                      <w:b w:val="0"/>
                      <w:bCs w:val="0"/>
                      <w:color w:val="auto"/>
                      <w:spacing w:val="-10"/>
                      <w:sz w:val="21"/>
                      <w:szCs w:val="21"/>
                      <w:highlight w:val="none"/>
                      <w:vertAlign w:val="baseline"/>
                      <w:lang w:val="en-US" w:eastAsia="zh-CN"/>
                    </w:rPr>
                  </w:pPr>
                </w:p>
              </w:tc>
              <w:tc>
                <w:tcPr>
                  <w:tcW w:w="276" w:type="pct"/>
                  <w:noWrap w:val="0"/>
                  <w:vAlign w:val="top"/>
                </w:tcPr>
                <w:p w14:paraId="381A5E1F">
                  <w:pPr>
                    <w:pStyle w:val="24"/>
                    <w:keepNext w:val="0"/>
                    <w:keepLines w:val="0"/>
                    <w:pageBreakBefore w:val="0"/>
                    <w:widowControl w:val="0"/>
                    <w:numPr>
                      <w:ilvl w:val="0"/>
                      <w:numId w:val="0"/>
                    </w:numPr>
                    <w:shd w:val="clear"/>
                    <w:kinsoku/>
                    <w:wordWrap/>
                    <w:overflowPunct/>
                    <w:topLinePunct w:val="0"/>
                    <w:autoSpaceDE/>
                    <w:autoSpaceDN/>
                    <w:bidi w:val="0"/>
                    <w:adjustRightInd/>
                    <w:snapToGrid w:val="0"/>
                    <w:spacing w:after="0" w:line="360" w:lineRule="auto"/>
                    <w:jc w:val="both"/>
                    <w:textAlignment w:val="auto"/>
                    <w:rPr>
                      <w:rFonts w:hint="default" w:cs="Times New Roman"/>
                      <w:b w:val="0"/>
                      <w:bCs/>
                      <w:color w:val="auto"/>
                      <w:spacing w:val="-10"/>
                      <w:sz w:val="21"/>
                      <w:szCs w:val="21"/>
                      <w:highlight w:val="none"/>
                      <w:vertAlign w:val="baseline"/>
                      <w:lang w:val="en-US" w:eastAsia="zh-CN"/>
                    </w:rPr>
                  </w:pPr>
                  <w:r>
                    <w:rPr>
                      <w:rFonts w:hint="eastAsia" w:cs="Times New Roman"/>
                      <w:b w:val="0"/>
                      <w:bCs/>
                      <w:color w:val="auto"/>
                      <w:spacing w:val="-10"/>
                      <w:sz w:val="21"/>
                      <w:szCs w:val="21"/>
                      <w:highlight w:val="none"/>
                      <w:vertAlign w:val="baseline"/>
                      <w:lang w:val="en-US" w:eastAsia="zh-CN"/>
                    </w:rPr>
                    <w:t>1年</w:t>
                  </w:r>
                </w:p>
              </w:tc>
            </w:tr>
          </w:tbl>
          <w:p w14:paraId="66FB886E">
            <w:pPr>
              <w:pStyle w:val="24"/>
              <w:keepNext w:val="0"/>
              <w:keepLines w:val="0"/>
              <w:pageBreakBefore w:val="0"/>
              <w:widowControl w:val="0"/>
              <w:numPr>
                <w:ilvl w:val="0"/>
                <w:numId w:val="0"/>
              </w:numPr>
              <w:shd w:val="clear"/>
              <w:kinsoku/>
              <w:wordWrap/>
              <w:overflowPunct/>
              <w:topLinePunct w:val="0"/>
              <w:autoSpaceDE/>
              <w:autoSpaceDN/>
              <w:bidi w:val="0"/>
              <w:adjustRightInd/>
              <w:snapToGrid w:val="0"/>
              <w:spacing w:after="0" w:line="360" w:lineRule="auto"/>
              <w:ind w:leftChars="0"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项目固废严格按有关规范要求，分类收集、贮存、处理处</w:t>
            </w:r>
            <w:r>
              <w:rPr>
                <w:rFonts w:hint="default" w:ascii="Times New Roman" w:hAnsi="Times New Roman" w:eastAsia="宋体" w:cs="Times New Roman"/>
                <w:color w:val="auto"/>
                <w:sz w:val="21"/>
                <w:szCs w:val="21"/>
                <w:highlight w:val="none"/>
                <w:lang w:val="en-US" w:eastAsia="zh-CN"/>
              </w:rPr>
              <w:t>置</w:t>
            </w:r>
            <w:r>
              <w:rPr>
                <w:rFonts w:hint="default" w:ascii="Times New Roman" w:hAnsi="Times New Roman" w:eastAsia="宋体" w:cs="Times New Roman"/>
                <w:color w:val="auto"/>
                <w:sz w:val="21"/>
                <w:szCs w:val="21"/>
                <w:highlight w:val="none"/>
              </w:rPr>
              <w:t>。因此，采取上述处理措施后，无外排固体废物，对周围环境影响较小，符合</w:t>
            </w:r>
            <w:r>
              <w:rPr>
                <w:rFonts w:hint="default" w:ascii="Times New Roman" w:hAnsi="Times New Roman" w:eastAsia="宋体" w:cs="Times New Roman"/>
                <w:color w:val="auto"/>
                <w:sz w:val="21"/>
                <w:szCs w:val="21"/>
                <w:highlight w:val="none"/>
                <w:lang w:eastAsia="zh-CN"/>
              </w:rPr>
              <w:t>生态环境局</w:t>
            </w:r>
            <w:r>
              <w:rPr>
                <w:rFonts w:hint="default" w:ascii="Times New Roman" w:hAnsi="Times New Roman" w:eastAsia="宋体" w:cs="Times New Roman"/>
                <w:color w:val="auto"/>
                <w:sz w:val="21"/>
                <w:szCs w:val="21"/>
                <w:highlight w:val="none"/>
              </w:rPr>
              <w:t>有关固体废物应实现零排放的规定。</w:t>
            </w:r>
          </w:p>
          <w:p w14:paraId="5C9E6223">
            <w:pPr>
              <w:pStyle w:val="24"/>
              <w:keepNext w:val="0"/>
              <w:keepLines w:val="0"/>
              <w:pageBreakBefore w:val="0"/>
              <w:widowControl w:val="0"/>
              <w:numPr>
                <w:ilvl w:val="0"/>
                <w:numId w:val="0"/>
              </w:numPr>
              <w:shd w:val="clear"/>
              <w:kinsoku/>
              <w:wordWrap/>
              <w:overflowPunct/>
              <w:topLinePunct w:val="0"/>
              <w:autoSpaceDE/>
              <w:autoSpaceDN/>
              <w:bidi w:val="0"/>
              <w:adjustRightInd/>
              <w:snapToGrid w:val="0"/>
              <w:spacing w:after="0" w:line="360" w:lineRule="auto"/>
              <w:ind w:leftChars="0" w:firstLine="442" w:firstLineChars="200"/>
              <w:jc w:val="both"/>
              <w:textAlignment w:val="auto"/>
              <w:rPr>
                <w:rFonts w:hint="default" w:ascii="Times New Roman" w:hAnsi="Times New Roman" w:eastAsia="宋体" w:cs="Times New Roman"/>
                <w:b/>
                <w:bCs w:val="0"/>
                <w:color w:val="auto"/>
                <w:spacing w:val="-10"/>
                <w:sz w:val="24"/>
                <w:szCs w:val="24"/>
                <w:highlight w:val="none"/>
                <w:lang w:val="en-US" w:eastAsia="zh-CN"/>
              </w:rPr>
            </w:pPr>
            <w:r>
              <w:rPr>
                <w:rFonts w:hint="default" w:ascii="Times New Roman" w:hAnsi="Times New Roman" w:eastAsia="宋体" w:cs="Times New Roman"/>
                <w:b/>
                <w:bCs w:val="0"/>
                <w:color w:val="auto"/>
                <w:spacing w:val="-10"/>
                <w:sz w:val="24"/>
                <w:szCs w:val="24"/>
                <w:highlight w:val="none"/>
                <w:lang w:val="en-US" w:eastAsia="zh-CN"/>
              </w:rPr>
              <w:t>五、地下水及土壤环境影响分析</w:t>
            </w:r>
          </w:p>
          <w:p w14:paraId="3367E472">
            <w:pPr>
              <w:pStyle w:val="24"/>
              <w:keepNext w:val="0"/>
              <w:keepLines w:val="0"/>
              <w:pageBreakBefore w:val="0"/>
              <w:widowControl w:val="0"/>
              <w:numPr>
                <w:ilvl w:val="0"/>
                <w:numId w:val="0"/>
              </w:numPr>
              <w:shd w:val="clear"/>
              <w:kinsoku/>
              <w:wordWrap/>
              <w:overflowPunct/>
              <w:topLinePunct w:val="0"/>
              <w:autoSpaceDE/>
              <w:autoSpaceDN/>
              <w:bidi w:val="0"/>
              <w:adjustRightInd/>
              <w:snapToGrid w:val="0"/>
              <w:spacing w:after="0" w:line="360" w:lineRule="auto"/>
              <w:ind w:leftChars="0" w:firstLine="420" w:firstLineChars="200"/>
              <w:jc w:val="both"/>
              <w:textAlignment w:val="auto"/>
              <w:rPr>
                <w:rFonts w:hint="default" w:ascii="Times New Roman" w:hAnsi="Times New Roman" w:eastAsia="宋体" w:cs="Times New Roman"/>
                <w:b w:val="0"/>
                <w:bCs/>
                <w:color w:val="auto"/>
                <w:spacing w:val="0"/>
                <w:sz w:val="21"/>
                <w:szCs w:val="21"/>
                <w:highlight w:val="none"/>
                <w:lang w:val="en-US" w:eastAsia="zh-CN"/>
              </w:rPr>
            </w:pPr>
            <w:r>
              <w:rPr>
                <w:rFonts w:hint="default" w:ascii="Times New Roman" w:hAnsi="Times New Roman" w:eastAsia="宋体" w:cs="Times New Roman"/>
                <w:b w:val="0"/>
                <w:bCs/>
                <w:color w:val="auto"/>
                <w:spacing w:val="0"/>
                <w:sz w:val="21"/>
                <w:szCs w:val="21"/>
                <w:highlight w:val="none"/>
                <w:lang w:val="en-US" w:eastAsia="zh-CN"/>
              </w:rPr>
              <w:t>根据《环境影响评价技术导则地下水环境》（HJ610-2016）和研究表明，最常见的潜水污染是通过包气带渗入而污染，深层潜水及承压水的污染是通过各类井孔、坑洞和断层等发生的，它们作为一种通道把其所揭露的含水层同地面污染源或已污染的含水层联系起来，造成深层地下水的污染。随着地下水的运动，形成地下水污染扩散带。</w:t>
            </w:r>
          </w:p>
          <w:p w14:paraId="309A23F2">
            <w:pPr>
              <w:pStyle w:val="24"/>
              <w:keepNext w:val="0"/>
              <w:keepLines w:val="0"/>
              <w:pageBreakBefore w:val="0"/>
              <w:widowControl w:val="0"/>
              <w:numPr>
                <w:ilvl w:val="0"/>
                <w:numId w:val="0"/>
              </w:numPr>
              <w:shd w:val="clear"/>
              <w:kinsoku/>
              <w:wordWrap/>
              <w:overflowPunct/>
              <w:topLinePunct w:val="0"/>
              <w:autoSpaceDE/>
              <w:autoSpaceDN/>
              <w:bidi w:val="0"/>
              <w:adjustRightInd/>
              <w:snapToGrid w:val="0"/>
              <w:spacing w:after="0" w:line="360" w:lineRule="auto"/>
              <w:ind w:leftChars="0" w:firstLine="420" w:firstLineChars="200"/>
              <w:jc w:val="both"/>
              <w:textAlignment w:val="auto"/>
              <w:rPr>
                <w:rFonts w:hint="default" w:ascii="Times New Roman" w:hAnsi="Times New Roman" w:eastAsia="宋体" w:cs="Times New Roman"/>
                <w:b w:val="0"/>
                <w:bCs/>
                <w:color w:val="auto"/>
                <w:spacing w:val="0"/>
                <w:sz w:val="21"/>
                <w:szCs w:val="21"/>
                <w:highlight w:val="none"/>
                <w:lang w:val="en-US" w:eastAsia="zh-CN"/>
              </w:rPr>
            </w:pPr>
            <w:r>
              <w:rPr>
                <w:rFonts w:hint="default" w:ascii="Times New Roman" w:hAnsi="Times New Roman" w:eastAsia="宋体" w:cs="Times New Roman"/>
                <w:b w:val="0"/>
                <w:bCs/>
                <w:color w:val="auto"/>
                <w:spacing w:val="0"/>
                <w:sz w:val="21"/>
                <w:szCs w:val="21"/>
                <w:highlight w:val="none"/>
                <w:lang w:val="en-US" w:eastAsia="zh-CN"/>
              </w:rPr>
              <w:t>项目厂区内地面不存在裸露土壤地面，地面均设置了混凝土地面以及基础防渗措施，液态化学品储存场所进行防腐防渗处理；危险废物暂存区设置防风防雨、地面进行基础防渗处理，大气沉降影响主要为</w:t>
            </w:r>
            <w:r>
              <w:rPr>
                <w:rFonts w:hint="eastAsia" w:cs="Times New Roman"/>
                <w:b w:val="0"/>
                <w:bCs/>
                <w:color w:val="auto"/>
                <w:spacing w:val="0"/>
                <w:sz w:val="21"/>
                <w:szCs w:val="21"/>
                <w:highlight w:val="none"/>
                <w:lang w:val="en-US" w:eastAsia="zh-CN"/>
              </w:rPr>
              <w:t>酸雾废气、有机废气、粉尘</w:t>
            </w:r>
            <w:r>
              <w:rPr>
                <w:rFonts w:hint="default" w:ascii="Times New Roman" w:hAnsi="Times New Roman" w:eastAsia="宋体" w:cs="Times New Roman"/>
                <w:b w:val="0"/>
                <w:bCs/>
                <w:color w:val="auto"/>
                <w:spacing w:val="0"/>
                <w:sz w:val="21"/>
                <w:szCs w:val="21"/>
                <w:highlight w:val="none"/>
                <w:lang w:val="en-US" w:eastAsia="zh-CN"/>
              </w:rPr>
              <w:t>废气，经合理治理设施处理后，不会对周边环境产生明显影响。</w:t>
            </w:r>
          </w:p>
          <w:p w14:paraId="3CBEFC93">
            <w:pPr>
              <w:pStyle w:val="85"/>
              <w:keepNext w:val="0"/>
              <w:keepLines w:val="0"/>
              <w:pageBreakBefore w:val="0"/>
              <w:widowControl w:val="0"/>
              <w:numPr>
                <w:ilvl w:val="0"/>
                <w:numId w:val="0"/>
              </w:numPr>
              <w:shd w:val="clear"/>
              <w:kinsoku/>
              <w:bidi w:val="0"/>
              <w:spacing w:before="0" w:beforeLines="0" w:line="360" w:lineRule="auto"/>
              <w:ind w:leftChars="0" w:firstLine="482" w:firstLineChars="200"/>
              <w:jc w:val="both"/>
              <w:outlineLvl w:val="9"/>
              <w:rPr>
                <w:rFonts w:hint="default" w:ascii="Times New Roman" w:hAnsi="Times New Roman" w:eastAsia="宋体" w:cs="Times New Roman"/>
                <w:b/>
                <w:bCs w:val="0"/>
                <w:snapToGrid/>
                <w:color w:val="auto"/>
                <w:spacing w:val="0"/>
                <w:kern w:val="2"/>
                <w:sz w:val="24"/>
                <w:szCs w:val="24"/>
                <w:highlight w:val="none"/>
                <w:lang w:val="en-US" w:eastAsia="zh-CN" w:bidi="ar-SA"/>
              </w:rPr>
            </w:pPr>
            <w:r>
              <w:rPr>
                <w:rFonts w:hint="default" w:ascii="Times New Roman" w:hAnsi="Times New Roman" w:eastAsia="宋体" w:cs="Times New Roman"/>
                <w:b/>
                <w:bCs/>
                <w:color w:val="auto"/>
                <w:kern w:val="0"/>
                <w:sz w:val="24"/>
                <w:szCs w:val="24"/>
                <w:highlight w:val="none"/>
                <w:lang w:val="en-US" w:eastAsia="zh-CN" w:bidi="ar-SA"/>
              </w:rPr>
              <w:t>（1）</w:t>
            </w:r>
            <w:r>
              <w:rPr>
                <w:rFonts w:hint="default" w:ascii="Times New Roman" w:hAnsi="Times New Roman" w:eastAsia="宋体" w:cs="Times New Roman"/>
                <w:b/>
                <w:bCs w:val="0"/>
                <w:snapToGrid/>
                <w:color w:val="auto"/>
                <w:spacing w:val="0"/>
                <w:kern w:val="2"/>
                <w:sz w:val="24"/>
                <w:szCs w:val="24"/>
                <w:highlight w:val="none"/>
                <w:lang w:val="en-US" w:eastAsia="zh-CN" w:bidi="ar-SA"/>
              </w:rPr>
              <w:t>地下水污染途径分析</w:t>
            </w:r>
          </w:p>
          <w:p w14:paraId="128A76EB">
            <w:pPr>
              <w:pStyle w:val="86"/>
              <w:keepNext w:val="0"/>
              <w:keepLines w:val="0"/>
              <w:pageBreakBefore w:val="0"/>
              <w:widowControl w:val="0"/>
              <w:shd w:val="clear"/>
              <w:tabs>
                <w:tab w:val="left" w:pos="1685"/>
              </w:tabs>
              <w:kinsoku/>
              <w:bidi w:val="0"/>
              <w:spacing w:line="360" w:lineRule="auto"/>
              <w:ind w:leftChars="0" w:firstLine="420" w:firstLineChars="200"/>
              <w:jc w:val="both"/>
              <w:outlineLvl w:val="9"/>
              <w:rPr>
                <w:rFonts w:hint="default" w:ascii="Times New Roman" w:hAnsi="Times New Roman" w:eastAsia="宋体" w:cs="Times New Roman"/>
                <w:b w:val="0"/>
                <w:bCs/>
                <w:snapToGrid/>
                <w:color w:val="auto"/>
                <w:spacing w:val="0"/>
                <w:kern w:val="2"/>
                <w:sz w:val="21"/>
                <w:szCs w:val="21"/>
                <w:highlight w:val="none"/>
                <w:lang w:val="en-US" w:eastAsia="zh-CN" w:bidi="ar-SA"/>
              </w:rPr>
            </w:pPr>
            <w:r>
              <w:rPr>
                <w:rFonts w:hint="default" w:ascii="Times New Roman" w:hAnsi="Times New Roman" w:eastAsia="宋体" w:cs="Times New Roman"/>
                <w:b w:val="0"/>
                <w:bCs/>
                <w:snapToGrid/>
                <w:color w:val="auto"/>
                <w:spacing w:val="0"/>
                <w:kern w:val="2"/>
                <w:sz w:val="21"/>
                <w:szCs w:val="21"/>
                <w:highlight w:val="none"/>
                <w:lang w:val="en-US" w:eastAsia="zh-CN" w:bidi="ar-SA"/>
              </w:rPr>
              <w:t>本项目运营期对地下水环境可能造成影响的污染源主要为</w:t>
            </w:r>
            <w:r>
              <w:rPr>
                <w:rFonts w:hint="eastAsia" w:ascii="Times New Roman" w:hAnsi="Times New Roman" w:cs="Times New Roman"/>
                <w:b w:val="0"/>
                <w:bCs/>
                <w:snapToGrid/>
                <w:color w:val="auto"/>
                <w:spacing w:val="0"/>
                <w:kern w:val="2"/>
                <w:sz w:val="21"/>
                <w:szCs w:val="21"/>
                <w:highlight w:val="none"/>
                <w:lang w:val="en-US" w:eastAsia="zh-CN" w:bidi="ar-SA"/>
              </w:rPr>
              <w:t>废水泄漏、</w:t>
            </w:r>
            <w:r>
              <w:rPr>
                <w:rFonts w:hint="default" w:ascii="Times New Roman" w:hAnsi="Times New Roman" w:eastAsia="宋体" w:cs="Times New Roman"/>
                <w:b w:val="0"/>
                <w:bCs/>
                <w:snapToGrid/>
                <w:color w:val="auto"/>
                <w:spacing w:val="0"/>
                <w:kern w:val="2"/>
                <w:sz w:val="21"/>
                <w:szCs w:val="21"/>
                <w:highlight w:val="none"/>
                <w:lang w:val="en-US" w:eastAsia="zh-CN" w:bidi="ar-SA"/>
              </w:rPr>
              <w:t>固体废物、液态化学品泄漏，主要污染物为</w:t>
            </w:r>
            <w:r>
              <w:rPr>
                <w:rFonts w:hint="eastAsia" w:ascii="Times New Roman" w:hAnsi="Times New Roman" w:cs="Times New Roman"/>
                <w:b w:val="0"/>
                <w:bCs/>
                <w:snapToGrid/>
                <w:color w:val="auto"/>
                <w:spacing w:val="0"/>
                <w:kern w:val="2"/>
                <w:sz w:val="21"/>
                <w:szCs w:val="21"/>
                <w:highlight w:val="none"/>
                <w:lang w:val="en-US" w:eastAsia="zh-CN" w:bidi="ar-SA"/>
              </w:rPr>
              <w:t>废液、</w:t>
            </w:r>
            <w:r>
              <w:rPr>
                <w:rFonts w:hint="default" w:ascii="Times New Roman" w:hAnsi="Times New Roman" w:eastAsia="宋体" w:cs="Times New Roman"/>
                <w:b w:val="0"/>
                <w:bCs/>
                <w:snapToGrid/>
                <w:color w:val="auto"/>
                <w:spacing w:val="0"/>
                <w:kern w:val="2"/>
                <w:sz w:val="21"/>
                <w:szCs w:val="21"/>
                <w:highlight w:val="none"/>
                <w:lang w:val="en-US" w:eastAsia="zh-CN" w:bidi="ar-SA"/>
              </w:rPr>
              <w:t>废水与固体废物。对地下水产生污染的途径主要是渗透污染。具体的污染途径如下：</w:t>
            </w:r>
          </w:p>
          <w:p w14:paraId="5DA5F48B">
            <w:pPr>
              <w:pStyle w:val="86"/>
              <w:keepNext w:val="0"/>
              <w:keepLines w:val="0"/>
              <w:pageBreakBefore w:val="0"/>
              <w:widowControl w:val="0"/>
              <w:shd w:val="clear"/>
              <w:tabs>
                <w:tab w:val="left" w:pos="1685"/>
              </w:tabs>
              <w:kinsoku/>
              <w:bidi w:val="0"/>
              <w:spacing w:line="360" w:lineRule="auto"/>
              <w:ind w:leftChars="0" w:firstLine="420" w:firstLineChars="200"/>
              <w:jc w:val="both"/>
              <w:outlineLvl w:val="9"/>
              <w:rPr>
                <w:rFonts w:hint="default" w:ascii="Times New Roman" w:hAnsi="Times New Roman" w:eastAsia="宋体" w:cs="Times New Roman"/>
                <w:b w:val="0"/>
                <w:bCs/>
                <w:snapToGrid/>
                <w:color w:val="auto"/>
                <w:spacing w:val="0"/>
                <w:kern w:val="2"/>
                <w:sz w:val="21"/>
                <w:szCs w:val="21"/>
                <w:highlight w:val="none"/>
                <w:lang w:val="en-US" w:eastAsia="zh-CN" w:bidi="ar-SA"/>
              </w:rPr>
            </w:pPr>
            <w:r>
              <w:rPr>
                <w:rFonts w:hint="default" w:ascii="Times New Roman" w:hAnsi="Times New Roman" w:eastAsia="宋体" w:cs="Times New Roman"/>
                <w:b w:val="0"/>
                <w:bCs/>
                <w:snapToGrid/>
                <w:color w:val="auto"/>
                <w:spacing w:val="0"/>
                <w:kern w:val="2"/>
                <w:sz w:val="21"/>
                <w:szCs w:val="21"/>
                <w:highlight w:val="none"/>
                <w:lang w:val="en-US" w:eastAsia="zh-CN" w:bidi="ar-SA"/>
              </w:rPr>
              <w:fldChar w:fldCharType="begin"/>
            </w:r>
            <w:r>
              <w:rPr>
                <w:rFonts w:hint="default" w:ascii="Times New Roman" w:hAnsi="Times New Roman" w:eastAsia="宋体" w:cs="Times New Roman"/>
                <w:b w:val="0"/>
                <w:bCs/>
                <w:snapToGrid/>
                <w:color w:val="auto"/>
                <w:spacing w:val="0"/>
                <w:kern w:val="2"/>
                <w:sz w:val="21"/>
                <w:szCs w:val="21"/>
                <w:highlight w:val="none"/>
                <w:lang w:val="en-US" w:eastAsia="zh-CN" w:bidi="ar-SA"/>
              </w:rPr>
              <w:instrText xml:space="preserve"> = 1 \* GB3 \* MERGEFORMAT </w:instrText>
            </w:r>
            <w:r>
              <w:rPr>
                <w:rFonts w:hint="default" w:ascii="Times New Roman" w:hAnsi="Times New Roman" w:eastAsia="宋体" w:cs="Times New Roman"/>
                <w:b w:val="0"/>
                <w:bCs/>
                <w:snapToGrid/>
                <w:color w:val="auto"/>
                <w:spacing w:val="0"/>
                <w:kern w:val="2"/>
                <w:sz w:val="21"/>
                <w:szCs w:val="21"/>
                <w:highlight w:val="none"/>
                <w:lang w:val="en-US" w:eastAsia="zh-CN" w:bidi="ar-SA"/>
              </w:rPr>
              <w:fldChar w:fldCharType="separate"/>
            </w:r>
            <w:r>
              <w:rPr>
                <w:rFonts w:hint="default" w:ascii="Times New Roman" w:hAnsi="Times New Roman" w:eastAsia="宋体" w:cs="Times New Roman"/>
                <w:b w:val="0"/>
                <w:bCs/>
                <w:snapToGrid/>
                <w:color w:val="auto"/>
                <w:spacing w:val="0"/>
                <w:kern w:val="2"/>
                <w:sz w:val="21"/>
                <w:szCs w:val="21"/>
                <w:highlight w:val="none"/>
                <w:lang w:val="en-US" w:eastAsia="zh-CN" w:bidi="ar-SA"/>
              </w:rPr>
              <w:t>①</w:t>
            </w:r>
            <w:r>
              <w:rPr>
                <w:rFonts w:hint="default" w:ascii="Times New Roman" w:hAnsi="Times New Roman" w:eastAsia="宋体" w:cs="Times New Roman"/>
                <w:b w:val="0"/>
                <w:bCs/>
                <w:snapToGrid/>
                <w:color w:val="auto"/>
                <w:spacing w:val="0"/>
                <w:kern w:val="2"/>
                <w:sz w:val="21"/>
                <w:szCs w:val="21"/>
                <w:highlight w:val="none"/>
                <w:lang w:val="en-US" w:eastAsia="zh-CN" w:bidi="ar-SA"/>
              </w:rPr>
              <w:fldChar w:fldCharType="end"/>
            </w:r>
            <w:r>
              <w:rPr>
                <w:rFonts w:hint="default" w:ascii="Times New Roman" w:hAnsi="Times New Roman" w:eastAsia="宋体" w:cs="Times New Roman"/>
                <w:b w:val="0"/>
                <w:bCs/>
                <w:snapToGrid/>
                <w:color w:val="auto"/>
                <w:spacing w:val="0"/>
                <w:kern w:val="2"/>
                <w:sz w:val="21"/>
                <w:szCs w:val="21"/>
                <w:highlight w:val="none"/>
                <w:lang w:val="en-US" w:eastAsia="zh-CN" w:bidi="ar-SA"/>
              </w:rPr>
              <w:t>一般固体暂存地及危险废物暂存地未做好，导致固废渗滤液进入地下，污染地下水；</w:t>
            </w:r>
          </w:p>
          <w:p w14:paraId="2BF7E7E1">
            <w:pPr>
              <w:pStyle w:val="86"/>
              <w:keepNext w:val="0"/>
              <w:keepLines w:val="0"/>
              <w:pageBreakBefore w:val="0"/>
              <w:widowControl w:val="0"/>
              <w:shd w:val="clear"/>
              <w:tabs>
                <w:tab w:val="left" w:pos="1685"/>
              </w:tabs>
              <w:kinsoku/>
              <w:bidi w:val="0"/>
              <w:spacing w:line="360" w:lineRule="auto"/>
              <w:ind w:leftChars="0" w:firstLine="420" w:firstLineChars="200"/>
              <w:jc w:val="both"/>
              <w:outlineLvl w:val="9"/>
              <w:rPr>
                <w:rFonts w:hint="default" w:ascii="Times New Roman" w:hAnsi="Times New Roman" w:eastAsia="宋体" w:cs="Times New Roman"/>
                <w:b w:val="0"/>
                <w:bCs/>
                <w:snapToGrid/>
                <w:color w:val="auto"/>
                <w:spacing w:val="0"/>
                <w:kern w:val="2"/>
                <w:sz w:val="21"/>
                <w:szCs w:val="21"/>
                <w:highlight w:val="none"/>
                <w:lang w:val="en-US" w:eastAsia="zh-CN" w:bidi="ar-SA"/>
              </w:rPr>
            </w:pPr>
            <w:r>
              <w:rPr>
                <w:rFonts w:hint="default" w:ascii="Times New Roman" w:hAnsi="Times New Roman" w:eastAsia="宋体" w:cs="Times New Roman"/>
                <w:b w:val="0"/>
                <w:bCs/>
                <w:snapToGrid/>
                <w:color w:val="auto"/>
                <w:spacing w:val="0"/>
                <w:kern w:val="2"/>
                <w:sz w:val="21"/>
                <w:szCs w:val="21"/>
                <w:highlight w:val="none"/>
                <w:lang w:val="en-US" w:eastAsia="zh-CN" w:bidi="ar-SA"/>
              </w:rPr>
              <w:fldChar w:fldCharType="begin"/>
            </w:r>
            <w:r>
              <w:rPr>
                <w:rFonts w:hint="default" w:ascii="Times New Roman" w:hAnsi="Times New Roman" w:eastAsia="宋体" w:cs="Times New Roman"/>
                <w:b w:val="0"/>
                <w:bCs/>
                <w:snapToGrid/>
                <w:color w:val="auto"/>
                <w:spacing w:val="0"/>
                <w:kern w:val="2"/>
                <w:sz w:val="21"/>
                <w:szCs w:val="21"/>
                <w:highlight w:val="none"/>
                <w:lang w:val="en-US" w:eastAsia="zh-CN" w:bidi="ar-SA"/>
              </w:rPr>
              <w:instrText xml:space="preserve"> = 2 \* GB3 \* MERGEFORMAT </w:instrText>
            </w:r>
            <w:r>
              <w:rPr>
                <w:rFonts w:hint="default" w:ascii="Times New Roman" w:hAnsi="Times New Roman" w:eastAsia="宋体" w:cs="Times New Roman"/>
                <w:b w:val="0"/>
                <w:bCs/>
                <w:snapToGrid/>
                <w:color w:val="auto"/>
                <w:spacing w:val="0"/>
                <w:kern w:val="2"/>
                <w:sz w:val="21"/>
                <w:szCs w:val="21"/>
                <w:highlight w:val="none"/>
                <w:lang w:val="en-US" w:eastAsia="zh-CN" w:bidi="ar-SA"/>
              </w:rPr>
              <w:fldChar w:fldCharType="separate"/>
            </w:r>
            <w:r>
              <w:rPr>
                <w:rFonts w:hint="default" w:ascii="Times New Roman" w:hAnsi="Times New Roman" w:eastAsia="宋体" w:cs="Times New Roman"/>
                <w:b w:val="0"/>
                <w:bCs/>
                <w:snapToGrid/>
                <w:color w:val="auto"/>
                <w:spacing w:val="0"/>
                <w:kern w:val="2"/>
                <w:sz w:val="21"/>
                <w:szCs w:val="21"/>
                <w:highlight w:val="none"/>
                <w:lang w:val="en-US" w:eastAsia="zh-CN" w:bidi="ar-SA"/>
              </w:rPr>
              <w:t>②</w:t>
            </w:r>
            <w:r>
              <w:rPr>
                <w:rFonts w:hint="default" w:ascii="Times New Roman" w:hAnsi="Times New Roman" w:eastAsia="宋体" w:cs="Times New Roman"/>
                <w:b w:val="0"/>
                <w:bCs/>
                <w:snapToGrid/>
                <w:color w:val="auto"/>
                <w:spacing w:val="0"/>
                <w:kern w:val="2"/>
                <w:sz w:val="21"/>
                <w:szCs w:val="21"/>
                <w:highlight w:val="none"/>
                <w:lang w:val="en-US" w:eastAsia="zh-CN" w:bidi="ar-SA"/>
              </w:rPr>
              <w:fldChar w:fldCharType="end"/>
            </w:r>
            <w:r>
              <w:rPr>
                <w:rFonts w:hint="default" w:ascii="Times New Roman" w:hAnsi="Times New Roman" w:eastAsia="宋体" w:cs="Times New Roman"/>
                <w:b w:val="0"/>
                <w:bCs/>
                <w:snapToGrid/>
                <w:color w:val="auto"/>
                <w:spacing w:val="0"/>
                <w:kern w:val="2"/>
                <w:sz w:val="21"/>
                <w:szCs w:val="21"/>
                <w:highlight w:val="none"/>
                <w:lang w:val="en-US" w:eastAsia="zh-CN" w:bidi="ar-SA"/>
              </w:rPr>
              <w:t>生活垃圾暂存地未做好防渗措施同时生活垃圾未及时清理走，导致生活垃圾渗滤液进入地下，污染地下水；</w:t>
            </w:r>
          </w:p>
          <w:p w14:paraId="694FB016">
            <w:pPr>
              <w:keepNext w:val="0"/>
              <w:keepLines w:val="0"/>
              <w:pageBreakBefore w:val="0"/>
              <w:widowControl w:val="0"/>
              <w:shd w:val="clear"/>
              <w:kinsoku/>
              <w:bidi w:val="0"/>
              <w:spacing w:line="360" w:lineRule="auto"/>
              <w:ind w:leftChars="0" w:firstLine="420" w:firstLineChars="200"/>
              <w:jc w:val="both"/>
              <w:outlineLvl w:val="9"/>
              <w:rPr>
                <w:rFonts w:hint="default" w:ascii="Times New Roman" w:hAnsi="Times New Roman" w:eastAsia="宋体" w:cs="Times New Roman"/>
                <w:b w:val="0"/>
                <w:bCs/>
                <w:snapToGrid/>
                <w:color w:val="auto"/>
                <w:spacing w:val="0"/>
                <w:kern w:val="2"/>
                <w:sz w:val="21"/>
                <w:szCs w:val="21"/>
                <w:highlight w:val="none"/>
                <w:lang w:val="en-US" w:eastAsia="zh-CN" w:bidi="ar-SA"/>
              </w:rPr>
            </w:pPr>
            <w:r>
              <w:rPr>
                <w:rFonts w:hint="default" w:ascii="Times New Roman" w:hAnsi="Times New Roman" w:eastAsia="宋体" w:cs="Times New Roman"/>
                <w:b w:val="0"/>
                <w:bCs/>
                <w:snapToGrid/>
                <w:color w:val="auto"/>
                <w:spacing w:val="0"/>
                <w:kern w:val="2"/>
                <w:sz w:val="21"/>
                <w:szCs w:val="21"/>
                <w:highlight w:val="none"/>
                <w:lang w:val="en-US" w:eastAsia="zh-CN" w:bidi="ar-SA"/>
              </w:rPr>
              <w:fldChar w:fldCharType="begin"/>
            </w:r>
            <w:r>
              <w:rPr>
                <w:rFonts w:hint="default" w:ascii="Times New Roman" w:hAnsi="Times New Roman" w:eastAsia="宋体" w:cs="Times New Roman"/>
                <w:b w:val="0"/>
                <w:bCs/>
                <w:snapToGrid/>
                <w:color w:val="auto"/>
                <w:spacing w:val="0"/>
                <w:kern w:val="2"/>
                <w:sz w:val="21"/>
                <w:szCs w:val="21"/>
                <w:highlight w:val="none"/>
                <w:lang w:val="en-US" w:eastAsia="zh-CN" w:bidi="ar-SA"/>
              </w:rPr>
              <w:instrText xml:space="preserve"> = 3 \* GB3 \* MERGEFORMAT </w:instrText>
            </w:r>
            <w:r>
              <w:rPr>
                <w:rFonts w:hint="default" w:ascii="Times New Roman" w:hAnsi="Times New Roman" w:eastAsia="宋体" w:cs="Times New Roman"/>
                <w:b w:val="0"/>
                <w:bCs/>
                <w:snapToGrid/>
                <w:color w:val="auto"/>
                <w:spacing w:val="0"/>
                <w:kern w:val="2"/>
                <w:sz w:val="21"/>
                <w:szCs w:val="21"/>
                <w:highlight w:val="none"/>
                <w:lang w:val="en-US" w:eastAsia="zh-CN" w:bidi="ar-SA"/>
              </w:rPr>
              <w:fldChar w:fldCharType="separate"/>
            </w:r>
            <w:r>
              <w:rPr>
                <w:rFonts w:hint="default" w:ascii="Times New Roman" w:hAnsi="Times New Roman" w:eastAsia="宋体" w:cs="Times New Roman"/>
                <w:b w:val="0"/>
                <w:bCs/>
                <w:snapToGrid/>
                <w:color w:val="auto"/>
                <w:spacing w:val="0"/>
                <w:kern w:val="2"/>
                <w:sz w:val="21"/>
                <w:szCs w:val="21"/>
                <w:highlight w:val="none"/>
                <w:lang w:val="en-US" w:eastAsia="zh-CN" w:bidi="ar-SA"/>
              </w:rPr>
              <w:t>③</w:t>
            </w:r>
            <w:r>
              <w:rPr>
                <w:rFonts w:hint="default" w:ascii="Times New Roman" w:hAnsi="Times New Roman" w:eastAsia="宋体" w:cs="Times New Roman"/>
                <w:b w:val="0"/>
                <w:bCs/>
                <w:snapToGrid/>
                <w:color w:val="auto"/>
                <w:spacing w:val="0"/>
                <w:kern w:val="2"/>
                <w:sz w:val="21"/>
                <w:szCs w:val="21"/>
                <w:highlight w:val="none"/>
                <w:lang w:val="en-US" w:eastAsia="zh-CN" w:bidi="ar-SA"/>
              </w:rPr>
              <w:fldChar w:fldCharType="end"/>
            </w:r>
            <w:r>
              <w:rPr>
                <w:rFonts w:hint="default" w:ascii="Times New Roman" w:hAnsi="Times New Roman" w:cs="Times New Roman"/>
                <w:b w:val="0"/>
                <w:bCs/>
                <w:snapToGrid/>
                <w:color w:val="auto"/>
                <w:spacing w:val="0"/>
                <w:kern w:val="2"/>
                <w:sz w:val="21"/>
                <w:szCs w:val="21"/>
                <w:highlight w:val="none"/>
                <w:lang w:val="en-US" w:eastAsia="zh-CN" w:bidi="ar-SA"/>
              </w:rPr>
              <w:t>液态化学品</w:t>
            </w:r>
            <w:r>
              <w:rPr>
                <w:rFonts w:hint="default" w:ascii="Times New Roman" w:hAnsi="Times New Roman" w:eastAsia="宋体" w:cs="Times New Roman"/>
                <w:b w:val="0"/>
                <w:bCs/>
                <w:snapToGrid/>
                <w:color w:val="auto"/>
                <w:spacing w:val="0"/>
                <w:kern w:val="2"/>
                <w:sz w:val="21"/>
                <w:szCs w:val="21"/>
                <w:highlight w:val="none"/>
                <w:lang w:val="en-US" w:eastAsia="zh-CN" w:bidi="ar-SA"/>
              </w:rPr>
              <w:t>使用或者运输使用过程滴落，导致</w:t>
            </w:r>
            <w:r>
              <w:rPr>
                <w:rFonts w:hint="default" w:ascii="Times New Roman" w:hAnsi="Times New Roman" w:cs="Times New Roman"/>
                <w:b w:val="0"/>
                <w:bCs/>
                <w:snapToGrid/>
                <w:color w:val="auto"/>
                <w:spacing w:val="0"/>
                <w:kern w:val="2"/>
                <w:sz w:val="21"/>
                <w:szCs w:val="21"/>
                <w:highlight w:val="none"/>
                <w:lang w:val="en-US" w:eastAsia="zh-CN" w:bidi="ar-SA"/>
              </w:rPr>
              <w:t>化学品</w:t>
            </w:r>
            <w:r>
              <w:rPr>
                <w:rFonts w:hint="default" w:ascii="Times New Roman" w:hAnsi="Times New Roman" w:eastAsia="宋体" w:cs="Times New Roman"/>
                <w:b w:val="0"/>
                <w:bCs/>
                <w:snapToGrid/>
                <w:color w:val="auto"/>
                <w:spacing w:val="0"/>
                <w:kern w:val="2"/>
                <w:sz w:val="21"/>
                <w:szCs w:val="21"/>
                <w:highlight w:val="none"/>
                <w:lang w:val="en-US" w:eastAsia="zh-CN" w:bidi="ar-SA"/>
              </w:rPr>
              <w:t>进入地下，污染地下水；</w:t>
            </w:r>
          </w:p>
          <w:p w14:paraId="25DDEACF">
            <w:pPr>
              <w:keepNext w:val="0"/>
              <w:keepLines w:val="0"/>
              <w:pageBreakBefore w:val="0"/>
              <w:widowControl w:val="0"/>
              <w:shd w:val="clear"/>
              <w:kinsoku/>
              <w:bidi w:val="0"/>
              <w:spacing w:line="360" w:lineRule="auto"/>
              <w:ind w:leftChars="0" w:firstLine="420" w:firstLineChars="200"/>
              <w:jc w:val="both"/>
              <w:outlineLvl w:val="9"/>
              <w:rPr>
                <w:rFonts w:hint="default" w:ascii="Times New Roman" w:hAnsi="Times New Roman" w:eastAsia="宋体" w:cs="Times New Roman"/>
                <w:b w:val="0"/>
                <w:bCs/>
                <w:snapToGrid/>
                <w:color w:val="auto"/>
                <w:spacing w:val="0"/>
                <w:kern w:val="2"/>
                <w:sz w:val="21"/>
                <w:szCs w:val="21"/>
                <w:highlight w:val="none"/>
                <w:lang w:val="en-US" w:eastAsia="zh-CN" w:bidi="ar-SA"/>
              </w:rPr>
            </w:pPr>
            <w:r>
              <w:rPr>
                <w:rFonts w:hint="default" w:ascii="Times New Roman" w:hAnsi="Times New Roman" w:cs="Times New Roman"/>
                <w:color w:val="auto"/>
                <w:sz w:val="21"/>
                <w:szCs w:val="21"/>
                <w:highlight w:val="none"/>
              </w:rPr>
              <w:fldChar w:fldCharType="begin"/>
            </w:r>
            <w:r>
              <w:rPr>
                <w:rFonts w:hint="default" w:ascii="Times New Roman" w:hAnsi="Times New Roman" w:cs="Times New Roman"/>
                <w:color w:val="auto"/>
                <w:sz w:val="21"/>
                <w:szCs w:val="21"/>
                <w:highlight w:val="none"/>
              </w:rPr>
              <w:instrText xml:space="preserve"> = 4 \* GB3 \* MERGEFORMAT </w:instrText>
            </w:r>
            <w:r>
              <w:rPr>
                <w:rFonts w:hint="default" w:ascii="Times New Roman" w:hAnsi="Times New Roman" w:cs="Times New Roman"/>
                <w:color w:val="auto"/>
                <w:sz w:val="21"/>
                <w:szCs w:val="21"/>
                <w:highlight w:val="none"/>
              </w:rPr>
              <w:fldChar w:fldCharType="separate"/>
            </w:r>
            <w:r>
              <w:rPr>
                <w:rFonts w:hint="default" w:ascii="Times New Roman" w:hAnsi="Times New Roman" w:cs="Times New Roman"/>
                <w:color w:val="auto"/>
                <w:sz w:val="21"/>
                <w:szCs w:val="21"/>
                <w:highlight w:val="none"/>
              </w:rPr>
              <w:t>④</w:t>
            </w:r>
            <w:r>
              <w:rPr>
                <w:rFonts w:hint="default" w:ascii="Times New Roman" w:hAnsi="Times New Roman" w:cs="Times New Roman"/>
                <w:color w:val="auto"/>
                <w:sz w:val="21"/>
                <w:szCs w:val="21"/>
                <w:highlight w:val="none"/>
              </w:rPr>
              <w:fldChar w:fldCharType="end"/>
            </w:r>
            <w:r>
              <w:rPr>
                <w:rFonts w:hint="default" w:ascii="Times New Roman" w:hAnsi="Times New Roman" w:cs="Times New Roman"/>
                <w:color w:val="auto"/>
                <w:sz w:val="21"/>
                <w:szCs w:val="21"/>
                <w:highlight w:val="none"/>
              </w:rPr>
              <w:t>废水收集设施管理不当，容器破裂引起</w:t>
            </w:r>
            <w:r>
              <w:rPr>
                <w:rFonts w:hint="default" w:ascii="Times New Roman" w:hAnsi="Times New Roman" w:cs="Times New Roman"/>
                <w:color w:val="auto"/>
                <w:sz w:val="21"/>
                <w:szCs w:val="21"/>
                <w:highlight w:val="none"/>
                <w:lang w:eastAsia="zh-CN"/>
              </w:rPr>
              <w:t>泄漏</w:t>
            </w:r>
            <w:r>
              <w:rPr>
                <w:rFonts w:hint="default" w:ascii="Times New Roman" w:hAnsi="Times New Roman" w:cs="Times New Roman"/>
                <w:color w:val="auto"/>
                <w:sz w:val="21"/>
                <w:szCs w:val="21"/>
                <w:highlight w:val="none"/>
              </w:rPr>
              <w:t>或转移过程操作不规范，导致液体的滴漏对地下水造成污染。</w:t>
            </w:r>
          </w:p>
          <w:p w14:paraId="5CC091DD">
            <w:pPr>
              <w:pStyle w:val="85"/>
              <w:keepNext w:val="0"/>
              <w:keepLines w:val="0"/>
              <w:pageBreakBefore w:val="0"/>
              <w:widowControl w:val="0"/>
              <w:numPr>
                <w:ilvl w:val="0"/>
                <w:numId w:val="0"/>
              </w:numPr>
              <w:shd w:val="clear"/>
              <w:kinsoku/>
              <w:bidi w:val="0"/>
              <w:spacing w:before="0" w:beforeLines="0" w:after="0" w:line="360" w:lineRule="auto"/>
              <w:ind w:leftChars="0" w:right="0" w:firstLine="482" w:firstLineChars="200"/>
              <w:jc w:val="both"/>
              <w:textAlignment w:val="auto"/>
              <w:outlineLvl w:val="9"/>
              <w:rPr>
                <w:rFonts w:hint="default" w:ascii="Times New Roman" w:hAnsi="Times New Roman" w:eastAsia="宋体" w:cs="Times New Roman"/>
                <w:b/>
                <w:bCs w:val="0"/>
                <w:snapToGrid/>
                <w:color w:val="auto"/>
                <w:spacing w:val="0"/>
                <w:kern w:val="2"/>
                <w:sz w:val="24"/>
                <w:szCs w:val="24"/>
                <w:highlight w:val="none"/>
                <w:lang w:val="en-US" w:eastAsia="zh-CN" w:bidi="ar-SA"/>
              </w:rPr>
            </w:pPr>
            <w:r>
              <w:rPr>
                <w:rFonts w:hint="default" w:ascii="Times New Roman" w:hAnsi="Times New Roman" w:eastAsia="宋体" w:cs="Times New Roman"/>
                <w:b/>
                <w:bCs/>
                <w:color w:val="auto"/>
                <w:kern w:val="0"/>
                <w:sz w:val="24"/>
                <w:szCs w:val="24"/>
                <w:highlight w:val="none"/>
                <w:lang w:val="en-US" w:eastAsia="zh-CN" w:bidi="ar-SA"/>
              </w:rPr>
              <w:t>（2）</w:t>
            </w:r>
            <w:r>
              <w:rPr>
                <w:rFonts w:hint="default" w:ascii="Times New Roman" w:hAnsi="Times New Roman" w:eastAsia="宋体" w:cs="Times New Roman"/>
                <w:b/>
                <w:bCs w:val="0"/>
                <w:snapToGrid/>
                <w:color w:val="auto"/>
                <w:spacing w:val="0"/>
                <w:kern w:val="2"/>
                <w:sz w:val="24"/>
                <w:szCs w:val="24"/>
                <w:highlight w:val="none"/>
                <w:lang w:val="en-US" w:eastAsia="zh-CN" w:bidi="ar-SA"/>
              </w:rPr>
              <w:t>土壤污染源及污染途径分析</w:t>
            </w:r>
          </w:p>
          <w:p w14:paraId="4C2E3C77">
            <w:pPr>
              <w:pStyle w:val="40"/>
              <w:keepNext w:val="0"/>
              <w:keepLines w:val="0"/>
              <w:pageBreakBefore w:val="0"/>
              <w:widowControl w:val="0"/>
              <w:shd w:val="clear"/>
              <w:kinsoku/>
              <w:bidi w:val="0"/>
              <w:spacing w:line="360" w:lineRule="auto"/>
              <w:ind w:leftChars="0" w:right="0" w:firstLine="420" w:firstLineChars="200"/>
              <w:jc w:val="both"/>
              <w:textAlignment w:val="auto"/>
              <w:outlineLvl w:val="9"/>
              <w:rPr>
                <w:rFonts w:hint="default" w:ascii="Times New Roman" w:hAnsi="Times New Roman" w:eastAsia="宋体" w:cs="Times New Roman"/>
                <w:b w:val="0"/>
                <w:bCs/>
                <w:snapToGrid/>
                <w:color w:val="auto"/>
                <w:spacing w:val="0"/>
                <w:kern w:val="2"/>
                <w:sz w:val="21"/>
                <w:szCs w:val="21"/>
                <w:highlight w:val="none"/>
                <w:lang w:val="en-US" w:eastAsia="zh-CN" w:bidi="ar-SA"/>
              </w:rPr>
            </w:pPr>
            <w:r>
              <w:rPr>
                <w:rFonts w:hint="default" w:ascii="Times New Roman" w:hAnsi="Times New Roman" w:eastAsia="宋体" w:cs="Times New Roman"/>
                <w:b w:val="0"/>
                <w:bCs/>
                <w:snapToGrid/>
                <w:color w:val="auto"/>
                <w:spacing w:val="0"/>
                <w:kern w:val="2"/>
                <w:sz w:val="21"/>
                <w:szCs w:val="21"/>
                <w:highlight w:val="none"/>
                <w:lang w:val="en-US" w:eastAsia="zh-CN" w:bidi="ar-SA"/>
              </w:rPr>
              <w:t>项目对土壤环境可能造成影响的污染源有以下几种，主要污染途径为大气沉降和垂直入渗；</w:t>
            </w:r>
          </w:p>
          <w:p w14:paraId="7D61B458">
            <w:pPr>
              <w:pStyle w:val="84"/>
              <w:keepNext w:val="0"/>
              <w:keepLines w:val="0"/>
              <w:pageBreakBefore w:val="0"/>
              <w:shd w:val="clear"/>
              <w:kinsoku/>
              <w:wordWrap/>
              <w:overflowPunct/>
              <w:topLinePunct w:val="0"/>
              <w:autoSpaceDE/>
              <w:autoSpaceDN/>
              <w:bidi w:val="0"/>
              <w:adjustRightInd/>
              <w:spacing w:line="360" w:lineRule="auto"/>
              <w:ind w:leftChars="0" w:right="0" w:firstLine="420" w:firstLineChars="200"/>
              <w:jc w:val="both"/>
              <w:textAlignment w:val="auto"/>
              <w:outlineLvl w:val="9"/>
              <w:rPr>
                <w:rFonts w:hint="default" w:ascii="Times New Roman" w:hAnsi="Times New Roman" w:eastAsia="宋体" w:cs="Times New Roman"/>
                <w:b w:val="0"/>
                <w:bCs/>
                <w:snapToGrid/>
                <w:color w:val="auto"/>
                <w:spacing w:val="0"/>
                <w:kern w:val="2"/>
                <w:sz w:val="21"/>
                <w:szCs w:val="21"/>
                <w:highlight w:val="none"/>
                <w:lang w:val="en-US" w:eastAsia="zh-CN" w:bidi="ar-SA"/>
              </w:rPr>
            </w:pPr>
            <w:r>
              <w:rPr>
                <w:rFonts w:hint="default" w:ascii="Times New Roman" w:hAnsi="Times New Roman" w:eastAsia="宋体" w:cs="Times New Roman"/>
                <w:b w:val="0"/>
                <w:bCs/>
                <w:snapToGrid/>
                <w:color w:val="auto"/>
                <w:spacing w:val="0"/>
                <w:kern w:val="2"/>
                <w:sz w:val="21"/>
                <w:szCs w:val="21"/>
                <w:highlight w:val="none"/>
                <w:lang w:val="en-US" w:eastAsia="zh-CN" w:bidi="ar-SA"/>
              </w:rPr>
              <w:fldChar w:fldCharType="begin"/>
            </w:r>
            <w:r>
              <w:rPr>
                <w:rFonts w:hint="default" w:ascii="Times New Roman" w:hAnsi="Times New Roman" w:eastAsia="宋体" w:cs="Times New Roman"/>
                <w:b w:val="0"/>
                <w:bCs/>
                <w:snapToGrid/>
                <w:color w:val="auto"/>
                <w:spacing w:val="0"/>
                <w:kern w:val="2"/>
                <w:sz w:val="21"/>
                <w:szCs w:val="21"/>
                <w:highlight w:val="none"/>
                <w:lang w:val="en-US" w:eastAsia="zh-CN" w:bidi="ar-SA"/>
              </w:rPr>
              <w:instrText xml:space="preserve"> = 1 \* GB3 \* MERGEFORMAT </w:instrText>
            </w:r>
            <w:r>
              <w:rPr>
                <w:rFonts w:hint="default" w:ascii="Times New Roman" w:hAnsi="Times New Roman" w:eastAsia="宋体" w:cs="Times New Roman"/>
                <w:b w:val="0"/>
                <w:bCs/>
                <w:snapToGrid/>
                <w:color w:val="auto"/>
                <w:spacing w:val="0"/>
                <w:kern w:val="2"/>
                <w:sz w:val="21"/>
                <w:szCs w:val="21"/>
                <w:highlight w:val="none"/>
                <w:lang w:val="en-US" w:eastAsia="zh-CN" w:bidi="ar-SA"/>
              </w:rPr>
              <w:fldChar w:fldCharType="separate"/>
            </w:r>
            <w:r>
              <w:rPr>
                <w:rFonts w:hint="default" w:ascii="Times New Roman" w:hAnsi="Times New Roman" w:eastAsia="宋体" w:cs="Times New Roman"/>
                <w:b w:val="0"/>
                <w:bCs/>
                <w:snapToGrid/>
                <w:color w:val="auto"/>
                <w:spacing w:val="0"/>
                <w:kern w:val="2"/>
                <w:sz w:val="21"/>
                <w:szCs w:val="21"/>
                <w:highlight w:val="none"/>
                <w:lang w:val="en-US" w:eastAsia="zh-CN" w:bidi="ar-SA"/>
              </w:rPr>
              <w:t>①</w:t>
            </w:r>
            <w:r>
              <w:rPr>
                <w:rFonts w:hint="default" w:ascii="Times New Roman" w:hAnsi="Times New Roman" w:eastAsia="宋体" w:cs="Times New Roman"/>
                <w:b w:val="0"/>
                <w:bCs/>
                <w:snapToGrid/>
                <w:color w:val="auto"/>
                <w:spacing w:val="0"/>
                <w:kern w:val="2"/>
                <w:sz w:val="21"/>
                <w:szCs w:val="21"/>
                <w:highlight w:val="none"/>
                <w:lang w:val="en-US" w:eastAsia="zh-CN" w:bidi="ar-SA"/>
              </w:rPr>
              <w:fldChar w:fldCharType="end"/>
            </w:r>
            <w:r>
              <w:rPr>
                <w:rFonts w:hint="default" w:ascii="Times New Roman" w:hAnsi="Times New Roman" w:eastAsia="宋体" w:cs="Times New Roman"/>
                <w:b w:val="0"/>
                <w:bCs/>
                <w:snapToGrid/>
                <w:color w:val="auto"/>
                <w:spacing w:val="0"/>
                <w:kern w:val="2"/>
                <w:sz w:val="21"/>
                <w:szCs w:val="21"/>
                <w:highlight w:val="none"/>
                <w:lang w:val="en-US" w:eastAsia="zh-CN" w:bidi="ar-SA"/>
              </w:rPr>
              <w:t>生活污水</w:t>
            </w:r>
            <w:r>
              <w:rPr>
                <w:rFonts w:hint="eastAsia" w:cs="Times New Roman"/>
                <w:b w:val="0"/>
                <w:bCs/>
                <w:snapToGrid/>
                <w:color w:val="auto"/>
                <w:spacing w:val="0"/>
                <w:kern w:val="2"/>
                <w:sz w:val="21"/>
                <w:szCs w:val="21"/>
                <w:highlight w:val="none"/>
                <w:lang w:val="en-US" w:eastAsia="zh-CN" w:bidi="ar-SA"/>
              </w:rPr>
              <w:t>、生产废水</w:t>
            </w:r>
            <w:r>
              <w:rPr>
                <w:rFonts w:hint="default" w:ascii="Times New Roman" w:hAnsi="Times New Roman" w:eastAsia="宋体" w:cs="Times New Roman"/>
                <w:b w:val="0"/>
                <w:bCs/>
                <w:snapToGrid/>
                <w:color w:val="auto"/>
                <w:spacing w:val="0"/>
                <w:kern w:val="2"/>
                <w:sz w:val="21"/>
                <w:szCs w:val="21"/>
                <w:highlight w:val="none"/>
                <w:lang w:val="en-US" w:eastAsia="zh-CN" w:bidi="ar-SA"/>
              </w:rPr>
              <w:t>的泄漏，导致污染土壤；</w:t>
            </w:r>
          </w:p>
          <w:p w14:paraId="260F59DC">
            <w:pPr>
              <w:pStyle w:val="84"/>
              <w:keepNext w:val="0"/>
              <w:keepLines w:val="0"/>
              <w:pageBreakBefore w:val="0"/>
              <w:shd w:val="clear"/>
              <w:kinsoku/>
              <w:wordWrap/>
              <w:overflowPunct/>
              <w:topLinePunct w:val="0"/>
              <w:autoSpaceDE/>
              <w:autoSpaceDN/>
              <w:bidi w:val="0"/>
              <w:adjustRightInd/>
              <w:spacing w:line="360" w:lineRule="auto"/>
              <w:ind w:leftChars="0" w:right="0" w:firstLine="420" w:firstLineChars="200"/>
              <w:jc w:val="both"/>
              <w:textAlignment w:val="auto"/>
              <w:outlineLvl w:val="9"/>
              <w:rPr>
                <w:rFonts w:hint="default" w:ascii="Times New Roman" w:hAnsi="Times New Roman" w:eastAsia="宋体" w:cs="Times New Roman"/>
                <w:b w:val="0"/>
                <w:bCs/>
                <w:snapToGrid/>
                <w:color w:val="auto"/>
                <w:spacing w:val="0"/>
                <w:kern w:val="2"/>
                <w:sz w:val="21"/>
                <w:szCs w:val="21"/>
                <w:highlight w:val="none"/>
                <w:lang w:val="en-US" w:eastAsia="zh-CN" w:bidi="ar-SA"/>
              </w:rPr>
            </w:pPr>
            <w:r>
              <w:rPr>
                <w:rFonts w:hint="default" w:ascii="Times New Roman" w:hAnsi="Times New Roman" w:eastAsia="宋体" w:cs="Times New Roman"/>
                <w:b w:val="0"/>
                <w:bCs/>
                <w:snapToGrid/>
                <w:color w:val="auto"/>
                <w:spacing w:val="0"/>
                <w:kern w:val="2"/>
                <w:sz w:val="21"/>
                <w:szCs w:val="21"/>
                <w:highlight w:val="none"/>
                <w:lang w:val="en-US" w:eastAsia="zh-CN" w:bidi="ar-SA"/>
              </w:rPr>
              <w:fldChar w:fldCharType="begin"/>
            </w:r>
            <w:r>
              <w:rPr>
                <w:rFonts w:hint="default" w:ascii="Times New Roman" w:hAnsi="Times New Roman" w:eastAsia="宋体" w:cs="Times New Roman"/>
                <w:b w:val="0"/>
                <w:bCs/>
                <w:snapToGrid/>
                <w:color w:val="auto"/>
                <w:spacing w:val="0"/>
                <w:kern w:val="2"/>
                <w:sz w:val="21"/>
                <w:szCs w:val="21"/>
                <w:highlight w:val="none"/>
                <w:lang w:val="en-US" w:eastAsia="zh-CN" w:bidi="ar-SA"/>
              </w:rPr>
              <w:instrText xml:space="preserve"> = 2 \* GB3 \* MERGEFORMAT </w:instrText>
            </w:r>
            <w:r>
              <w:rPr>
                <w:rFonts w:hint="default" w:ascii="Times New Roman" w:hAnsi="Times New Roman" w:eastAsia="宋体" w:cs="Times New Roman"/>
                <w:b w:val="0"/>
                <w:bCs/>
                <w:snapToGrid/>
                <w:color w:val="auto"/>
                <w:spacing w:val="0"/>
                <w:kern w:val="2"/>
                <w:sz w:val="21"/>
                <w:szCs w:val="21"/>
                <w:highlight w:val="none"/>
                <w:lang w:val="en-US" w:eastAsia="zh-CN" w:bidi="ar-SA"/>
              </w:rPr>
              <w:fldChar w:fldCharType="separate"/>
            </w:r>
            <w:r>
              <w:rPr>
                <w:rFonts w:hint="default" w:ascii="Times New Roman" w:hAnsi="Times New Roman" w:eastAsia="宋体" w:cs="Times New Roman"/>
                <w:b w:val="0"/>
                <w:bCs/>
                <w:snapToGrid/>
                <w:color w:val="auto"/>
                <w:spacing w:val="0"/>
                <w:kern w:val="2"/>
                <w:sz w:val="21"/>
                <w:szCs w:val="21"/>
                <w:highlight w:val="none"/>
                <w:lang w:val="en-US" w:eastAsia="zh-CN" w:bidi="ar-SA"/>
              </w:rPr>
              <w:t>②</w:t>
            </w:r>
            <w:r>
              <w:rPr>
                <w:rFonts w:hint="default" w:ascii="Times New Roman" w:hAnsi="Times New Roman" w:eastAsia="宋体" w:cs="Times New Roman"/>
                <w:b w:val="0"/>
                <w:bCs/>
                <w:snapToGrid/>
                <w:color w:val="auto"/>
                <w:spacing w:val="0"/>
                <w:kern w:val="2"/>
                <w:sz w:val="21"/>
                <w:szCs w:val="21"/>
                <w:highlight w:val="none"/>
                <w:lang w:val="en-US" w:eastAsia="zh-CN" w:bidi="ar-SA"/>
              </w:rPr>
              <w:fldChar w:fldCharType="end"/>
            </w:r>
            <w:r>
              <w:rPr>
                <w:rFonts w:hint="default" w:ascii="Times New Roman" w:hAnsi="Times New Roman" w:eastAsia="宋体" w:cs="Times New Roman"/>
                <w:b w:val="0"/>
                <w:bCs/>
                <w:snapToGrid/>
                <w:color w:val="auto"/>
                <w:spacing w:val="0"/>
                <w:kern w:val="2"/>
                <w:sz w:val="21"/>
                <w:szCs w:val="21"/>
                <w:highlight w:val="none"/>
                <w:lang w:val="en-US" w:eastAsia="zh-CN" w:bidi="ar-SA"/>
              </w:rPr>
              <w:t>液态化学品运输及使用过程的泄漏，导致化学品入渗到土壤；</w:t>
            </w:r>
          </w:p>
          <w:p w14:paraId="0BE47C9C">
            <w:pPr>
              <w:pStyle w:val="84"/>
              <w:keepNext w:val="0"/>
              <w:keepLines w:val="0"/>
              <w:pageBreakBefore w:val="0"/>
              <w:shd w:val="clear"/>
              <w:kinsoku/>
              <w:wordWrap/>
              <w:overflowPunct/>
              <w:topLinePunct w:val="0"/>
              <w:autoSpaceDE/>
              <w:autoSpaceDN/>
              <w:bidi w:val="0"/>
              <w:adjustRightInd/>
              <w:spacing w:line="360" w:lineRule="auto"/>
              <w:ind w:leftChars="0" w:right="0" w:firstLine="420" w:firstLineChars="200"/>
              <w:jc w:val="both"/>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bCs/>
                <w:snapToGrid/>
                <w:color w:val="auto"/>
                <w:spacing w:val="0"/>
                <w:kern w:val="2"/>
                <w:sz w:val="21"/>
                <w:szCs w:val="21"/>
                <w:highlight w:val="none"/>
                <w:lang w:val="en-US" w:eastAsia="zh-CN" w:bidi="ar-SA"/>
              </w:rPr>
              <w:fldChar w:fldCharType="begin"/>
            </w:r>
            <w:r>
              <w:rPr>
                <w:rFonts w:hint="default" w:ascii="Times New Roman" w:hAnsi="Times New Roman" w:eastAsia="宋体" w:cs="Times New Roman"/>
                <w:b w:val="0"/>
                <w:bCs/>
                <w:snapToGrid/>
                <w:color w:val="auto"/>
                <w:spacing w:val="0"/>
                <w:kern w:val="2"/>
                <w:sz w:val="21"/>
                <w:szCs w:val="21"/>
                <w:highlight w:val="none"/>
                <w:lang w:val="en-US" w:eastAsia="zh-CN" w:bidi="ar-SA"/>
              </w:rPr>
              <w:instrText xml:space="preserve"> = 3 \* GB3 \* MERGEFORMAT </w:instrText>
            </w:r>
            <w:r>
              <w:rPr>
                <w:rFonts w:hint="default" w:ascii="Times New Roman" w:hAnsi="Times New Roman" w:eastAsia="宋体" w:cs="Times New Roman"/>
                <w:b w:val="0"/>
                <w:bCs/>
                <w:snapToGrid/>
                <w:color w:val="auto"/>
                <w:spacing w:val="0"/>
                <w:kern w:val="2"/>
                <w:sz w:val="21"/>
                <w:szCs w:val="21"/>
                <w:highlight w:val="none"/>
                <w:lang w:val="en-US" w:eastAsia="zh-CN" w:bidi="ar-SA"/>
              </w:rPr>
              <w:fldChar w:fldCharType="separate"/>
            </w:r>
            <w:r>
              <w:rPr>
                <w:rFonts w:hint="default" w:ascii="Times New Roman" w:hAnsi="Times New Roman" w:eastAsia="宋体" w:cs="Times New Roman"/>
                <w:b w:val="0"/>
                <w:bCs/>
                <w:snapToGrid/>
                <w:color w:val="auto"/>
                <w:spacing w:val="0"/>
                <w:kern w:val="2"/>
                <w:sz w:val="21"/>
                <w:szCs w:val="21"/>
                <w:highlight w:val="none"/>
                <w:lang w:val="en-US" w:eastAsia="zh-CN" w:bidi="ar-SA"/>
              </w:rPr>
              <w:t>③</w:t>
            </w:r>
            <w:r>
              <w:rPr>
                <w:rFonts w:hint="default" w:ascii="Times New Roman" w:hAnsi="Times New Roman" w:eastAsia="宋体" w:cs="Times New Roman"/>
                <w:b w:val="0"/>
                <w:bCs/>
                <w:snapToGrid/>
                <w:color w:val="auto"/>
                <w:spacing w:val="0"/>
                <w:kern w:val="2"/>
                <w:sz w:val="21"/>
                <w:szCs w:val="21"/>
                <w:highlight w:val="none"/>
                <w:lang w:val="en-US" w:eastAsia="zh-CN" w:bidi="ar-SA"/>
              </w:rPr>
              <w:fldChar w:fldCharType="end"/>
            </w:r>
            <w:r>
              <w:rPr>
                <w:rFonts w:hint="default" w:ascii="Times New Roman" w:hAnsi="Times New Roman" w:eastAsia="宋体" w:cs="Times New Roman"/>
                <w:b w:val="0"/>
                <w:bCs/>
                <w:snapToGrid/>
                <w:color w:val="auto"/>
                <w:spacing w:val="0"/>
                <w:kern w:val="2"/>
                <w:sz w:val="21"/>
                <w:szCs w:val="21"/>
                <w:highlight w:val="none"/>
                <w:lang w:val="en-US" w:eastAsia="zh-CN" w:bidi="ar-SA"/>
              </w:rPr>
              <w:t>一般固体废物暂存间或危废暂存间的渗滤液下渗，导致土壤的污染；</w:t>
            </w:r>
          </w:p>
          <w:p w14:paraId="45F96390">
            <w:pPr>
              <w:pStyle w:val="18"/>
              <w:keepNext w:val="0"/>
              <w:keepLines w:val="0"/>
              <w:pageBreakBefore w:val="0"/>
              <w:widowControl/>
              <w:shd w:val="clear"/>
              <w:kinsoku/>
              <w:wordWrap/>
              <w:overflowPunct/>
              <w:topLinePunct w:val="0"/>
              <w:autoSpaceDE/>
              <w:autoSpaceDN/>
              <w:bidi w:val="0"/>
              <w:adjustRightInd/>
              <w:snapToGrid w:val="0"/>
              <w:spacing w:before="0" w:after="0" w:line="360" w:lineRule="auto"/>
              <w:ind w:leftChars="0" w:right="0" w:firstLine="420" w:firstLineChars="200"/>
              <w:jc w:val="both"/>
              <w:textAlignment w:val="auto"/>
              <w:outlineLvl w:val="9"/>
              <w:rPr>
                <w:rFonts w:hint="default" w:ascii="Times New Roman" w:hAnsi="Times New Roman" w:eastAsia="宋体" w:cs="Times New Roman"/>
                <w:b w:val="0"/>
                <w:bCs/>
                <w:snapToGrid/>
                <w:color w:val="auto"/>
                <w:spacing w:val="0"/>
                <w:kern w:val="2"/>
                <w:sz w:val="21"/>
                <w:szCs w:val="21"/>
                <w:highlight w:val="none"/>
                <w:lang w:val="en-US" w:eastAsia="zh-CN" w:bidi="ar-SA"/>
              </w:rPr>
            </w:pPr>
            <w:r>
              <w:rPr>
                <w:rFonts w:hint="default" w:ascii="Times New Roman" w:hAnsi="Times New Roman" w:eastAsia="宋体" w:cs="Times New Roman"/>
                <w:b w:val="0"/>
                <w:bCs/>
                <w:snapToGrid/>
                <w:color w:val="auto"/>
                <w:spacing w:val="0"/>
                <w:kern w:val="2"/>
                <w:sz w:val="21"/>
                <w:szCs w:val="21"/>
                <w:highlight w:val="none"/>
                <w:lang w:val="en-US" w:eastAsia="zh-CN" w:bidi="ar-SA"/>
              </w:rPr>
              <w:t>④</w:t>
            </w:r>
            <w:r>
              <w:rPr>
                <w:rFonts w:hint="eastAsia" w:cs="Times New Roman"/>
                <w:b w:val="0"/>
                <w:bCs/>
                <w:snapToGrid/>
                <w:color w:val="auto"/>
                <w:spacing w:val="0"/>
                <w:kern w:val="2"/>
                <w:sz w:val="21"/>
                <w:szCs w:val="21"/>
                <w:highlight w:val="none"/>
                <w:lang w:val="en-US" w:eastAsia="zh-CN" w:bidi="ar-SA"/>
              </w:rPr>
              <w:t>实验</w:t>
            </w:r>
            <w:r>
              <w:rPr>
                <w:rFonts w:hint="default" w:ascii="Times New Roman" w:hAnsi="Times New Roman" w:eastAsia="宋体" w:cs="Times New Roman"/>
                <w:b w:val="0"/>
                <w:bCs/>
                <w:snapToGrid/>
                <w:color w:val="auto"/>
                <w:spacing w:val="0"/>
                <w:kern w:val="2"/>
                <w:sz w:val="21"/>
                <w:szCs w:val="21"/>
                <w:highlight w:val="none"/>
                <w:lang w:val="en-US" w:eastAsia="zh-CN" w:bidi="ar-SA"/>
              </w:rPr>
              <w:t>过程产生的废气大气沉降，导致土壤的污染；</w:t>
            </w:r>
          </w:p>
          <w:p w14:paraId="30236CA5">
            <w:pPr>
              <w:pStyle w:val="18"/>
              <w:keepNext w:val="0"/>
              <w:keepLines w:val="0"/>
              <w:pageBreakBefore w:val="0"/>
              <w:widowControl/>
              <w:shd w:val="clear"/>
              <w:kinsoku/>
              <w:wordWrap/>
              <w:overflowPunct/>
              <w:topLinePunct w:val="0"/>
              <w:autoSpaceDE/>
              <w:autoSpaceDN/>
              <w:bidi w:val="0"/>
              <w:adjustRightInd/>
              <w:snapToGrid w:val="0"/>
              <w:spacing w:before="0" w:after="0" w:line="360" w:lineRule="auto"/>
              <w:ind w:right="0" w:firstLine="482" w:firstLineChars="200"/>
              <w:jc w:val="both"/>
              <w:textAlignment w:val="auto"/>
              <w:rPr>
                <w:rFonts w:hint="default" w:ascii="Times New Roman" w:hAnsi="Times New Roman" w:eastAsia="宋体" w:cs="Times New Roman"/>
                <w:b/>
                <w:bCs w:val="0"/>
                <w:snapToGrid/>
                <w:color w:val="auto"/>
                <w:spacing w:val="0"/>
                <w:kern w:val="2"/>
                <w:sz w:val="24"/>
                <w:szCs w:val="24"/>
                <w:highlight w:val="none"/>
                <w:lang w:val="en-US" w:eastAsia="zh-CN" w:bidi="ar-SA"/>
              </w:rPr>
            </w:pPr>
            <w:r>
              <w:rPr>
                <w:rFonts w:hint="default" w:ascii="Times New Roman" w:hAnsi="Times New Roman" w:eastAsia="宋体" w:cs="Times New Roman"/>
                <w:b/>
                <w:bCs/>
                <w:color w:val="auto"/>
                <w:kern w:val="0"/>
                <w:sz w:val="24"/>
                <w:szCs w:val="24"/>
                <w:highlight w:val="none"/>
                <w:lang w:val="en-US" w:eastAsia="zh-CN" w:bidi="ar-SA"/>
              </w:rPr>
              <w:t>（3）</w:t>
            </w:r>
            <w:r>
              <w:rPr>
                <w:rFonts w:hint="default" w:ascii="Times New Roman" w:hAnsi="Times New Roman" w:eastAsia="宋体" w:cs="Times New Roman"/>
                <w:b/>
                <w:bCs w:val="0"/>
                <w:snapToGrid/>
                <w:color w:val="auto"/>
                <w:spacing w:val="0"/>
                <w:kern w:val="2"/>
                <w:sz w:val="24"/>
                <w:szCs w:val="24"/>
                <w:highlight w:val="none"/>
                <w:lang w:val="en-US" w:eastAsia="zh-CN" w:bidi="ar-SA"/>
              </w:rPr>
              <w:t>防渗方案</w:t>
            </w:r>
          </w:p>
          <w:p w14:paraId="6B10D672">
            <w:pPr>
              <w:pStyle w:val="18"/>
              <w:keepNext w:val="0"/>
              <w:keepLines w:val="0"/>
              <w:pageBreakBefore w:val="0"/>
              <w:widowControl/>
              <w:shd w:val="clear"/>
              <w:kinsoku/>
              <w:wordWrap/>
              <w:overflowPunct/>
              <w:topLinePunct w:val="0"/>
              <w:autoSpaceDE/>
              <w:autoSpaceDN/>
              <w:bidi w:val="0"/>
              <w:adjustRightInd/>
              <w:snapToGrid w:val="0"/>
              <w:spacing w:before="0" w:after="0" w:line="360" w:lineRule="auto"/>
              <w:ind w:right="0" w:firstLine="420" w:firstLineChars="200"/>
              <w:jc w:val="both"/>
              <w:textAlignment w:val="auto"/>
              <w:rPr>
                <w:rFonts w:hint="default" w:ascii="Times New Roman" w:hAnsi="Times New Roman" w:eastAsia="宋体" w:cs="Times New Roman"/>
                <w:b/>
                <w:color w:val="auto"/>
                <w:kern w:val="2"/>
                <w:sz w:val="24"/>
                <w:szCs w:val="24"/>
                <w:highlight w:val="none"/>
                <w:lang w:val="en-US" w:eastAsia="zh-CN" w:bidi="ar-SA"/>
              </w:rPr>
            </w:pPr>
            <w:r>
              <w:rPr>
                <w:rFonts w:hint="default" w:ascii="Times New Roman" w:hAnsi="Times New Roman" w:eastAsia="宋体" w:cs="Times New Roman"/>
                <w:b w:val="0"/>
                <w:bCs/>
                <w:snapToGrid/>
                <w:color w:val="auto"/>
                <w:spacing w:val="0"/>
                <w:kern w:val="2"/>
                <w:sz w:val="21"/>
                <w:szCs w:val="21"/>
                <w:highlight w:val="none"/>
                <w:lang w:val="en-US" w:eastAsia="zh-CN" w:bidi="ar-SA"/>
              </w:rPr>
              <w:t>根据本项目各区可能泄漏至地面区域污染物的性质和生产单元的构筑方式，将车间划分为重点污染防渗区、一般污染防渗区和非污染防治区。重点污染防渗区：污染地下水环境的物料长期贮存或泄漏不容易及时发现和处理的区域。一般污染防渗区：污染地下水环境的物料泄漏容易及时发现和处理的区域。非污染防治区：指不会对地下水环境造成污染的区域。参照《危险废物贮存污染控制标准》（GB18597—2023），本项目厂内主要防渗分区及防渗要求如下表：</w:t>
            </w:r>
          </w:p>
          <w:p w14:paraId="2E7ACEFB">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240" w:lineRule="auto"/>
              <w:ind w:left="0" w:right="0" w:firstLine="482" w:firstLineChars="200"/>
              <w:jc w:val="center"/>
              <w:textAlignment w:val="auto"/>
              <w:rPr>
                <w:rFonts w:hint="default" w:ascii="Times New Roman" w:hAnsi="Times New Roman" w:eastAsia="宋体" w:cs="Times New Roman"/>
                <w:b/>
                <w:color w:val="auto"/>
                <w:kern w:val="2"/>
                <w:sz w:val="24"/>
                <w:szCs w:val="24"/>
                <w:highlight w:val="none"/>
                <w:lang w:val="en-US" w:eastAsia="zh-CN" w:bidi="ar-SA"/>
              </w:rPr>
            </w:pPr>
            <w:r>
              <w:rPr>
                <w:rFonts w:hint="default" w:ascii="Times New Roman" w:hAnsi="Times New Roman" w:eastAsia="宋体" w:cs="Times New Roman"/>
                <w:b/>
                <w:color w:val="auto"/>
                <w:kern w:val="2"/>
                <w:sz w:val="24"/>
                <w:szCs w:val="24"/>
                <w:highlight w:val="none"/>
                <w:lang w:val="en-US" w:eastAsia="zh-CN" w:bidi="ar-SA"/>
              </w:rPr>
              <w:t>表</w:t>
            </w:r>
            <w:r>
              <w:rPr>
                <w:rFonts w:hint="eastAsia" w:cs="Times New Roman"/>
                <w:b/>
                <w:color w:val="auto"/>
                <w:kern w:val="2"/>
                <w:sz w:val="24"/>
                <w:szCs w:val="24"/>
                <w:highlight w:val="none"/>
                <w:lang w:val="en-US" w:eastAsia="zh-CN" w:bidi="ar-SA"/>
              </w:rPr>
              <w:t>45</w:t>
            </w:r>
            <w:r>
              <w:rPr>
                <w:rFonts w:hint="default" w:ascii="Times New Roman" w:hAnsi="Times New Roman" w:eastAsia="宋体" w:cs="Times New Roman"/>
                <w:b/>
                <w:color w:val="auto"/>
                <w:kern w:val="2"/>
                <w:sz w:val="24"/>
                <w:szCs w:val="24"/>
                <w:highlight w:val="none"/>
                <w:lang w:val="en-US" w:eastAsia="zh-CN" w:bidi="ar-SA"/>
              </w:rPr>
              <w:t>项目分区防渗情况一览表</w:t>
            </w:r>
          </w:p>
          <w:tbl>
            <w:tblPr>
              <w:tblStyle w:val="34"/>
              <w:tblW w:w="761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89"/>
              <w:gridCol w:w="1690"/>
              <w:gridCol w:w="1031"/>
              <w:gridCol w:w="990"/>
              <w:gridCol w:w="3410"/>
            </w:tblGrid>
            <w:tr w14:paraId="57EA89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1" w:hRule="atLeast"/>
                <w:jc w:val="center"/>
              </w:trPr>
              <w:tc>
                <w:tcPr>
                  <w:tcW w:w="489" w:type="dxa"/>
                  <w:noWrap w:val="0"/>
                  <w:vAlign w:val="center"/>
                </w:tcPr>
                <w:p w14:paraId="71B0BA5F">
                  <w:pPr>
                    <w:keepNext/>
                    <w:keepLines/>
                    <w:widowControl w:val="0"/>
                    <w:numPr>
                      <w:ilvl w:val="0"/>
                      <w:numId w:val="0"/>
                    </w:numPr>
                    <w:shd w:val="clear"/>
                    <w:spacing w:line="240" w:lineRule="auto"/>
                    <w:jc w:val="center"/>
                    <w:outlineLvl w:val="2"/>
                    <w:rPr>
                      <w:rFonts w:hint="default" w:ascii="Times New Roman" w:hAnsi="Times New Roman" w:eastAsia="宋体" w:cs="Times New Roman"/>
                      <w:b/>
                      <w:bCs/>
                      <w:color w:val="auto"/>
                      <w:kern w:val="2"/>
                      <w:sz w:val="21"/>
                      <w:szCs w:val="24"/>
                      <w:highlight w:val="none"/>
                      <w:vertAlign w:val="baseline"/>
                      <w:lang w:val="en-US" w:eastAsia="zh-CN" w:bidi="ar-SA"/>
                    </w:rPr>
                  </w:pPr>
                  <w:r>
                    <w:rPr>
                      <w:rFonts w:hint="default" w:ascii="Times New Roman" w:hAnsi="Times New Roman" w:eastAsia="宋体" w:cs="Times New Roman"/>
                      <w:b/>
                      <w:bCs/>
                      <w:color w:val="auto"/>
                      <w:kern w:val="2"/>
                      <w:sz w:val="21"/>
                      <w:szCs w:val="24"/>
                      <w:highlight w:val="none"/>
                      <w:vertAlign w:val="baseline"/>
                      <w:lang w:val="en-US" w:eastAsia="zh-CN" w:bidi="ar-SA"/>
                    </w:rPr>
                    <w:t>序号</w:t>
                  </w:r>
                </w:p>
              </w:tc>
              <w:tc>
                <w:tcPr>
                  <w:tcW w:w="1690" w:type="dxa"/>
                  <w:noWrap w:val="0"/>
                  <w:vAlign w:val="center"/>
                </w:tcPr>
                <w:p w14:paraId="07FF9558">
                  <w:pPr>
                    <w:keepNext/>
                    <w:keepLines/>
                    <w:widowControl w:val="0"/>
                    <w:numPr>
                      <w:ilvl w:val="0"/>
                      <w:numId w:val="0"/>
                    </w:numPr>
                    <w:shd w:val="clear"/>
                    <w:spacing w:line="240" w:lineRule="auto"/>
                    <w:jc w:val="center"/>
                    <w:outlineLvl w:val="2"/>
                    <w:rPr>
                      <w:rFonts w:hint="default" w:ascii="Times New Roman" w:hAnsi="Times New Roman" w:eastAsia="宋体" w:cs="Times New Roman"/>
                      <w:b/>
                      <w:bCs/>
                      <w:color w:val="auto"/>
                      <w:kern w:val="2"/>
                      <w:sz w:val="21"/>
                      <w:szCs w:val="24"/>
                      <w:highlight w:val="none"/>
                      <w:vertAlign w:val="baseline"/>
                      <w:lang w:val="en-US" w:eastAsia="zh-CN" w:bidi="ar-SA"/>
                    </w:rPr>
                  </w:pPr>
                  <w:r>
                    <w:rPr>
                      <w:rFonts w:hint="default" w:ascii="Times New Roman" w:hAnsi="Times New Roman" w:eastAsia="宋体" w:cs="Times New Roman"/>
                      <w:b/>
                      <w:bCs/>
                      <w:color w:val="auto"/>
                      <w:kern w:val="2"/>
                      <w:sz w:val="21"/>
                      <w:szCs w:val="24"/>
                      <w:highlight w:val="none"/>
                      <w:vertAlign w:val="baseline"/>
                      <w:lang w:val="en-US" w:eastAsia="zh-CN" w:bidi="ar-SA"/>
                    </w:rPr>
                    <w:t>单元</w:t>
                  </w:r>
                </w:p>
              </w:tc>
              <w:tc>
                <w:tcPr>
                  <w:tcW w:w="1031" w:type="dxa"/>
                  <w:noWrap w:val="0"/>
                  <w:vAlign w:val="center"/>
                </w:tcPr>
                <w:p w14:paraId="282E69F7">
                  <w:pPr>
                    <w:keepNext/>
                    <w:keepLines/>
                    <w:widowControl w:val="0"/>
                    <w:numPr>
                      <w:ilvl w:val="0"/>
                      <w:numId w:val="0"/>
                    </w:numPr>
                    <w:shd w:val="clear"/>
                    <w:spacing w:line="240" w:lineRule="auto"/>
                    <w:jc w:val="center"/>
                    <w:outlineLvl w:val="2"/>
                    <w:rPr>
                      <w:rFonts w:hint="default" w:ascii="Times New Roman" w:hAnsi="Times New Roman" w:eastAsia="宋体" w:cs="Times New Roman"/>
                      <w:b/>
                      <w:bCs/>
                      <w:color w:val="auto"/>
                      <w:kern w:val="2"/>
                      <w:sz w:val="21"/>
                      <w:szCs w:val="24"/>
                      <w:highlight w:val="none"/>
                      <w:vertAlign w:val="baseline"/>
                      <w:lang w:val="en-US" w:eastAsia="zh-CN" w:bidi="ar-SA"/>
                    </w:rPr>
                  </w:pPr>
                  <w:r>
                    <w:rPr>
                      <w:rFonts w:hint="default" w:ascii="Times New Roman" w:hAnsi="Times New Roman" w:eastAsia="宋体" w:cs="Times New Roman"/>
                      <w:b/>
                      <w:bCs/>
                      <w:color w:val="auto"/>
                      <w:kern w:val="2"/>
                      <w:sz w:val="21"/>
                      <w:szCs w:val="24"/>
                      <w:highlight w:val="none"/>
                      <w:vertAlign w:val="baseline"/>
                      <w:lang w:val="en-US" w:eastAsia="zh-CN" w:bidi="ar-SA"/>
                    </w:rPr>
                    <w:t>防渗分区</w:t>
                  </w:r>
                </w:p>
              </w:tc>
              <w:tc>
                <w:tcPr>
                  <w:tcW w:w="990" w:type="dxa"/>
                  <w:noWrap w:val="0"/>
                  <w:vAlign w:val="center"/>
                </w:tcPr>
                <w:p w14:paraId="4F5BEE03">
                  <w:pPr>
                    <w:keepNext/>
                    <w:keepLines/>
                    <w:widowControl w:val="0"/>
                    <w:numPr>
                      <w:ilvl w:val="0"/>
                      <w:numId w:val="0"/>
                    </w:numPr>
                    <w:shd w:val="clear"/>
                    <w:spacing w:line="240" w:lineRule="auto"/>
                    <w:jc w:val="center"/>
                    <w:outlineLvl w:val="2"/>
                    <w:rPr>
                      <w:rFonts w:hint="default" w:ascii="Times New Roman" w:hAnsi="Times New Roman" w:eastAsia="宋体" w:cs="Times New Roman"/>
                      <w:b/>
                      <w:bCs/>
                      <w:color w:val="auto"/>
                      <w:kern w:val="2"/>
                      <w:sz w:val="21"/>
                      <w:szCs w:val="24"/>
                      <w:highlight w:val="none"/>
                      <w:vertAlign w:val="baseline"/>
                      <w:lang w:val="en-US" w:eastAsia="zh-CN" w:bidi="ar-SA"/>
                    </w:rPr>
                  </w:pPr>
                  <w:r>
                    <w:rPr>
                      <w:rFonts w:hint="default" w:ascii="Times New Roman" w:hAnsi="Times New Roman" w:eastAsia="宋体" w:cs="Times New Roman"/>
                      <w:b/>
                      <w:bCs/>
                      <w:color w:val="auto"/>
                      <w:kern w:val="2"/>
                      <w:sz w:val="21"/>
                      <w:szCs w:val="21"/>
                      <w:highlight w:val="none"/>
                      <w:vertAlign w:val="baseline"/>
                      <w:lang w:val="en-US" w:eastAsia="zh-CN" w:bidi="ar-SA"/>
                    </w:rPr>
                    <w:t>防渗结构形式</w:t>
                  </w:r>
                </w:p>
              </w:tc>
              <w:tc>
                <w:tcPr>
                  <w:tcW w:w="3410" w:type="dxa"/>
                  <w:noWrap w:val="0"/>
                  <w:vAlign w:val="center"/>
                </w:tcPr>
                <w:p w14:paraId="75C0A635">
                  <w:pPr>
                    <w:keepNext/>
                    <w:keepLines/>
                    <w:widowControl w:val="0"/>
                    <w:numPr>
                      <w:ilvl w:val="0"/>
                      <w:numId w:val="0"/>
                    </w:numPr>
                    <w:shd w:val="clear"/>
                    <w:spacing w:line="240" w:lineRule="auto"/>
                    <w:jc w:val="center"/>
                    <w:outlineLvl w:val="2"/>
                    <w:rPr>
                      <w:rFonts w:hint="default" w:ascii="Times New Roman" w:hAnsi="Times New Roman" w:eastAsia="宋体" w:cs="Times New Roman"/>
                      <w:b/>
                      <w:bCs/>
                      <w:color w:val="auto"/>
                      <w:kern w:val="2"/>
                      <w:sz w:val="21"/>
                      <w:szCs w:val="24"/>
                      <w:highlight w:val="none"/>
                      <w:vertAlign w:val="baseline"/>
                      <w:lang w:val="en-US" w:eastAsia="zh-CN" w:bidi="ar-SA"/>
                    </w:rPr>
                  </w:pPr>
                  <w:r>
                    <w:rPr>
                      <w:rFonts w:hint="default" w:ascii="Times New Roman" w:hAnsi="Times New Roman" w:eastAsia="宋体" w:cs="Times New Roman"/>
                      <w:b/>
                      <w:bCs/>
                      <w:color w:val="auto"/>
                      <w:kern w:val="2"/>
                      <w:sz w:val="21"/>
                      <w:szCs w:val="24"/>
                      <w:highlight w:val="none"/>
                      <w:vertAlign w:val="baseline"/>
                      <w:lang w:val="en-US" w:eastAsia="zh-CN" w:bidi="ar-SA"/>
                    </w:rPr>
                    <w:t>具体结构、防渗系数</w:t>
                  </w:r>
                </w:p>
              </w:tc>
            </w:tr>
            <w:tr w14:paraId="39CC09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06" w:hRule="atLeast"/>
                <w:jc w:val="center"/>
              </w:trPr>
              <w:tc>
                <w:tcPr>
                  <w:tcW w:w="489" w:type="dxa"/>
                  <w:noWrap w:val="0"/>
                  <w:vAlign w:val="center"/>
                </w:tcPr>
                <w:p w14:paraId="50377C0D">
                  <w:pPr>
                    <w:keepNext/>
                    <w:keepLines/>
                    <w:pageBreakBefore w:val="0"/>
                    <w:widowControl w:val="0"/>
                    <w:numPr>
                      <w:ilvl w:val="0"/>
                      <w:numId w:val="0"/>
                    </w:numPr>
                    <w:shd w:val="clear"/>
                    <w:kinsoku/>
                    <w:wordWrap/>
                    <w:overflowPunct/>
                    <w:topLinePunct w:val="0"/>
                    <w:autoSpaceDE/>
                    <w:autoSpaceDN/>
                    <w:bidi w:val="0"/>
                    <w:adjustRightInd/>
                    <w:snapToGrid/>
                    <w:spacing w:line="240" w:lineRule="auto"/>
                    <w:jc w:val="center"/>
                    <w:textAlignment w:val="auto"/>
                    <w:outlineLvl w:val="2"/>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kern w:val="2"/>
                      <w:sz w:val="21"/>
                      <w:szCs w:val="21"/>
                      <w:highlight w:val="none"/>
                      <w:vertAlign w:val="baseline"/>
                      <w:lang w:val="en-US" w:eastAsia="zh-CN" w:bidi="ar-SA"/>
                    </w:rPr>
                    <w:t>1</w:t>
                  </w:r>
                </w:p>
              </w:tc>
              <w:tc>
                <w:tcPr>
                  <w:tcW w:w="1690" w:type="dxa"/>
                  <w:noWrap w:val="0"/>
                  <w:vAlign w:val="center"/>
                </w:tcPr>
                <w:p w14:paraId="1AE15339">
                  <w:pPr>
                    <w:keepNext/>
                    <w:keepLines/>
                    <w:pageBreakBefore w:val="0"/>
                    <w:widowControl w:val="0"/>
                    <w:numPr>
                      <w:ilvl w:val="0"/>
                      <w:numId w:val="0"/>
                    </w:numPr>
                    <w:shd w:val="clear"/>
                    <w:kinsoku/>
                    <w:wordWrap/>
                    <w:overflowPunct/>
                    <w:topLinePunct w:val="0"/>
                    <w:autoSpaceDE/>
                    <w:autoSpaceDN/>
                    <w:bidi w:val="0"/>
                    <w:adjustRightInd/>
                    <w:snapToGrid/>
                    <w:spacing w:before="0" w:beforeLines="0" w:line="240" w:lineRule="auto"/>
                    <w:jc w:val="center"/>
                    <w:textAlignment w:val="auto"/>
                    <w:outlineLvl w:val="2"/>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kern w:val="2"/>
                      <w:sz w:val="21"/>
                      <w:szCs w:val="21"/>
                      <w:highlight w:val="none"/>
                      <w:vertAlign w:val="baseline"/>
                      <w:lang w:val="en-US" w:eastAsia="zh-CN" w:bidi="ar-SA"/>
                    </w:rPr>
                    <w:t>危废</w:t>
                  </w:r>
                  <w:r>
                    <w:rPr>
                      <w:rFonts w:hint="eastAsia" w:cs="Times New Roman"/>
                      <w:b w:val="0"/>
                      <w:bCs w:val="0"/>
                      <w:color w:val="auto"/>
                      <w:kern w:val="2"/>
                      <w:sz w:val="21"/>
                      <w:szCs w:val="21"/>
                      <w:highlight w:val="none"/>
                      <w:vertAlign w:val="baseline"/>
                      <w:lang w:val="en-US" w:eastAsia="zh-CN" w:bidi="ar-SA"/>
                    </w:rPr>
                    <w:t>间</w:t>
                  </w:r>
                  <w:r>
                    <w:rPr>
                      <w:rFonts w:hint="default" w:ascii="Times New Roman" w:hAnsi="Times New Roman" w:eastAsia="宋体" w:cs="Times New Roman"/>
                      <w:b w:val="0"/>
                      <w:bCs w:val="0"/>
                      <w:color w:val="auto"/>
                      <w:kern w:val="2"/>
                      <w:sz w:val="21"/>
                      <w:szCs w:val="21"/>
                      <w:highlight w:val="none"/>
                      <w:vertAlign w:val="baseline"/>
                      <w:lang w:val="en-US" w:eastAsia="zh-CN" w:bidi="ar-SA"/>
                    </w:rPr>
                    <w:t>、</w:t>
                  </w:r>
                  <w:r>
                    <w:rPr>
                      <w:rFonts w:hint="eastAsia" w:cs="Times New Roman"/>
                      <w:b w:val="0"/>
                      <w:bCs w:val="0"/>
                      <w:color w:val="auto"/>
                      <w:kern w:val="2"/>
                      <w:sz w:val="21"/>
                      <w:szCs w:val="21"/>
                      <w:highlight w:val="none"/>
                      <w:vertAlign w:val="baseline"/>
                      <w:lang w:val="en-US" w:eastAsia="zh-CN" w:bidi="ar-SA"/>
                    </w:rPr>
                    <w:t>实验室</w:t>
                  </w:r>
                  <w:r>
                    <w:rPr>
                      <w:rFonts w:hint="default" w:ascii="Times New Roman" w:hAnsi="Times New Roman" w:cs="Times New Roman"/>
                      <w:b w:val="0"/>
                      <w:bCs w:val="0"/>
                      <w:color w:val="auto"/>
                      <w:kern w:val="2"/>
                      <w:sz w:val="21"/>
                      <w:szCs w:val="21"/>
                      <w:highlight w:val="none"/>
                      <w:vertAlign w:val="baseline"/>
                      <w:lang w:val="en-US" w:eastAsia="zh-CN" w:bidi="ar-SA"/>
                    </w:rPr>
                    <w:t>、</w:t>
                  </w:r>
                  <w:r>
                    <w:rPr>
                      <w:rFonts w:hint="eastAsia" w:cs="Times New Roman"/>
                      <w:b w:val="0"/>
                      <w:bCs w:val="0"/>
                      <w:color w:val="auto"/>
                      <w:kern w:val="2"/>
                      <w:sz w:val="21"/>
                      <w:szCs w:val="21"/>
                      <w:highlight w:val="none"/>
                      <w:vertAlign w:val="baseline"/>
                      <w:lang w:val="en-US" w:eastAsia="zh-CN" w:bidi="ar-SA"/>
                    </w:rPr>
                    <w:t>试剂室、危化品室、标准品室和废水暂存区</w:t>
                  </w:r>
                </w:p>
              </w:tc>
              <w:tc>
                <w:tcPr>
                  <w:tcW w:w="1031" w:type="dxa"/>
                  <w:noWrap w:val="0"/>
                  <w:vAlign w:val="center"/>
                </w:tcPr>
                <w:p w14:paraId="5BB7320C">
                  <w:pPr>
                    <w:keepNext/>
                    <w:keepLines/>
                    <w:pageBreakBefore w:val="0"/>
                    <w:widowControl w:val="0"/>
                    <w:numPr>
                      <w:ilvl w:val="0"/>
                      <w:numId w:val="0"/>
                    </w:numPr>
                    <w:shd w:val="clear"/>
                    <w:kinsoku/>
                    <w:wordWrap/>
                    <w:overflowPunct/>
                    <w:topLinePunct w:val="0"/>
                    <w:autoSpaceDE/>
                    <w:autoSpaceDN/>
                    <w:bidi w:val="0"/>
                    <w:adjustRightInd/>
                    <w:snapToGrid/>
                    <w:spacing w:line="240" w:lineRule="auto"/>
                    <w:jc w:val="center"/>
                    <w:textAlignment w:val="auto"/>
                    <w:outlineLvl w:val="2"/>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重点污染防渗区</w:t>
                  </w:r>
                </w:p>
              </w:tc>
              <w:tc>
                <w:tcPr>
                  <w:tcW w:w="990" w:type="dxa"/>
                  <w:noWrap w:val="0"/>
                  <w:vAlign w:val="center"/>
                </w:tcPr>
                <w:p w14:paraId="6EFDA857">
                  <w:pPr>
                    <w:keepNext/>
                    <w:keepLines/>
                    <w:pageBreakBefore w:val="0"/>
                    <w:widowControl w:val="0"/>
                    <w:numPr>
                      <w:ilvl w:val="0"/>
                      <w:numId w:val="0"/>
                    </w:numPr>
                    <w:shd w:val="clear"/>
                    <w:kinsoku/>
                    <w:wordWrap/>
                    <w:overflowPunct/>
                    <w:topLinePunct w:val="0"/>
                    <w:autoSpaceDE/>
                    <w:autoSpaceDN/>
                    <w:bidi w:val="0"/>
                    <w:adjustRightInd/>
                    <w:snapToGrid/>
                    <w:spacing w:line="240" w:lineRule="auto"/>
                    <w:jc w:val="center"/>
                    <w:textAlignment w:val="auto"/>
                    <w:outlineLvl w:val="2"/>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kern w:val="2"/>
                      <w:sz w:val="21"/>
                      <w:szCs w:val="21"/>
                      <w:highlight w:val="none"/>
                      <w:vertAlign w:val="baseline"/>
                      <w:lang w:val="en-US" w:eastAsia="zh-CN" w:bidi="ar-SA"/>
                    </w:rPr>
                    <w:t>刚性防渗结构</w:t>
                  </w:r>
                </w:p>
              </w:tc>
              <w:tc>
                <w:tcPr>
                  <w:tcW w:w="3410" w:type="dxa"/>
                  <w:noWrap w:val="0"/>
                  <w:vAlign w:val="center"/>
                </w:tcPr>
                <w:p w14:paraId="0C48F5ED">
                  <w:pPr>
                    <w:keepNext/>
                    <w:keepLines/>
                    <w:pageBreakBefore w:val="0"/>
                    <w:widowControl w:val="0"/>
                    <w:numPr>
                      <w:ilvl w:val="0"/>
                      <w:numId w:val="0"/>
                    </w:numPr>
                    <w:shd w:val="clear"/>
                    <w:kinsoku/>
                    <w:wordWrap/>
                    <w:overflowPunct/>
                    <w:topLinePunct w:val="0"/>
                    <w:autoSpaceDE/>
                    <w:autoSpaceDN/>
                    <w:bidi w:val="0"/>
                    <w:adjustRightInd/>
                    <w:snapToGrid/>
                    <w:spacing w:before="157" w:beforeLines="50" w:line="240" w:lineRule="auto"/>
                    <w:jc w:val="center"/>
                    <w:textAlignment w:val="auto"/>
                    <w:outlineLvl w:val="2"/>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kern w:val="2"/>
                      <w:sz w:val="21"/>
                      <w:szCs w:val="21"/>
                      <w:highlight w:val="none"/>
                      <w:vertAlign w:val="baseline"/>
                      <w:lang w:val="en-US" w:eastAsia="zh-CN" w:bidi="ar-SA"/>
                    </w:rPr>
                    <w:t>采用水泥基渗透抗渗混凝土（厚度不宜小于150mm）+水泥基渗透结晶型防渗涂层（厚度不小于0.8m）结构形式，渗透参数≤1.0×10</w:t>
                  </w:r>
                  <w:r>
                    <w:rPr>
                      <w:rFonts w:hint="default" w:ascii="Times New Roman" w:hAnsi="Times New Roman" w:eastAsia="宋体" w:cs="Times New Roman"/>
                      <w:b w:val="0"/>
                      <w:bCs w:val="0"/>
                      <w:color w:val="auto"/>
                      <w:kern w:val="2"/>
                      <w:sz w:val="21"/>
                      <w:szCs w:val="21"/>
                      <w:highlight w:val="none"/>
                      <w:vertAlign w:val="superscript"/>
                      <w:lang w:val="en-US" w:eastAsia="zh-CN" w:bidi="ar-SA"/>
                    </w:rPr>
                    <w:t>-10</w:t>
                  </w:r>
                  <w:r>
                    <w:rPr>
                      <w:rFonts w:hint="default" w:ascii="Times New Roman" w:hAnsi="Times New Roman" w:eastAsia="宋体" w:cs="Times New Roman"/>
                      <w:b w:val="0"/>
                      <w:bCs w:val="0"/>
                      <w:color w:val="auto"/>
                      <w:kern w:val="2"/>
                      <w:sz w:val="21"/>
                      <w:szCs w:val="21"/>
                      <w:highlight w:val="none"/>
                      <w:vertAlign w:val="baseline"/>
                      <w:lang w:val="en-US" w:eastAsia="zh-CN" w:bidi="ar-SA"/>
                    </w:rPr>
                    <w:t>cm/s</w:t>
                  </w:r>
                </w:p>
              </w:tc>
            </w:tr>
            <w:tr w14:paraId="209679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4" w:hRule="atLeast"/>
                <w:jc w:val="center"/>
              </w:trPr>
              <w:tc>
                <w:tcPr>
                  <w:tcW w:w="489" w:type="dxa"/>
                  <w:noWrap w:val="0"/>
                  <w:vAlign w:val="center"/>
                </w:tcPr>
                <w:p w14:paraId="3B30429E">
                  <w:pPr>
                    <w:keepNext/>
                    <w:keepLines/>
                    <w:pageBreakBefore w:val="0"/>
                    <w:widowControl w:val="0"/>
                    <w:numPr>
                      <w:ilvl w:val="0"/>
                      <w:numId w:val="0"/>
                    </w:numPr>
                    <w:shd w:val="clear"/>
                    <w:kinsoku/>
                    <w:wordWrap/>
                    <w:overflowPunct/>
                    <w:topLinePunct w:val="0"/>
                    <w:autoSpaceDE/>
                    <w:autoSpaceDN/>
                    <w:bidi w:val="0"/>
                    <w:adjustRightInd/>
                    <w:snapToGrid/>
                    <w:spacing w:line="240" w:lineRule="auto"/>
                    <w:jc w:val="center"/>
                    <w:textAlignment w:val="auto"/>
                    <w:outlineLvl w:val="2"/>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kern w:val="2"/>
                      <w:sz w:val="21"/>
                      <w:szCs w:val="21"/>
                      <w:highlight w:val="none"/>
                      <w:vertAlign w:val="baseline"/>
                      <w:lang w:val="en-US" w:eastAsia="zh-CN" w:bidi="ar-SA"/>
                    </w:rPr>
                    <w:t>2</w:t>
                  </w:r>
                </w:p>
              </w:tc>
              <w:tc>
                <w:tcPr>
                  <w:tcW w:w="1690" w:type="dxa"/>
                  <w:noWrap w:val="0"/>
                  <w:vAlign w:val="center"/>
                </w:tcPr>
                <w:p w14:paraId="73987E36">
                  <w:pPr>
                    <w:pStyle w:val="17"/>
                    <w:shd w:val="clear"/>
                    <w:spacing w:line="240" w:lineRule="auto"/>
                    <w:jc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kern w:val="2"/>
                      <w:sz w:val="21"/>
                      <w:szCs w:val="21"/>
                      <w:highlight w:val="none"/>
                      <w:vertAlign w:val="baseline"/>
                      <w:lang w:val="en-US" w:eastAsia="zh-CN" w:bidi="ar-SA"/>
                    </w:rPr>
                    <w:t>除危废</w:t>
                  </w:r>
                  <w:r>
                    <w:rPr>
                      <w:rFonts w:hint="eastAsia" w:cs="Times New Roman"/>
                      <w:b w:val="0"/>
                      <w:bCs w:val="0"/>
                      <w:color w:val="auto"/>
                      <w:kern w:val="2"/>
                      <w:sz w:val="21"/>
                      <w:szCs w:val="21"/>
                      <w:highlight w:val="none"/>
                      <w:vertAlign w:val="baseline"/>
                      <w:lang w:val="en-US" w:eastAsia="zh-CN" w:bidi="ar-SA"/>
                    </w:rPr>
                    <w:t>间</w:t>
                  </w:r>
                  <w:r>
                    <w:rPr>
                      <w:rFonts w:hint="default" w:ascii="Times New Roman" w:hAnsi="Times New Roman" w:eastAsia="宋体" w:cs="Times New Roman"/>
                      <w:b w:val="0"/>
                      <w:bCs w:val="0"/>
                      <w:color w:val="auto"/>
                      <w:kern w:val="2"/>
                      <w:sz w:val="21"/>
                      <w:szCs w:val="21"/>
                      <w:highlight w:val="none"/>
                      <w:vertAlign w:val="baseline"/>
                      <w:lang w:val="en-US" w:eastAsia="zh-CN" w:bidi="ar-SA"/>
                    </w:rPr>
                    <w:t>、</w:t>
                  </w:r>
                  <w:r>
                    <w:rPr>
                      <w:rFonts w:hint="eastAsia" w:cs="Times New Roman"/>
                      <w:b w:val="0"/>
                      <w:bCs w:val="0"/>
                      <w:color w:val="auto"/>
                      <w:kern w:val="2"/>
                      <w:sz w:val="21"/>
                      <w:szCs w:val="21"/>
                      <w:highlight w:val="none"/>
                      <w:vertAlign w:val="baseline"/>
                      <w:lang w:val="en-US" w:eastAsia="zh-CN" w:bidi="ar-SA"/>
                    </w:rPr>
                    <w:t>实验室</w:t>
                  </w:r>
                  <w:r>
                    <w:rPr>
                      <w:rFonts w:hint="default" w:ascii="Times New Roman" w:hAnsi="Times New Roman" w:cs="Times New Roman"/>
                      <w:b w:val="0"/>
                      <w:bCs w:val="0"/>
                      <w:color w:val="auto"/>
                      <w:kern w:val="2"/>
                      <w:sz w:val="21"/>
                      <w:szCs w:val="21"/>
                      <w:highlight w:val="none"/>
                      <w:vertAlign w:val="baseline"/>
                      <w:lang w:val="en-US" w:eastAsia="zh-CN" w:bidi="ar-SA"/>
                    </w:rPr>
                    <w:t>、</w:t>
                  </w:r>
                  <w:r>
                    <w:rPr>
                      <w:rFonts w:hint="eastAsia" w:cs="Times New Roman"/>
                      <w:b w:val="0"/>
                      <w:bCs w:val="0"/>
                      <w:color w:val="auto"/>
                      <w:kern w:val="2"/>
                      <w:sz w:val="21"/>
                      <w:szCs w:val="21"/>
                      <w:highlight w:val="none"/>
                      <w:vertAlign w:val="baseline"/>
                      <w:lang w:val="en-US" w:eastAsia="zh-CN" w:bidi="ar-SA"/>
                    </w:rPr>
                    <w:t>试剂室、危化品室、标准品室、</w:t>
                  </w:r>
                  <w:r>
                    <w:rPr>
                      <w:rFonts w:hint="default" w:ascii="Times New Roman" w:hAnsi="Times New Roman" w:eastAsia="宋体" w:cs="Times New Roman"/>
                      <w:b w:val="0"/>
                      <w:bCs w:val="0"/>
                      <w:color w:val="auto"/>
                      <w:kern w:val="2"/>
                      <w:sz w:val="21"/>
                      <w:szCs w:val="21"/>
                      <w:highlight w:val="none"/>
                      <w:vertAlign w:val="baseline"/>
                      <w:lang w:val="en-US" w:eastAsia="zh-CN" w:bidi="ar-SA"/>
                    </w:rPr>
                    <w:t>废水暂存区</w:t>
                  </w:r>
                  <w:r>
                    <w:rPr>
                      <w:rFonts w:hint="eastAsia" w:cs="Times New Roman"/>
                      <w:b w:val="0"/>
                      <w:bCs w:val="0"/>
                      <w:color w:val="auto"/>
                      <w:kern w:val="2"/>
                      <w:sz w:val="21"/>
                      <w:szCs w:val="21"/>
                      <w:highlight w:val="none"/>
                      <w:vertAlign w:val="baseline"/>
                      <w:lang w:val="en-US" w:eastAsia="zh-CN" w:bidi="ar-SA"/>
                    </w:rPr>
                    <w:t>、会议室、卫生间和</w:t>
                  </w:r>
                  <w:r>
                    <w:rPr>
                      <w:rFonts w:hint="default" w:ascii="Times New Roman" w:hAnsi="Times New Roman" w:eastAsia="宋体" w:cs="Times New Roman"/>
                      <w:b w:val="0"/>
                      <w:bCs w:val="0"/>
                      <w:color w:val="auto"/>
                      <w:kern w:val="2"/>
                      <w:sz w:val="21"/>
                      <w:szCs w:val="21"/>
                      <w:highlight w:val="none"/>
                      <w:vertAlign w:val="baseline"/>
                      <w:lang w:val="en-US" w:eastAsia="zh-CN" w:bidi="ar-SA"/>
                    </w:rPr>
                    <w:t>办公</w:t>
                  </w:r>
                  <w:r>
                    <w:rPr>
                      <w:rFonts w:hint="eastAsia" w:cs="Times New Roman"/>
                      <w:b w:val="0"/>
                      <w:bCs w:val="0"/>
                      <w:color w:val="auto"/>
                      <w:kern w:val="2"/>
                      <w:sz w:val="21"/>
                      <w:szCs w:val="21"/>
                      <w:highlight w:val="none"/>
                      <w:vertAlign w:val="baseline"/>
                      <w:lang w:val="en-US" w:eastAsia="zh-CN" w:bidi="ar-SA"/>
                    </w:rPr>
                    <w:t>区</w:t>
                  </w:r>
                  <w:r>
                    <w:rPr>
                      <w:rFonts w:hint="default" w:ascii="Times New Roman" w:hAnsi="Times New Roman" w:eastAsia="宋体" w:cs="Times New Roman"/>
                      <w:b w:val="0"/>
                      <w:bCs w:val="0"/>
                      <w:color w:val="auto"/>
                      <w:kern w:val="2"/>
                      <w:sz w:val="21"/>
                      <w:szCs w:val="21"/>
                      <w:highlight w:val="none"/>
                      <w:vertAlign w:val="baseline"/>
                      <w:lang w:val="en-US" w:eastAsia="zh-CN" w:bidi="ar-SA"/>
                    </w:rPr>
                    <w:t>以外的区域</w:t>
                  </w:r>
                </w:p>
              </w:tc>
              <w:tc>
                <w:tcPr>
                  <w:tcW w:w="1031" w:type="dxa"/>
                  <w:noWrap w:val="0"/>
                  <w:vAlign w:val="center"/>
                </w:tcPr>
                <w:p w14:paraId="0045AE8C">
                  <w:pPr>
                    <w:keepNext/>
                    <w:keepLines/>
                    <w:pageBreakBefore w:val="0"/>
                    <w:widowControl w:val="0"/>
                    <w:numPr>
                      <w:ilvl w:val="0"/>
                      <w:numId w:val="0"/>
                    </w:numPr>
                    <w:shd w:val="clear"/>
                    <w:kinsoku/>
                    <w:wordWrap/>
                    <w:overflowPunct/>
                    <w:topLinePunct w:val="0"/>
                    <w:autoSpaceDE/>
                    <w:autoSpaceDN/>
                    <w:bidi w:val="0"/>
                    <w:adjustRightInd/>
                    <w:snapToGrid/>
                    <w:spacing w:line="240" w:lineRule="auto"/>
                    <w:jc w:val="center"/>
                    <w:textAlignment w:val="auto"/>
                    <w:outlineLvl w:val="2"/>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cs="Times New Roman"/>
                      <w:b w:val="0"/>
                      <w:bCs w:val="0"/>
                      <w:color w:val="auto"/>
                      <w:kern w:val="2"/>
                      <w:sz w:val="21"/>
                      <w:szCs w:val="21"/>
                      <w:highlight w:val="none"/>
                      <w:vertAlign w:val="baseline"/>
                      <w:lang w:val="en-US" w:eastAsia="zh-CN" w:bidi="ar-SA"/>
                    </w:rPr>
                    <w:t>一般污染防渗区</w:t>
                  </w:r>
                </w:p>
              </w:tc>
              <w:tc>
                <w:tcPr>
                  <w:tcW w:w="990" w:type="dxa"/>
                  <w:noWrap w:val="0"/>
                  <w:vAlign w:val="center"/>
                </w:tcPr>
                <w:p w14:paraId="0D0F1A67">
                  <w:pPr>
                    <w:keepNext/>
                    <w:keepLines/>
                    <w:pageBreakBefore w:val="0"/>
                    <w:widowControl w:val="0"/>
                    <w:numPr>
                      <w:ilvl w:val="0"/>
                      <w:numId w:val="0"/>
                    </w:numPr>
                    <w:shd w:val="clear"/>
                    <w:kinsoku/>
                    <w:wordWrap/>
                    <w:overflowPunct/>
                    <w:topLinePunct w:val="0"/>
                    <w:autoSpaceDE/>
                    <w:autoSpaceDN/>
                    <w:bidi w:val="0"/>
                    <w:adjustRightInd/>
                    <w:snapToGrid/>
                    <w:spacing w:line="240" w:lineRule="auto"/>
                    <w:jc w:val="both"/>
                    <w:textAlignment w:val="auto"/>
                    <w:outlineLvl w:val="2"/>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kern w:val="2"/>
                      <w:sz w:val="21"/>
                      <w:szCs w:val="21"/>
                      <w:highlight w:val="none"/>
                      <w:vertAlign w:val="baseline"/>
                      <w:lang w:val="en-US" w:eastAsia="zh-CN" w:bidi="ar-SA"/>
                    </w:rPr>
                    <w:t>刚性防渗结构</w:t>
                  </w:r>
                </w:p>
              </w:tc>
              <w:tc>
                <w:tcPr>
                  <w:tcW w:w="3410" w:type="dxa"/>
                  <w:noWrap w:val="0"/>
                  <w:vAlign w:val="center"/>
                </w:tcPr>
                <w:p w14:paraId="4E43F823">
                  <w:pPr>
                    <w:keepNext/>
                    <w:keepLines/>
                    <w:pageBreakBefore w:val="0"/>
                    <w:widowControl w:val="0"/>
                    <w:numPr>
                      <w:ilvl w:val="0"/>
                      <w:numId w:val="0"/>
                    </w:numPr>
                    <w:shd w:val="clear"/>
                    <w:kinsoku/>
                    <w:wordWrap/>
                    <w:overflowPunct/>
                    <w:topLinePunct w:val="0"/>
                    <w:autoSpaceDE/>
                    <w:autoSpaceDN/>
                    <w:bidi w:val="0"/>
                    <w:adjustRightInd/>
                    <w:snapToGrid/>
                    <w:spacing w:before="157" w:beforeLines="50" w:line="240" w:lineRule="auto"/>
                    <w:jc w:val="center"/>
                    <w:textAlignment w:val="auto"/>
                    <w:outlineLvl w:val="2"/>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kern w:val="2"/>
                      <w:sz w:val="21"/>
                      <w:szCs w:val="21"/>
                      <w:highlight w:val="none"/>
                      <w:vertAlign w:val="baseline"/>
                      <w:lang w:val="en-US" w:eastAsia="zh-CN" w:bidi="ar-SA"/>
                    </w:rPr>
                    <w:t>抗渗混凝土（厚度不宜小于100mm）渗透系数≤1.0×10</w:t>
                  </w:r>
                  <w:r>
                    <w:rPr>
                      <w:rFonts w:hint="default" w:ascii="Times New Roman" w:hAnsi="Times New Roman" w:eastAsia="宋体" w:cs="Times New Roman"/>
                      <w:b w:val="0"/>
                      <w:bCs w:val="0"/>
                      <w:color w:val="auto"/>
                      <w:kern w:val="2"/>
                      <w:sz w:val="21"/>
                      <w:szCs w:val="21"/>
                      <w:highlight w:val="none"/>
                      <w:vertAlign w:val="superscript"/>
                      <w:lang w:val="en-US" w:eastAsia="zh-CN" w:bidi="ar-SA"/>
                    </w:rPr>
                    <w:t>-8</w:t>
                  </w:r>
                  <w:r>
                    <w:rPr>
                      <w:rFonts w:hint="default" w:ascii="Times New Roman" w:hAnsi="Times New Roman" w:eastAsia="宋体" w:cs="Times New Roman"/>
                      <w:b w:val="0"/>
                      <w:bCs w:val="0"/>
                      <w:color w:val="auto"/>
                      <w:kern w:val="2"/>
                      <w:sz w:val="21"/>
                      <w:szCs w:val="21"/>
                      <w:highlight w:val="none"/>
                      <w:vertAlign w:val="baseline"/>
                      <w:lang w:val="en-US" w:eastAsia="zh-CN" w:bidi="ar-SA"/>
                    </w:rPr>
                    <w:t>cm/s</w:t>
                  </w:r>
                </w:p>
              </w:tc>
            </w:tr>
            <w:tr w14:paraId="487400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4" w:hRule="atLeast"/>
                <w:jc w:val="center"/>
              </w:trPr>
              <w:tc>
                <w:tcPr>
                  <w:tcW w:w="489" w:type="dxa"/>
                  <w:noWrap w:val="0"/>
                  <w:vAlign w:val="center"/>
                </w:tcPr>
                <w:p w14:paraId="5370339A">
                  <w:pPr>
                    <w:keepNext/>
                    <w:keepLines/>
                    <w:pageBreakBefore w:val="0"/>
                    <w:widowControl w:val="0"/>
                    <w:numPr>
                      <w:ilvl w:val="0"/>
                      <w:numId w:val="0"/>
                    </w:numPr>
                    <w:shd w:val="clear"/>
                    <w:kinsoku/>
                    <w:wordWrap/>
                    <w:overflowPunct/>
                    <w:topLinePunct w:val="0"/>
                    <w:autoSpaceDE/>
                    <w:autoSpaceDN/>
                    <w:bidi w:val="0"/>
                    <w:adjustRightInd/>
                    <w:snapToGrid/>
                    <w:spacing w:line="240" w:lineRule="auto"/>
                    <w:jc w:val="center"/>
                    <w:textAlignment w:val="auto"/>
                    <w:outlineLvl w:val="2"/>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kern w:val="2"/>
                      <w:sz w:val="21"/>
                      <w:szCs w:val="21"/>
                      <w:highlight w:val="none"/>
                      <w:vertAlign w:val="baseline"/>
                      <w:lang w:val="en-US" w:eastAsia="zh-CN" w:bidi="ar-SA"/>
                    </w:rPr>
                    <w:t>3</w:t>
                  </w:r>
                </w:p>
              </w:tc>
              <w:tc>
                <w:tcPr>
                  <w:tcW w:w="1690" w:type="dxa"/>
                  <w:noWrap w:val="0"/>
                  <w:vAlign w:val="center"/>
                </w:tcPr>
                <w:p w14:paraId="6218E274">
                  <w:pPr>
                    <w:pStyle w:val="17"/>
                    <w:shd w:val="clear"/>
                    <w:spacing w:line="240" w:lineRule="auto"/>
                    <w:jc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kern w:val="2"/>
                      <w:sz w:val="21"/>
                      <w:szCs w:val="21"/>
                      <w:highlight w:val="none"/>
                      <w:vertAlign w:val="baseline"/>
                      <w:lang w:val="en-US" w:eastAsia="zh-CN" w:bidi="ar-SA"/>
                    </w:rPr>
                    <w:t>厂区道路、办公</w:t>
                  </w:r>
                  <w:r>
                    <w:rPr>
                      <w:rFonts w:hint="eastAsia" w:cs="Times New Roman"/>
                      <w:b w:val="0"/>
                      <w:bCs w:val="0"/>
                      <w:color w:val="auto"/>
                      <w:kern w:val="2"/>
                      <w:sz w:val="21"/>
                      <w:szCs w:val="21"/>
                      <w:highlight w:val="none"/>
                      <w:vertAlign w:val="baseline"/>
                      <w:lang w:val="en-US" w:eastAsia="zh-CN" w:bidi="ar-SA"/>
                    </w:rPr>
                    <w:t>区、会议室、卫生间</w:t>
                  </w:r>
                </w:p>
              </w:tc>
              <w:tc>
                <w:tcPr>
                  <w:tcW w:w="1031" w:type="dxa"/>
                  <w:noWrap w:val="0"/>
                  <w:vAlign w:val="center"/>
                </w:tcPr>
                <w:p w14:paraId="20145E82">
                  <w:pPr>
                    <w:keepNext/>
                    <w:keepLines/>
                    <w:widowControl w:val="0"/>
                    <w:numPr>
                      <w:ilvl w:val="0"/>
                      <w:numId w:val="0"/>
                    </w:numPr>
                    <w:shd w:val="clear"/>
                    <w:spacing w:line="240" w:lineRule="auto"/>
                    <w:jc w:val="center"/>
                    <w:outlineLvl w:val="2"/>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非污染防治区</w:t>
                  </w:r>
                </w:p>
              </w:tc>
              <w:tc>
                <w:tcPr>
                  <w:tcW w:w="990" w:type="dxa"/>
                  <w:noWrap w:val="0"/>
                  <w:vAlign w:val="center"/>
                </w:tcPr>
                <w:p w14:paraId="51E4FA0F">
                  <w:pPr>
                    <w:keepNext/>
                    <w:keepLines/>
                    <w:pageBreakBefore w:val="0"/>
                    <w:widowControl w:val="0"/>
                    <w:numPr>
                      <w:ilvl w:val="0"/>
                      <w:numId w:val="0"/>
                    </w:numPr>
                    <w:shd w:val="clear"/>
                    <w:kinsoku/>
                    <w:wordWrap/>
                    <w:overflowPunct/>
                    <w:topLinePunct w:val="0"/>
                    <w:autoSpaceDE/>
                    <w:autoSpaceDN/>
                    <w:bidi w:val="0"/>
                    <w:adjustRightInd/>
                    <w:snapToGrid/>
                    <w:spacing w:before="157" w:beforeLines="50" w:line="240" w:lineRule="auto"/>
                    <w:jc w:val="center"/>
                    <w:textAlignment w:val="auto"/>
                    <w:outlineLvl w:val="2"/>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kern w:val="2"/>
                      <w:sz w:val="21"/>
                      <w:szCs w:val="21"/>
                      <w:highlight w:val="none"/>
                      <w:vertAlign w:val="baseline"/>
                      <w:lang w:val="en-US" w:eastAsia="zh-CN" w:bidi="ar-SA"/>
                    </w:rPr>
                    <w:t>/</w:t>
                  </w:r>
                </w:p>
              </w:tc>
              <w:tc>
                <w:tcPr>
                  <w:tcW w:w="3410" w:type="dxa"/>
                  <w:noWrap w:val="0"/>
                  <w:vAlign w:val="center"/>
                </w:tcPr>
                <w:p w14:paraId="7D766F63">
                  <w:pPr>
                    <w:keepNext/>
                    <w:keepLines/>
                    <w:pageBreakBefore w:val="0"/>
                    <w:widowControl w:val="0"/>
                    <w:numPr>
                      <w:ilvl w:val="0"/>
                      <w:numId w:val="0"/>
                    </w:numPr>
                    <w:shd w:val="clear"/>
                    <w:kinsoku/>
                    <w:wordWrap/>
                    <w:overflowPunct/>
                    <w:topLinePunct w:val="0"/>
                    <w:autoSpaceDE/>
                    <w:autoSpaceDN/>
                    <w:bidi w:val="0"/>
                    <w:adjustRightInd/>
                    <w:snapToGrid/>
                    <w:spacing w:before="157" w:beforeLines="50" w:line="240" w:lineRule="auto"/>
                    <w:jc w:val="center"/>
                    <w:textAlignment w:val="auto"/>
                    <w:outlineLvl w:val="2"/>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kern w:val="2"/>
                      <w:sz w:val="21"/>
                      <w:szCs w:val="21"/>
                      <w:highlight w:val="none"/>
                      <w:vertAlign w:val="baseline"/>
                      <w:lang w:val="en-US" w:eastAsia="zh-CN" w:bidi="ar-SA"/>
                    </w:rPr>
                    <w:t>不需设置专门的防渗层</w:t>
                  </w:r>
                </w:p>
              </w:tc>
            </w:tr>
          </w:tbl>
          <w:p w14:paraId="2833FFB5">
            <w:pPr>
              <w:pStyle w:val="24"/>
              <w:keepNext w:val="0"/>
              <w:keepLines w:val="0"/>
              <w:pageBreakBefore w:val="0"/>
              <w:widowControl w:val="0"/>
              <w:numPr>
                <w:ilvl w:val="0"/>
                <w:numId w:val="0"/>
              </w:numPr>
              <w:shd w:val="clear"/>
              <w:kinsoku/>
              <w:wordWrap/>
              <w:overflowPunct/>
              <w:topLinePunct w:val="0"/>
              <w:autoSpaceDE/>
              <w:autoSpaceDN/>
              <w:bidi w:val="0"/>
              <w:adjustRightInd/>
              <w:snapToGrid w:val="0"/>
              <w:spacing w:after="0" w:line="360" w:lineRule="auto"/>
              <w:ind w:leftChars="0" w:firstLine="482" w:firstLineChars="200"/>
              <w:jc w:val="both"/>
              <w:textAlignment w:val="auto"/>
              <w:rPr>
                <w:rFonts w:hint="default" w:ascii="Times New Roman" w:hAnsi="Times New Roman" w:eastAsia="宋体" w:cs="Times New Roman"/>
                <w:b/>
                <w:bCs w:val="0"/>
                <w:color w:val="auto"/>
                <w:spacing w:val="-10"/>
                <w:sz w:val="24"/>
                <w:szCs w:val="24"/>
                <w:highlight w:val="none"/>
                <w:lang w:val="en-US" w:eastAsia="zh-CN"/>
              </w:rPr>
            </w:pPr>
            <w:r>
              <w:rPr>
                <w:rFonts w:hint="default" w:ascii="Times New Roman" w:hAnsi="Times New Roman" w:eastAsia="宋体" w:cs="Times New Roman"/>
                <w:b/>
                <w:bCs/>
                <w:color w:val="auto"/>
                <w:kern w:val="0"/>
                <w:sz w:val="24"/>
                <w:szCs w:val="24"/>
                <w:highlight w:val="none"/>
                <w:lang w:val="en-US" w:eastAsia="zh-CN" w:bidi="ar-SA"/>
              </w:rPr>
              <w:t>（4）</w:t>
            </w:r>
            <w:r>
              <w:rPr>
                <w:rFonts w:hint="default" w:ascii="Times New Roman" w:hAnsi="Times New Roman" w:eastAsia="宋体" w:cs="Times New Roman"/>
                <w:b/>
                <w:bCs w:val="0"/>
                <w:color w:val="auto"/>
                <w:spacing w:val="-10"/>
                <w:sz w:val="24"/>
                <w:szCs w:val="24"/>
                <w:highlight w:val="none"/>
                <w:lang w:val="en-US" w:eastAsia="zh-CN"/>
              </w:rPr>
              <w:t>防渗措施</w:t>
            </w:r>
          </w:p>
          <w:p w14:paraId="75F8077E">
            <w:pPr>
              <w:pStyle w:val="24"/>
              <w:keepNext w:val="0"/>
              <w:keepLines w:val="0"/>
              <w:pageBreakBefore w:val="0"/>
              <w:widowControl w:val="0"/>
              <w:numPr>
                <w:ilvl w:val="0"/>
                <w:numId w:val="0"/>
              </w:numPr>
              <w:shd w:val="clear"/>
              <w:kinsoku/>
              <w:wordWrap/>
              <w:overflowPunct/>
              <w:topLinePunct w:val="0"/>
              <w:autoSpaceDE/>
              <w:autoSpaceDN/>
              <w:bidi w:val="0"/>
              <w:adjustRightInd/>
              <w:snapToGrid w:val="0"/>
              <w:spacing w:after="0" w:line="360" w:lineRule="auto"/>
              <w:ind w:leftChars="0" w:firstLine="420" w:firstLineChars="200"/>
              <w:jc w:val="both"/>
              <w:textAlignment w:val="auto"/>
              <w:rPr>
                <w:rFonts w:hint="default" w:ascii="Times New Roman" w:hAnsi="Times New Roman" w:eastAsia="宋体" w:cs="Times New Roman"/>
                <w:b w:val="0"/>
                <w:bCs/>
                <w:color w:val="auto"/>
                <w:spacing w:val="0"/>
                <w:sz w:val="21"/>
                <w:szCs w:val="21"/>
                <w:highlight w:val="none"/>
                <w:lang w:val="en-US" w:eastAsia="zh-CN"/>
              </w:rPr>
            </w:pPr>
            <w:r>
              <w:rPr>
                <w:rFonts w:hint="default" w:ascii="Times New Roman" w:hAnsi="Times New Roman" w:eastAsia="宋体" w:cs="Times New Roman"/>
                <w:b w:val="0"/>
                <w:bCs/>
                <w:color w:val="auto"/>
                <w:spacing w:val="0"/>
                <w:sz w:val="21"/>
                <w:szCs w:val="21"/>
                <w:highlight w:val="none"/>
                <w:lang w:val="en-US" w:eastAsia="zh-CN"/>
              </w:rPr>
              <w:t>①对车间内排水系统及排水管道和围堰均做防渗处理，需要严格检查容器的严密性和质量情况。</w:t>
            </w:r>
          </w:p>
          <w:p w14:paraId="3BE2D6A8">
            <w:pPr>
              <w:pStyle w:val="24"/>
              <w:keepNext w:val="0"/>
              <w:keepLines w:val="0"/>
              <w:pageBreakBefore w:val="0"/>
              <w:widowControl w:val="0"/>
              <w:numPr>
                <w:ilvl w:val="0"/>
                <w:numId w:val="0"/>
              </w:numPr>
              <w:shd w:val="clear"/>
              <w:kinsoku/>
              <w:wordWrap/>
              <w:overflowPunct/>
              <w:topLinePunct w:val="0"/>
              <w:autoSpaceDE/>
              <w:autoSpaceDN/>
              <w:bidi w:val="0"/>
              <w:adjustRightInd/>
              <w:snapToGrid w:val="0"/>
              <w:spacing w:after="0" w:line="360" w:lineRule="auto"/>
              <w:ind w:leftChars="0" w:firstLine="420" w:firstLineChars="200"/>
              <w:jc w:val="both"/>
              <w:textAlignment w:val="auto"/>
              <w:rPr>
                <w:rFonts w:hint="default" w:ascii="Times New Roman" w:hAnsi="Times New Roman" w:eastAsia="宋体" w:cs="Times New Roman"/>
                <w:b w:val="0"/>
                <w:bCs/>
                <w:color w:val="auto"/>
                <w:spacing w:val="0"/>
                <w:sz w:val="21"/>
                <w:szCs w:val="21"/>
                <w:highlight w:val="none"/>
                <w:lang w:val="en-US" w:eastAsia="zh-CN"/>
              </w:rPr>
            </w:pPr>
            <w:r>
              <w:rPr>
                <w:rFonts w:hint="default" w:ascii="Times New Roman" w:hAnsi="Times New Roman" w:eastAsia="宋体" w:cs="Times New Roman"/>
                <w:b w:val="0"/>
                <w:bCs/>
                <w:color w:val="auto"/>
                <w:spacing w:val="0"/>
                <w:sz w:val="21"/>
                <w:szCs w:val="21"/>
                <w:highlight w:val="none"/>
                <w:lang w:val="en-US" w:eastAsia="zh-CN"/>
              </w:rPr>
              <w:t>②项目应设置专门的危废间</w:t>
            </w:r>
            <w:r>
              <w:rPr>
                <w:rFonts w:hint="default" w:ascii="Times New Roman" w:hAnsi="Times New Roman" w:cs="Times New Roman"/>
                <w:b w:val="0"/>
                <w:bCs/>
                <w:color w:val="auto"/>
                <w:spacing w:val="0"/>
                <w:sz w:val="21"/>
                <w:szCs w:val="21"/>
                <w:highlight w:val="none"/>
                <w:lang w:val="en-US" w:eastAsia="zh-CN"/>
              </w:rPr>
              <w:t>和围堰</w:t>
            </w:r>
            <w:r>
              <w:rPr>
                <w:rFonts w:hint="default" w:ascii="Times New Roman" w:hAnsi="Times New Roman" w:eastAsia="宋体" w:cs="Times New Roman"/>
                <w:b w:val="0"/>
                <w:bCs/>
                <w:color w:val="auto"/>
                <w:spacing w:val="0"/>
                <w:sz w:val="21"/>
                <w:szCs w:val="21"/>
                <w:highlight w:val="none"/>
                <w:lang w:val="en-US" w:eastAsia="zh-CN"/>
              </w:rPr>
              <w:t>，严格按照《危险废物贮存污染控制标准》（GB18597—2023）中规定的要求，采取“防渗、防雨、防流失”等措施，设置明显的标识牌</w:t>
            </w:r>
            <w:r>
              <w:rPr>
                <w:rFonts w:hint="default" w:ascii="Times New Roman" w:hAnsi="Times New Roman" w:cs="Times New Roman"/>
                <w:b w:val="0"/>
                <w:bCs/>
                <w:color w:val="auto"/>
                <w:spacing w:val="0"/>
                <w:sz w:val="21"/>
                <w:szCs w:val="21"/>
                <w:highlight w:val="none"/>
                <w:lang w:val="en-US" w:eastAsia="zh-CN"/>
              </w:rPr>
              <w:t>。</w:t>
            </w:r>
            <w:r>
              <w:rPr>
                <w:rFonts w:hint="default" w:ascii="Times New Roman" w:hAnsi="Times New Roman" w:eastAsia="宋体" w:cs="Times New Roman"/>
                <w:b w:val="0"/>
                <w:bCs/>
                <w:color w:val="auto"/>
                <w:spacing w:val="0"/>
                <w:sz w:val="21"/>
                <w:szCs w:val="21"/>
                <w:highlight w:val="none"/>
                <w:lang w:val="en-US" w:eastAsia="zh-CN"/>
              </w:rPr>
              <w:t>加强危废管理，并做好存放场所的防渗透和泄漏措施，严禁随意倾倒和混入生活垃圾中，避免污染周边环境。</w:t>
            </w:r>
          </w:p>
          <w:p w14:paraId="16BE66BB">
            <w:pPr>
              <w:pStyle w:val="24"/>
              <w:keepNext w:val="0"/>
              <w:keepLines w:val="0"/>
              <w:pageBreakBefore w:val="0"/>
              <w:widowControl w:val="0"/>
              <w:numPr>
                <w:ilvl w:val="0"/>
                <w:numId w:val="0"/>
              </w:numPr>
              <w:shd w:val="clear"/>
              <w:kinsoku/>
              <w:wordWrap/>
              <w:overflowPunct/>
              <w:topLinePunct w:val="0"/>
              <w:autoSpaceDE/>
              <w:autoSpaceDN/>
              <w:bidi w:val="0"/>
              <w:adjustRightInd/>
              <w:snapToGrid w:val="0"/>
              <w:spacing w:after="0" w:line="360" w:lineRule="auto"/>
              <w:ind w:leftChars="0" w:firstLine="420" w:firstLineChars="200"/>
              <w:jc w:val="both"/>
              <w:textAlignment w:val="auto"/>
              <w:rPr>
                <w:rFonts w:hint="default" w:ascii="Times New Roman" w:hAnsi="Times New Roman" w:eastAsia="宋体" w:cs="Times New Roman"/>
                <w:b w:val="0"/>
                <w:bCs/>
                <w:color w:val="auto"/>
                <w:spacing w:val="0"/>
                <w:sz w:val="21"/>
                <w:szCs w:val="21"/>
                <w:highlight w:val="none"/>
                <w:lang w:val="en-US" w:eastAsia="zh-CN"/>
              </w:rPr>
            </w:pPr>
            <w:r>
              <w:rPr>
                <w:rFonts w:hint="default" w:ascii="Times New Roman" w:hAnsi="Times New Roman" w:eastAsia="宋体" w:cs="Times New Roman"/>
                <w:b w:val="0"/>
                <w:bCs/>
                <w:color w:val="auto"/>
                <w:spacing w:val="0"/>
                <w:sz w:val="21"/>
                <w:szCs w:val="21"/>
                <w:highlight w:val="none"/>
                <w:lang w:val="en-US" w:eastAsia="zh-CN"/>
              </w:rPr>
              <w:fldChar w:fldCharType="begin"/>
            </w:r>
            <w:r>
              <w:rPr>
                <w:rFonts w:hint="default" w:ascii="Times New Roman" w:hAnsi="Times New Roman" w:eastAsia="宋体" w:cs="Times New Roman"/>
                <w:b w:val="0"/>
                <w:bCs/>
                <w:color w:val="auto"/>
                <w:spacing w:val="0"/>
                <w:sz w:val="21"/>
                <w:szCs w:val="21"/>
                <w:highlight w:val="none"/>
                <w:lang w:val="en-US" w:eastAsia="zh-CN"/>
              </w:rPr>
              <w:instrText xml:space="preserve"> = 3 \* GB3 \* MERGEFORMAT </w:instrText>
            </w:r>
            <w:r>
              <w:rPr>
                <w:rFonts w:hint="default" w:ascii="Times New Roman" w:hAnsi="Times New Roman" w:eastAsia="宋体" w:cs="Times New Roman"/>
                <w:b w:val="0"/>
                <w:bCs/>
                <w:color w:val="auto"/>
                <w:spacing w:val="0"/>
                <w:sz w:val="21"/>
                <w:szCs w:val="21"/>
                <w:highlight w:val="none"/>
                <w:lang w:val="en-US" w:eastAsia="zh-CN"/>
              </w:rPr>
              <w:fldChar w:fldCharType="separate"/>
            </w:r>
            <w:r>
              <w:rPr>
                <w:rFonts w:hint="default" w:ascii="Times New Roman" w:hAnsi="Times New Roman" w:eastAsia="宋体" w:cs="Times New Roman"/>
                <w:b w:val="0"/>
                <w:bCs/>
                <w:color w:val="auto"/>
                <w:spacing w:val="0"/>
                <w:sz w:val="21"/>
                <w:szCs w:val="21"/>
                <w:highlight w:val="none"/>
                <w:lang w:val="en-US" w:eastAsia="zh-CN"/>
              </w:rPr>
              <w:t>③</w:t>
            </w:r>
            <w:r>
              <w:rPr>
                <w:rFonts w:hint="default" w:ascii="Times New Roman" w:hAnsi="Times New Roman" w:eastAsia="宋体" w:cs="Times New Roman"/>
                <w:b w:val="0"/>
                <w:bCs/>
                <w:color w:val="auto"/>
                <w:spacing w:val="0"/>
                <w:sz w:val="21"/>
                <w:szCs w:val="21"/>
                <w:highlight w:val="none"/>
                <w:lang w:val="en-US" w:eastAsia="zh-CN"/>
              </w:rPr>
              <w:fldChar w:fldCharType="end"/>
            </w:r>
            <w:r>
              <w:rPr>
                <w:rFonts w:hint="default" w:ascii="Times New Roman" w:hAnsi="Times New Roman" w:eastAsia="宋体" w:cs="Times New Roman"/>
                <w:b w:val="0"/>
                <w:bCs/>
                <w:color w:val="auto"/>
                <w:spacing w:val="0"/>
                <w:sz w:val="21"/>
                <w:szCs w:val="21"/>
                <w:highlight w:val="none"/>
                <w:lang w:val="en-US" w:eastAsia="zh-CN"/>
              </w:rPr>
              <w:t>化学品储存场所采取严格的分区防腐防渗措施，防止因事故消防废水漫流通过下渗污染项目区周围地下水环境，避免对地下水造成环境污染。</w:t>
            </w:r>
          </w:p>
          <w:p w14:paraId="7528B8B1">
            <w:pPr>
              <w:pStyle w:val="24"/>
              <w:keepNext w:val="0"/>
              <w:keepLines w:val="0"/>
              <w:pageBreakBefore w:val="0"/>
              <w:widowControl w:val="0"/>
              <w:numPr>
                <w:ilvl w:val="0"/>
                <w:numId w:val="0"/>
              </w:numPr>
              <w:shd w:val="clear"/>
              <w:kinsoku/>
              <w:wordWrap/>
              <w:overflowPunct/>
              <w:topLinePunct w:val="0"/>
              <w:autoSpaceDE/>
              <w:autoSpaceDN/>
              <w:bidi w:val="0"/>
              <w:adjustRightInd/>
              <w:snapToGrid w:val="0"/>
              <w:spacing w:after="0" w:line="360" w:lineRule="auto"/>
              <w:ind w:leftChars="0" w:firstLine="420" w:firstLineChars="200"/>
              <w:jc w:val="both"/>
              <w:textAlignment w:val="auto"/>
              <w:rPr>
                <w:rFonts w:hint="default" w:ascii="Times New Roman" w:hAnsi="Times New Roman" w:eastAsia="宋体" w:cs="Times New Roman"/>
                <w:b w:val="0"/>
                <w:bCs/>
                <w:color w:val="auto"/>
                <w:spacing w:val="0"/>
                <w:sz w:val="21"/>
                <w:szCs w:val="21"/>
                <w:highlight w:val="none"/>
                <w:lang w:val="en-US" w:eastAsia="zh-CN"/>
              </w:rPr>
            </w:pPr>
            <w:r>
              <w:rPr>
                <w:rFonts w:hint="default" w:ascii="Times New Roman" w:hAnsi="Times New Roman" w:eastAsia="宋体" w:cs="Times New Roman"/>
                <w:b w:val="0"/>
                <w:bCs/>
                <w:color w:val="auto"/>
                <w:spacing w:val="0"/>
                <w:sz w:val="21"/>
                <w:szCs w:val="21"/>
                <w:highlight w:val="none"/>
                <w:lang w:val="en-US" w:eastAsia="zh-CN"/>
              </w:rPr>
              <w:fldChar w:fldCharType="begin"/>
            </w:r>
            <w:r>
              <w:rPr>
                <w:rFonts w:hint="default" w:ascii="Times New Roman" w:hAnsi="Times New Roman" w:eastAsia="宋体" w:cs="Times New Roman"/>
                <w:b w:val="0"/>
                <w:bCs/>
                <w:color w:val="auto"/>
                <w:spacing w:val="0"/>
                <w:sz w:val="21"/>
                <w:szCs w:val="21"/>
                <w:highlight w:val="none"/>
                <w:lang w:val="en-US" w:eastAsia="zh-CN"/>
              </w:rPr>
              <w:instrText xml:space="preserve"> = 4 \* GB3 \* MERGEFORMAT </w:instrText>
            </w:r>
            <w:r>
              <w:rPr>
                <w:rFonts w:hint="default" w:ascii="Times New Roman" w:hAnsi="Times New Roman" w:eastAsia="宋体" w:cs="Times New Roman"/>
                <w:b w:val="0"/>
                <w:bCs/>
                <w:color w:val="auto"/>
                <w:spacing w:val="0"/>
                <w:sz w:val="21"/>
                <w:szCs w:val="21"/>
                <w:highlight w:val="none"/>
                <w:lang w:val="en-US" w:eastAsia="zh-CN"/>
              </w:rPr>
              <w:fldChar w:fldCharType="separate"/>
            </w:r>
            <w:r>
              <w:rPr>
                <w:rFonts w:hint="default" w:ascii="Times New Roman" w:hAnsi="Times New Roman" w:eastAsia="宋体" w:cs="Times New Roman"/>
                <w:b w:val="0"/>
                <w:bCs/>
                <w:color w:val="auto"/>
                <w:spacing w:val="0"/>
                <w:sz w:val="21"/>
                <w:szCs w:val="21"/>
                <w:highlight w:val="none"/>
                <w:lang w:val="en-US" w:eastAsia="zh-CN"/>
              </w:rPr>
              <w:t>④</w:t>
            </w:r>
            <w:r>
              <w:rPr>
                <w:rFonts w:hint="default" w:ascii="Times New Roman" w:hAnsi="Times New Roman" w:eastAsia="宋体" w:cs="Times New Roman"/>
                <w:b w:val="0"/>
                <w:bCs/>
                <w:color w:val="auto"/>
                <w:spacing w:val="0"/>
                <w:sz w:val="21"/>
                <w:szCs w:val="21"/>
                <w:highlight w:val="none"/>
                <w:lang w:val="en-US" w:eastAsia="zh-CN"/>
              </w:rPr>
              <w:fldChar w:fldCharType="end"/>
            </w:r>
            <w:r>
              <w:rPr>
                <w:rFonts w:hint="default" w:ascii="Times New Roman" w:hAnsi="Times New Roman" w:eastAsia="宋体" w:cs="Times New Roman"/>
                <w:b w:val="0"/>
                <w:bCs/>
                <w:color w:val="auto"/>
                <w:spacing w:val="0"/>
                <w:sz w:val="21"/>
                <w:szCs w:val="21"/>
                <w:highlight w:val="none"/>
                <w:lang w:val="en-US" w:eastAsia="zh-CN"/>
              </w:rPr>
              <w:t>针对大气沉降：项目生产过程主要产生</w:t>
            </w:r>
            <w:r>
              <w:rPr>
                <w:rFonts w:hint="eastAsia" w:cs="Times New Roman"/>
                <w:b w:val="0"/>
                <w:bCs/>
                <w:color w:val="auto"/>
                <w:spacing w:val="0"/>
                <w:sz w:val="21"/>
                <w:szCs w:val="21"/>
                <w:highlight w:val="none"/>
                <w:lang w:val="en-US" w:eastAsia="zh-CN"/>
              </w:rPr>
              <w:t>有机废气、粉尘废气、酸雾废气</w:t>
            </w:r>
            <w:r>
              <w:rPr>
                <w:rFonts w:hint="default" w:ascii="Times New Roman" w:hAnsi="Times New Roman" w:eastAsia="宋体" w:cs="Times New Roman"/>
                <w:b w:val="0"/>
                <w:bCs/>
                <w:color w:val="auto"/>
                <w:spacing w:val="0"/>
                <w:sz w:val="21"/>
                <w:szCs w:val="21"/>
                <w:highlight w:val="none"/>
                <w:lang w:val="en-US" w:eastAsia="zh-CN"/>
              </w:rPr>
              <w:t>，主要污染物为</w:t>
            </w:r>
            <w:r>
              <w:rPr>
                <w:rFonts w:hint="default" w:ascii="Times New Roman" w:hAnsi="Times New Roman" w:eastAsia="宋体" w:cs="Times New Roman"/>
                <w:color w:val="auto"/>
                <w:sz w:val="21"/>
                <w:szCs w:val="21"/>
                <w:highlight w:val="none"/>
                <w:lang w:val="en-US" w:eastAsia="zh-CN"/>
              </w:rPr>
              <w:t>非甲烷总烃</w:t>
            </w:r>
            <w:r>
              <w:rPr>
                <w:rFonts w:hint="eastAsia" w:cs="Times New Roman"/>
                <w:color w:val="auto"/>
                <w:sz w:val="21"/>
                <w:szCs w:val="21"/>
                <w:highlight w:val="none"/>
                <w:lang w:val="en-US" w:eastAsia="zh-CN"/>
              </w:rPr>
              <w:t>（TVOC）</w:t>
            </w:r>
            <w:r>
              <w:rPr>
                <w:rFonts w:hint="default"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甲醇、苯系物（甲苯）、氨、臭气浓度、</w:t>
            </w:r>
            <w:r>
              <w:rPr>
                <w:rFonts w:hint="default" w:ascii="Times New Roman" w:hAnsi="Times New Roman" w:eastAsia="宋体" w:cs="Times New Roman"/>
                <w:color w:val="auto"/>
                <w:sz w:val="21"/>
                <w:szCs w:val="21"/>
                <w:highlight w:val="none"/>
                <w:lang w:val="en-US" w:eastAsia="zh-CN"/>
              </w:rPr>
              <w:t>颗粒物、</w:t>
            </w:r>
            <w:r>
              <w:rPr>
                <w:rFonts w:hint="eastAsia" w:cs="Times New Roman"/>
                <w:color w:val="auto"/>
                <w:sz w:val="21"/>
                <w:szCs w:val="21"/>
                <w:highlight w:val="none"/>
                <w:lang w:val="en-US" w:eastAsia="zh-CN"/>
              </w:rPr>
              <w:t>硫酸雾、氯化氢、氮氧化物</w:t>
            </w:r>
            <w:r>
              <w:rPr>
                <w:rFonts w:hint="default" w:ascii="Times New Roman" w:hAnsi="Times New Roman" w:eastAsia="宋体" w:cs="Times New Roman"/>
                <w:b w:val="0"/>
                <w:bCs/>
                <w:color w:val="auto"/>
                <w:spacing w:val="0"/>
                <w:sz w:val="21"/>
                <w:szCs w:val="21"/>
                <w:highlight w:val="none"/>
                <w:lang w:val="en-US" w:eastAsia="zh-CN"/>
              </w:rPr>
              <w:t>等</w:t>
            </w:r>
            <w:r>
              <w:rPr>
                <w:rFonts w:hint="eastAsia" w:cs="Times New Roman"/>
                <w:b w:val="0"/>
                <w:bCs/>
                <w:color w:val="auto"/>
                <w:spacing w:val="0"/>
                <w:sz w:val="21"/>
                <w:szCs w:val="21"/>
                <w:highlight w:val="none"/>
                <w:lang w:val="en-US" w:eastAsia="zh-CN"/>
              </w:rPr>
              <w:t>。</w:t>
            </w:r>
            <w:r>
              <w:rPr>
                <w:rFonts w:hint="default" w:ascii="Times New Roman" w:hAnsi="Times New Roman" w:eastAsia="宋体" w:cs="Times New Roman"/>
                <w:b w:val="0"/>
                <w:bCs/>
                <w:color w:val="auto"/>
                <w:spacing w:val="0"/>
                <w:sz w:val="21"/>
                <w:szCs w:val="21"/>
                <w:highlight w:val="none"/>
                <w:lang w:val="en-US" w:eastAsia="zh-CN"/>
              </w:rPr>
              <w:t>项目酸雾废气经通风柜收集后，通过碱液喷淋塔处理后经</w:t>
            </w:r>
            <w:r>
              <w:rPr>
                <w:rFonts w:hint="eastAsia" w:cs="Times New Roman"/>
                <w:b w:val="0"/>
                <w:bCs/>
                <w:color w:val="auto"/>
                <w:spacing w:val="0"/>
                <w:sz w:val="21"/>
                <w:szCs w:val="21"/>
                <w:highlight w:val="none"/>
                <w:lang w:val="en-US" w:eastAsia="zh-CN"/>
              </w:rPr>
              <w:t>G1</w:t>
            </w:r>
            <w:r>
              <w:rPr>
                <w:rFonts w:hint="default" w:ascii="Times New Roman" w:hAnsi="Times New Roman" w:eastAsia="宋体" w:cs="Times New Roman"/>
                <w:b w:val="0"/>
                <w:bCs/>
                <w:color w:val="auto"/>
                <w:spacing w:val="0"/>
                <w:sz w:val="21"/>
                <w:szCs w:val="21"/>
                <w:highlight w:val="none"/>
                <w:lang w:val="en-US" w:eastAsia="zh-CN"/>
              </w:rPr>
              <w:t>排气筒排放；</w:t>
            </w:r>
            <w:r>
              <w:rPr>
                <w:rFonts w:hint="eastAsia" w:cs="Times New Roman"/>
                <w:b w:val="0"/>
                <w:bCs/>
                <w:color w:val="auto"/>
                <w:spacing w:val="0"/>
                <w:sz w:val="21"/>
                <w:szCs w:val="21"/>
                <w:highlight w:val="none"/>
                <w:lang w:val="en-US" w:eastAsia="zh-CN"/>
              </w:rPr>
              <w:t>项目</w:t>
            </w:r>
            <w:r>
              <w:rPr>
                <w:rFonts w:hint="default" w:ascii="Times New Roman" w:hAnsi="Times New Roman" w:eastAsia="宋体" w:cs="Times New Roman"/>
                <w:b w:val="0"/>
                <w:bCs/>
                <w:color w:val="auto"/>
                <w:spacing w:val="0"/>
                <w:sz w:val="21"/>
                <w:szCs w:val="21"/>
                <w:highlight w:val="none"/>
                <w:lang w:val="en-US" w:eastAsia="zh-CN"/>
              </w:rPr>
              <w:t>有机废气、粉尘废气一起经密闭车间+通风柜收集后，汇入到1套</w:t>
            </w:r>
            <w:r>
              <w:rPr>
                <w:rFonts w:hint="eastAsia" w:cs="Times New Roman"/>
                <w:b w:val="0"/>
                <w:bCs/>
                <w:color w:val="auto"/>
                <w:spacing w:val="0"/>
                <w:sz w:val="21"/>
                <w:szCs w:val="21"/>
                <w:highlight w:val="none"/>
                <w:lang w:val="en-US" w:eastAsia="zh-CN"/>
              </w:rPr>
              <w:t>单</w:t>
            </w:r>
            <w:r>
              <w:rPr>
                <w:rFonts w:hint="default" w:ascii="Times New Roman" w:hAnsi="Times New Roman" w:eastAsia="宋体" w:cs="Times New Roman"/>
                <w:b w:val="0"/>
                <w:bCs/>
                <w:color w:val="auto"/>
                <w:spacing w:val="0"/>
                <w:sz w:val="21"/>
                <w:szCs w:val="21"/>
                <w:highlight w:val="none"/>
                <w:lang w:val="en-US" w:eastAsia="zh-CN"/>
              </w:rPr>
              <w:t>级活性炭吸附装置进行处理后经</w:t>
            </w:r>
            <w:r>
              <w:rPr>
                <w:rFonts w:hint="eastAsia" w:cs="Times New Roman"/>
                <w:b w:val="0"/>
                <w:bCs/>
                <w:color w:val="auto"/>
                <w:spacing w:val="0"/>
                <w:sz w:val="21"/>
                <w:szCs w:val="21"/>
                <w:highlight w:val="none"/>
                <w:lang w:val="en-US" w:eastAsia="zh-CN"/>
              </w:rPr>
              <w:t>G2</w:t>
            </w:r>
            <w:r>
              <w:rPr>
                <w:rFonts w:hint="default" w:ascii="Times New Roman" w:hAnsi="Times New Roman" w:eastAsia="宋体" w:cs="Times New Roman"/>
                <w:b w:val="0"/>
                <w:bCs/>
                <w:color w:val="auto"/>
                <w:spacing w:val="0"/>
                <w:sz w:val="21"/>
                <w:szCs w:val="21"/>
                <w:highlight w:val="none"/>
                <w:lang w:val="en-US" w:eastAsia="zh-CN"/>
              </w:rPr>
              <w:t>排气筒排放</w:t>
            </w:r>
            <w:r>
              <w:rPr>
                <w:rFonts w:hint="default"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b w:val="0"/>
                <w:bCs/>
                <w:color w:val="auto"/>
                <w:spacing w:val="0"/>
                <w:sz w:val="21"/>
                <w:szCs w:val="21"/>
                <w:highlight w:val="none"/>
                <w:lang w:val="en-US" w:eastAsia="zh-CN"/>
              </w:rPr>
              <w:t>项目尽可能在源头上减少污染物产生，严格按照国家相关规范要求，加强大气污染控制措施，定期对废气治理设施进行维护和巡查，确保对污染物进行有效治理达标排放。</w:t>
            </w:r>
          </w:p>
          <w:p w14:paraId="0452794C">
            <w:pPr>
              <w:pStyle w:val="24"/>
              <w:keepNext w:val="0"/>
              <w:keepLines w:val="0"/>
              <w:pageBreakBefore w:val="0"/>
              <w:widowControl w:val="0"/>
              <w:numPr>
                <w:ilvl w:val="0"/>
                <w:numId w:val="0"/>
              </w:numPr>
              <w:shd w:val="clear"/>
              <w:kinsoku/>
              <w:wordWrap/>
              <w:overflowPunct/>
              <w:topLinePunct w:val="0"/>
              <w:autoSpaceDE/>
              <w:autoSpaceDN/>
              <w:bidi w:val="0"/>
              <w:adjustRightInd/>
              <w:snapToGrid w:val="0"/>
              <w:spacing w:after="0" w:line="360" w:lineRule="auto"/>
              <w:ind w:leftChars="0" w:firstLine="420" w:firstLineChars="200"/>
              <w:jc w:val="both"/>
              <w:textAlignment w:val="auto"/>
              <w:rPr>
                <w:rFonts w:hint="default" w:ascii="Times New Roman" w:hAnsi="Times New Roman" w:eastAsia="宋体" w:cs="Times New Roman"/>
                <w:b w:val="0"/>
                <w:bCs/>
                <w:color w:val="auto"/>
                <w:spacing w:val="0"/>
                <w:sz w:val="21"/>
                <w:szCs w:val="21"/>
                <w:highlight w:val="none"/>
                <w:lang w:val="en-US" w:eastAsia="zh-CN"/>
              </w:rPr>
            </w:pPr>
            <w:r>
              <w:rPr>
                <w:rFonts w:hint="default" w:ascii="Times New Roman" w:hAnsi="Times New Roman" w:eastAsia="宋体" w:cs="Times New Roman"/>
                <w:b w:val="0"/>
                <w:bCs/>
                <w:color w:val="auto"/>
                <w:spacing w:val="0"/>
                <w:sz w:val="21"/>
                <w:szCs w:val="21"/>
                <w:highlight w:val="none"/>
                <w:lang w:val="en-US" w:eastAsia="zh-CN"/>
              </w:rPr>
              <w:t>⑤加强对废气治理设施的运营与维护工作，定期检修。</w:t>
            </w:r>
          </w:p>
          <w:p w14:paraId="499EC468">
            <w:pPr>
              <w:pStyle w:val="24"/>
              <w:keepNext w:val="0"/>
              <w:keepLines w:val="0"/>
              <w:pageBreakBefore w:val="0"/>
              <w:widowControl w:val="0"/>
              <w:numPr>
                <w:ilvl w:val="0"/>
                <w:numId w:val="0"/>
              </w:numPr>
              <w:shd w:val="clear"/>
              <w:kinsoku/>
              <w:wordWrap/>
              <w:overflowPunct/>
              <w:topLinePunct w:val="0"/>
              <w:autoSpaceDE/>
              <w:autoSpaceDN/>
              <w:bidi w:val="0"/>
              <w:adjustRightInd/>
              <w:snapToGrid w:val="0"/>
              <w:spacing w:after="0" w:line="360" w:lineRule="auto"/>
              <w:ind w:leftChars="0" w:firstLine="420" w:firstLineChars="20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 w:val="0"/>
                <w:bCs/>
                <w:color w:val="auto"/>
                <w:spacing w:val="0"/>
                <w:sz w:val="21"/>
                <w:szCs w:val="21"/>
                <w:highlight w:val="none"/>
                <w:lang w:val="en-US" w:eastAsia="zh-CN"/>
              </w:rPr>
              <w:t>综上，项目拟将采取有效措施对可能产生地下水及土壤影响的各项途径均进行有效预防，在确保各项防渗措施得以落实，并加强维护和环境管理的前提下，可有效控制项目内的污染物下渗现象，避免污染地下水及土壤，因此项目不会对区域地下水及土壤环境产生明显影响。故不设置相关自行监测要求。</w:t>
            </w:r>
          </w:p>
          <w:p w14:paraId="371E0B86">
            <w:pPr>
              <w:pStyle w:val="32"/>
              <w:keepNext w:val="0"/>
              <w:keepLines w:val="0"/>
              <w:pageBreakBefore w:val="0"/>
              <w:shd w:val="clear"/>
              <w:kinsoku/>
              <w:wordWrap/>
              <w:overflowPunct w:val="0"/>
              <w:topLinePunct w:val="0"/>
              <w:autoSpaceDE w:val="0"/>
              <w:autoSpaceDN w:val="0"/>
              <w:bidi w:val="0"/>
              <w:adjustRightInd/>
              <w:snapToGrid w:val="0"/>
              <w:spacing w:after="0" w:line="360" w:lineRule="auto"/>
              <w:ind w:left="0" w:leftChars="0" w:firstLine="422"/>
              <w:jc w:val="both"/>
              <w:textAlignment w:val="auto"/>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六、环境风险分析</w:t>
            </w:r>
          </w:p>
          <w:p w14:paraId="3BFEC77B">
            <w:pPr>
              <w:pStyle w:val="24"/>
              <w:keepNext w:val="0"/>
              <w:keepLines w:val="0"/>
              <w:pageBreakBefore w:val="0"/>
              <w:widowControl w:val="0"/>
              <w:numPr>
                <w:ilvl w:val="0"/>
                <w:numId w:val="0"/>
              </w:numPr>
              <w:shd w:val="clear"/>
              <w:kinsoku/>
              <w:wordWrap/>
              <w:overflowPunct w:val="0"/>
              <w:topLinePunct w:val="0"/>
              <w:autoSpaceDE w:val="0"/>
              <w:autoSpaceDN w:val="0"/>
              <w:bidi w:val="0"/>
              <w:adjustRightInd/>
              <w:snapToGrid w:val="0"/>
              <w:spacing w:after="0" w:line="360" w:lineRule="auto"/>
              <w:ind w:leftChars="0" w:firstLine="482" w:firstLineChars="200"/>
              <w:jc w:val="both"/>
              <w:textAlignment w:val="auto"/>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（1）</w:t>
            </w:r>
            <w:r>
              <w:rPr>
                <w:rFonts w:hint="default" w:ascii="Times New Roman" w:hAnsi="Times New Roman" w:eastAsia="宋体" w:cs="Times New Roman"/>
                <w:b/>
                <w:bCs/>
                <w:color w:val="auto"/>
                <w:sz w:val="24"/>
                <w:szCs w:val="24"/>
                <w:highlight w:val="none"/>
                <w:lang w:val="en-US" w:eastAsia="zh-CN"/>
              </w:rPr>
              <w:t>环境风险潜势初判</w:t>
            </w:r>
          </w:p>
          <w:p w14:paraId="1F42960A">
            <w:pPr>
              <w:keepNext w:val="0"/>
              <w:keepLines w:val="0"/>
              <w:pageBreakBefore w:val="0"/>
              <w:widowControl/>
              <w:suppressLineNumbers w:val="0"/>
              <w:kinsoku/>
              <w:wordWrap/>
              <w:overflowPunct/>
              <w:topLinePunct w:val="0"/>
              <w:autoSpaceDE/>
              <w:autoSpaceDN/>
              <w:bidi w:val="0"/>
              <w:adjustRightInd/>
              <w:snapToGrid/>
              <w:spacing w:line="360" w:lineRule="auto"/>
              <w:ind w:firstLine="420" w:firstLineChars="200"/>
              <w:jc w:val="left"/>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根据《建设项目环境风险评价技术导则》（HJ169-2018）表B.1突发环境事件风险物质及临界量、表B.2其他危险物质临界量推荐值，</w:t>
            </w:r>
            <w:r>
              <w:rPr>
                <w:rFonts w:hint="eastAsia" w:ascii="宋体" w:hAnsi="宋体" w:eastAsia="宋体" w:cs="宋体"/>
                <w:color w:val="auto"/>
                <w:kern w:val="0"/>
                <w:sz w:val="21"/>
                <w:szCs w:val="21"/>
                <w:highlight w:val="none"/>
                <w:lang w:val="en-US" w:eastAsia="zh-CN" w:bidi="ar"/>
              </w:rPr>
              <w:t>《危险化学品重大危险源辨识》（</w:t>
            </w:r>
            <w:r>
              <w:rPr>
                <w:rFonts w:hint="default" w:ascii="Times New Roman" w:hAnsi="Times New Roman" w:eastAsia="宋体" w:cs="Times New Roman"/>
                <w:color w:val="auto"/>
                <w:kern w:val="0"/>
                <w:sz w:val="21"/>
                <w:szCs w:val="21"/>
                <w:highlight w:val="none"/>
                <w:lang w:val="en-US" w:eastAsia="zh-CN" w:bidi="ar"/>
              </w:rPr>
              <w:t>GB18218-2018</w:t>
            </w:r>
            <w:r>
              <w:rPr>
                <w:rFonts w:hint="eastAsia" w:ascii="宋体" w:hAnsi="宋体" w:eastAsia="宋体" w:cs="宋体"/>
                <w:color w:val="auto"/>
                <w:kern w:val="0"/>
                <w:sz w:val="21"/>
                <w:szCs w:val="21"/>
                <w:highlight w:val="none"/>
                <w:lang w:val="en-US" w:eastAsia="zh-CN" w:bidi="ar"/>
              </w:rPr>
              <w:t>），</w:t>
            </w:r>
            <w:r>
              <w:rPr>
                <w:rFonts w:hint="default" w:ascii="Times New Roman" w:hAnsi="Times New Roman" w:eastAsia="宋体" w:cs="Times New Roman"/>
                <w:b w:val="0"/>
                <w:bCs w:val="0"/>
                <w:color w:val="auto"/>
                <w:kern w:val="2"/>
                <w:sz w:val="21"/>
                <w:szCs w:val="21"/>
                <w:highlight w:val="none"/>
                <w:lang w:val="en-US" w:eastAsia="zh-CN" w:bidi="ar-SA"/>
              </w:rPr>
              <w:t>计算所涉及的每种危险物质在厂界内的最大存在总量与其附录B中对应临界量的比值Q。</w:t>
            </w:r>
          </w:p>
          <w:p w14:paraId="123D1585">
            <w:pPr>
              <w:pStyle w:val="24"/>
              <w:keepNext w:val="0"/>
              <w:keepLines w:val="0"/>
              <w:pageBreakBefore w:val="0"/>
              <w:widowControl w:val="0"/>
              <w:numPr>
                <w:ilvl w:val="0"/>
                <w:numId w:val="0"/>
              </w:numPr>
              <w:shd w:val="clear"/>
              <w:kinsoku/>
              <w:wordWrap/>
              <w:overflowPunct/>
              <w:topLinePunct w:val="0"/>
              <w:autoSpaceDE/>
              <w:autoSpaceDN/>
              <w:bidi w:val="0"/>
              <w:adjustRightInd/>
              <w:snapToGrid w:val="0"/>
              <w:spacing w:after="0" w:line="360" w:lineRule="auto"/>
              <w:ind w:leftChars="0" w:firstLine="420" w:firstLineChars="200"/>
              <w:jc w:val="both"/>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当只涉及一种危险物质时，计算该物质的总量与其临界量比值，即为Q；当存在多种危险物质时，则按照下式计算物质总量与其临界量比值Q：</w:t>
            </w:r>
          </w:p>
          <w:p w14:paraId="151498B3">
            <w:pPr>
              <w:pStyle w:val="24"/>
              <w:keepNext w:val="0"/>
              <w:keepLines w:val="0"/>
              <w:pageBreakBefore w:val="0"/>
              <w:widowControl w:val="0"/>
              <w:numPr>
                <w:ilvl w:val="0"/>
                <w:numId w:val="0"/>
              </w:numPr>
              <w:shd w:val="clear"/>
              <w:kinsoku/>
              <w:wordWrap/>
              <w:overflowPunct/>
              <w:topLinePunct w:val="0"/>
              <w:autoSpaceDE/>
              <w:autoSpaceDN/>
              <w:bidi w:val="0"/>
              <w:adjustRightInd/>
              <w:snapToGrid w:val="0"/>
              <w:spacing w:after="0" w:line="360" w:lineRule="auto"/>
              <w:ind w:leftChars="0" w:firstLine="420" w:firstLineChars="200"/>
              <w:jc w:val="both"/>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fldChar w:fldCharType="begin"/>
            </w:r>
            <w:r>
              <w:rPr>
                <w:rFonts w:hint="default" w:ascii="Times New Roman" w:hAnsi="Times New Roman" w:eastAsia="宋体" w:cs="Times New Roman"/>
                <w:color w:val="auto"/>
                <w:sz w:val="21"/>
                <w:szCs w:val="21"/>
                <w:highlight w:val="none"/>
              </w:rPr>
              <w:instrText xml:space="preserve"> INCLUDEPICTURE "D:\\Backup\\Documents\\WeChat Files\\wxid_wxz7byl00f7212\\FileStorage\\lenovo\\AppData\\documents\\tencent%20files\\379300943\\FileRecv\\AppData\\Roaming\\Microsoft\\AppData\\Local\\Temp\\ksohtml16632\\wps1.jpg" \* MERGEFORMAT </w:instrText>
            </w:r>
            <w:r>
              <w:rPr>
                <w:rFonts w:hint="default" w:ascii="Times New Roman" w:hAnsi="Times New Roman" w:eastAsia="宋体" w:cs="Times New Roman"/>
                <w:b w:val="0"/>
                <w:bCs w:val="0"/>
                <w:color w:val="auto"/>
                <w:kern w:val="2"/>
                <w:sz w:val="21"/>
                <w:szCs w:val="21"/>
                <w:highlight w:val="none"/>
                <w:lang w:val="en-US" w:eastAsia="zh-CN" w:bidi="ar-SA"/>
              </w:rPr>
              <w:fldChar w:fldCharType="separate"/>
            </w:r>
            <w:r>
              <w:rPr>
                <w:rFonts w:hint="default" w:ascii="Times New Roman" w:hAnsi="Times New Roman" w:eastAsia="宋体" w:cs="Times New Roman"/>
                <w:b w:val="0"/>
                <w:bCs w:val="0"/>
                <w:color w:val="auto"/>
                <w:kern w:val="2"/>
                <w:sz w:val="21"/>
                <w:szCs w:val="21"/>
                <w:highlight w:val="none"/>
                <w:lang w:val="en-US" w:eastAsia="zh-CN" w:bidi="ar-SA"/>
              </w:rPr>
              <w:fldChar w:fldCharType="begin"/>
            </w:r>
            <w:r>
              <w:rPr>
                <w:rFonts w:hint="default" w:ascii="Times New Roman" w:hAnsi="Times New Roman" w:eastAsia="宋体" w:cs="Times New Roman"/>
                <w:color w:val="auto"/>
                <w:sz w:val="21"/>
                <w:szCs w:val="21"/>
                <w:highlight w:val="none"/>
              </w:rPr>
              <w:instrText xml:space="preserve"> INCLUDEPICTURE "D:\\Backup\\Documents\\WeChat Files\\wxid_wxz7byl00f7212\\FileStorage\\lenovo\\AppData\\documents\\tencent%20files\\379300943\\FileRecv\\AppData\\Roaming\\Microsoft\\AppData\\Local\\Temp\\ksohtml16632\\wps1.jpg" \* MERGEFORMAT </w:instrText>
            </w:r>
            <w:r>
              <w:rPr>
                <w:rFonts w:hint="default" w:ascii="Times New Roman" w:hAnsi="Times New Roman" w:eastAsia="宋体" w:cs="Times New Roman"/>
                <w:b w:val="0"/>
                <w:bCs w:val="0"/>
                <w:color w:val="auto"/>
                <w:kern w:val="2"/>
                <w:sz w:val="21"/>
                <w:szCs w:val="21"/>
                <w:highlight w:val="none"/>
                <w:lang w:val="en-US" w:eastAsia="zh-CN" w:bidi="ar-SA"/>
              </w:rPr>
              <w:fldChar w:fldCharType="separate"/>
            </w:r>
            <w:r>
              <w:rPr>
                <w:rFonts w:hint="default" w:ascii="Times New Roman" w:hAnsi="Times New Roman" w:eastAsia="宋体" w:cs="Times New Roman"/>
                <w:b w:val="0"/>
                <w:bCs w:val="0"/>
                <w:color w:val="auto"/>
                <w:kern w:val="2"/>
                <w:sz w:val="21"/>
                <w:szCs w:val="21"/>
                <w:highlight w:val="none"/>
                <w:lang w:val="en-US" w:eastAsia="zh-CN" w:bidi="ar-SA"/>
              </w:rPr>
              <w:fldChar w:fldCharType="begin"/>
            </w:r>
            <w:r>
              <w:rPr>
                <w:rFonts w:hint="default" w:ascii="Times New Roman" w:hAnsi="Times New Roman" w:eastAsia="宋体" w:cs="Times New Roman"/>
                <w:color w:val="auto"/>
                <w:sz w:val="21"/>
                <w:szCs w:val="21"/>
                <w:highlight w:val="none"/>
              </w:rPr>
              <w:instrText xml:space="preserve"> INCLUDEPICTURE "D:\\Backup\\Documents\\WeChat Files\\wxid_wxz7byl00f7212\\FileStorage\\lenovo\\AppData\\documents\\tencent%20files\\379300943\\FileRecv\\AppData\\Roaming\\Microsoft\\AppData\\Local\\Temp\\ksohtml16632\\wps1.jpg" \* MERGEFORMAT </w:instrText>
            </w:r>
            <w:r>
              <w:rPr>
                <w:rFonts w:hint="default" w:ascii="Times New Roman" w:hAnsi="Times New Roman" w:eastAsia="宋体" w:cs="Times New Roman"/>
                <w:b w:val="0"/>
                <w:bCs w:val="0"/>
                <w:color w:val="auto"/>
                <w:kern w:val="2"/>
                <w:sz w:val="21"/>
                <w:szCs w:val="21"/>
                <w:highlight w:val="none"/>
                <w:lang w:val="en-US" w:eastAsia="zh-CN" w:bidi="ar-SA"/>
              </w:rPr>
              <w:fldChar w:fldCharType="separate"/>
            </w:r>
            <w:r>
              <w:rPr>
                <w:rFonts w:hint="default" w:ascii="Times New Roman" w:hAnsi="Times New Roman" w:eastAsia="宋体" w:cs="Times New Roman"/>
                <w:b w:val="0"/>
                <w:bCs w:val="0"/>
                <w:color w:val="auto"/>
                <w:kern w:val="2"/>
                <w:sz w:val="21"/>
                <w:szCs w:val="21"/>
                <w:highlight w:val="none"/>
                <w:lang w:val="en-US" w:eastAsia="zh-CN" w:bidi="ar-SA"/>
              </w:rPr>
              <w:fldChar w:fldCharType="begin"/>
            </w:r>
            <w:r>
              <w:rPr>
                <w:rFonts w:hint="default" w:ascii="Times New Roman" w:hAnsi="Times New Roman" w:eastAsia="宋体" w:cs="Times New Roman"/>
                <w:color w:val="auto"/>
                <w:sz w:val="21"/>
                <w:szCs w:val="21"/>
                <w:highlight w:val="none"/>
              </w:rPr>
              <w:instrText xml:space="preserve"> INCLUDEPICTURE "D:\\Backup\\Documents\\WeChat Files\\wxid_wxz7byl00f7212\\FileStorage\\lenovo\\AppData\\documents\\tencent%20files\\379300943\\FileRecv\\AppData\\Roaming\\Microsoft\\AppData\\Local\\Temp\\ksohtml16632\\wps1.jpg" \* MERGEFORMAT </w:instrText>
            </w:r>
            <w:r>
              <w:rPr>
                <w:rFonts w:hint="default" w:ascii="Times New Roman" w:hAnsi="Times New Roman" w:eastAsia="宋体" w:cs="Times New Roman"/>
                <w:b w:val="0"/>
                <w:bCs w:val="0"/>
                <w:color w:val="auto"/>
                <w:kern w:val="2"/>
                <w:sz w:val="21"/>
                <w:szCs w:val="21"/>
                <w:highlight w:val="none"/>
                <w:lang w:val="en-US" w:eastAsia="zh-CN" w:bidi="ar-SA"/>
              </w:rPr>
              <w:fldChar w:fldCharType="separate"/>
            </w:r>
            <w:r>
              <w:rPr>
                <w:rFonts w:hint="default" w:ascii="Times New Roman" w:hAnsi="Times New Roman" w:eastAsia="宋体" w:cs="Times New Roman"/>
                <w:b w:val="0"/>
                <w:bCs w:val="0"/>
                <w:color w:val="auto"/>
                <w:kern w:val="2"/>
                <w:sz w:val="21"/>
                <w:szCs w:val="21"/>
                <w:highlight w:val="none"/>
                <w:lang w:val="en-US" w:eastAsia="zh-CN" w:bidi="ar-SA"/>
              </w:rPr>
              <w:fldChar w:fldCharType="begin"/>
            </w:r>
            <w:r>
              <w:rPr>
                <w:rFonts w:hint="default" w:ascii="Times New Roman" w:hAnsi="Times New Roman" w:eastAsia="宋体" w:cs="Times New Roman"/>
                <w:color w:val="auto"/>
                <w:sz w:val="21"/>
                <w:szCs w:val="21"/>
                <w:highlight w:val="none"/>
              </w:rPr>
              <w:instrText xml:space="preserve"> INCLUDEPICTURE "D:\\Backup\\Documents\\WeChat Files\\wxid_wxz7byl00f7212\\FileStorage\\lenovo\\AppData\\新建文件夹\\绿凌\\18、荣艺灯饰\\documents\\tencent%20files\\379300943\\FileRecv\\AppData\\Roaming\\Microsoft\\AppData\\Local\\Temp\\ksohtml16632\\wps1.jpg" \* MERGEFORMAT </w:instrText>
            </w:r>
            <w:r>
              <w:rPr>
                <w:rFonts w:hint="default" w:ascii="Times New Roman" w:hAnsi="Times New Roman" w:eastAsia="宋体" w:cs="Times New Roman"/>
                <w:b w:val="0"/>
                <w:bCs w:val="0"/>
                <w:color w:val="auto"/>
                <w:kern w:val="2"/>
                <w:sz w:val="21"/>
                <w:szCs w:val="21"/>
                <w:highlight w:val="none"/>
                <w:lang w:val="en-US" w:eastAsia="zh-CN" w:bidi="ar-SA"/>
              </w:rPr>
              <w:fldChar w:fldCharType="separate"/>
            </w:r>
            <w:r>
              <w:rPr>
                <w:rFonts w:hint="default" w:ascii="Times New Roman" w:hAnsi="Times New Roman" w:eastAsia="宋体" w:cs="Times New Roman"/>
                <w:b w:val="0"/>
                <w:bCs w:val="0"/>
                <w:color w:val="auto"/>
                <w:kern w:val="2"/>
                <w:sz w:val="21"/>
                <w:szCs w:val="21"/>
                <w:highlight w:val="none"/>
                <w:lang w:val="en-US" w:eastAsia="zh-CN" w:bidi="ar-SA"/>
              </w:rPr>
              <w:fldChar w:fldCharType="begin"/>
            </w:r>
            <w:r>
              <w:rPr>
                <w:rFonts w:hint="default" w:ascii="Times New Roman" w:hAnsi="Times New Roman" w:eastAsia="宋体" w:cs="Times New Roman"/>
                <w:color w:val="auto"/>
                <w:sz w:val="21"/>
                <w:szCs w:val="21"/>
                <w:highlight w:val="none"/>
              </w:rPr>
              <w:instrText xml:space="preserve"> INCLUDEPICTURE "D:\\Backup\\Documents\\WeChat Files\\wxid_wxz7byl00f7212\\FileStorage\\lenovo\\AppData\\新建文件夹\\绿凌\\18、荣艺灯饰\\documents\\tencent%20files\\379300943\\FileRecv\\AppData\\Roaming\\Microsoft\\AppData\\Local\\Temp\\ksohtml16632\\wps1.jpg" \* MERGEFORMAT </w:instrText>
            </w:r>
            <w:r>
              <w:rPr>
                <w:rFonts w:hint="default" w:ascii="Times New Roman" w:hAnsi="Times New Roman" w:eastAsia="宋体" w:cs="Times New Roman"/>
                <w:b w:val="0"/>
                <w:bCs w:val="0"/>
                <w:color w:val="auto"/>
                <w:kern w:val="2"/>
                <w:sz w:val="21"/>
                <w:szCs w:val="21"/>
                <w:highlight w:val="none"/>
                <w:lang w:val="en-US" w:eastAsia="zh-CN" w:bidi="ar-SA"/>
              </w:rPr>
              <w:fldChar w:fldCharType="separate"/>
            </w:r>
            <w:r>
              <w:rPr>
                <w:rFonts w:hint="default" w:ascii="Times New Roman" w:hAnsi="Times New Roman" w:eastAsia="宋体" w:cs="Times New Roman"/>
                <w:b w:val="0"/>
                <w:bCs w:val="0"/>
                <w:color w:val="auto"/>
                <w:kern w:val="2"/>
                <w:sz w:val="21"/>
                <w:szCs w:val="21"/>
                <w:highlight w:val="none"/>
                <w:lang w:val="en-US" w:eastAsia="zh-CN" w:bidi="ar-SA"/>
              </w:rPr>
              <w:fldChar w:fldCharType="begin"/>
            </w:r>
            <w:r>
              <w:rPr>
                <w:rFonts w:hint="default" w:ascii="Times New Roman" w:hAnsi="Times New Roman" w:eastAsia="宋体" w:cs="Times New Roman"/>
                <w:color w:val="auto"/>
                <w:sz w:val="21"/>
                <w:szCs w:val="21"/>
                <w:highlight w:val="none"/>
              </w:rPr>
              <w:instrText xml:space="preserve"> INCLUDEPICTURE "D:\\Backup\\Documents\\WeChat Files\\wxid_wxz7byl00f7212\\FileStorage\\lenovo\\AppData\\新建文件夹\\绿凌\\18、荣艺灯饰\\documents\\tencent%20files\\379300943\\FileRecv\\AppData\\Roaming\\Microsoft\\AppData\\Local\\Temp\\ksohtml16632\\wps1.jpg" \* MERGEFORMAT </w:instrText>
            </w:r>
            <w:r>
              <w:rPr>
                <w:rFonts w:hint="default" w:ascii="Times New Roman" w:hAnsi="Times New Roman" w:eastAsia="宋体" w:cs="Times New Roman"/>
                <w:b w:val="0"/>
                <w:bCs w:val="0"/>
                <w:color w:val="auto"/>
                <w:kern w:val="2"/>
                <w:sz w:val="21"/>
                <w:szCs w:val="21"/>
                <w:highlight w:val="none"/>
                <w:lang w:val="en-US" w:eastAsia="zh-CN" w:bidi="ar-SA"/>
              </w:rPr>
              <w:fldChar w:fldCharType="separate"/>
            </w:r>
            <w:r>
              <w:rPr>
                <w:rFonts w:hint="default" w:ascii="Times New Roman" w:hAnsi="Times New Roman" w:eastAsia="宋体" w:cs="Times New Roman"/>
                <w:b w:val="0"/>
                <w:bCs w:val="0"/>
                <w:color w:val="auto"/>
                <w:kern w:val="2"/>
                <w:sz w:val="21"/>
                <w:szCs w:val="21"/>
                <w:highlight w:val="none"/>
                <w:lang w:val="en-US" w:eastAsia="zh-CN" w:bidi="ar-SA"/>
              </w:rPr>
              <w:drawing>
                <wp:inline distT="0" distB="0" distL="114300" distR="114300">
                  <wp:extent cx="1838325" cy="352425"/>
                  <wp:effectExtent l="0" t="0" r="0" b="0"/>
                  <wp:docPr id="129" name="图片 1" descr="wp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 descr="wps1"/>
                          <pic:cNvPicPr>
                            <a:picLocks noChangeAspect="1"/>
                          </pic:cNvPicPr>
                        </pic:nvPicPr>
                        <pic:blipFill>
                          <a:blip r:embed="rId21"/>
                          <a:stretch>
                            <a:fillRect/>
                          </a:stretch>
                        </pic:blipFill>
                        <pic:spPr>
                          <a:xfrm>
                            <a:off x="0" y="0"/>
                            <a:ext cx="1838325" cy="352425"/>
                          </a:xfrm>
                          <a:prstGeom prst="rect">
                            <a:avLst/>
                          </a:prstGeom>
                          <a:noFill/>
                          <a:ln>
                            <a:noFill/>
                          </a:ln>
                        </pic:spPr>
                      </pic:pic>
                    </a:graphicData>
                  </a:graphic>
                </wp:inline>
              </w:drawing>
            </w:r>
            <w:r>
              <w:rPr>
                <w:rFonts w:hint="default" w:ascii="Times New Roman" w:hAnsi="Times New Roman" w:eastAsia="宋体" w:cs="Times New Roman"/>
                <w:b w:val="0"/>
                <w:bCs w:val="0"/>
                <w:color w:val="auto"/>
                <w:kern w:val="2"/>
                <w:sz w:val="21"/>
                <w:szCs w:val="21"/>
                <w:highlight w:val="none"/>
                <w:lang w:val="en-US" w:eastAsia="zh-CN" w:bidi="ar-SA"/>
              </w:rPr>
              <w:fldChar w:fldCharType="end"/>
            </w:r>
            <w:r>
              <w:rPr>
                <w:rFonts w:hint="default" w:ascii="Times New Roman" w:hAnsi="Times New Roman" w:eastAsia="宋体" w:cs="Times New Roman"/>
                <w:b w:val="0"/>
                <w:bCs w:val="0"/>
                <w:color w:val="auto"/>
                <w:kern w:val="2"/>
                <w:sz w:val="21"/>
                <w:szCs w:val="21"/>
                <w:highlight w:val="none"/>
                <w:lang w:val="en-US" w:eastAsia="zh-CN" w:bidi="ar-SA"/>
              </w:rPr>
              <w:fldChar w:fldCharType="end"/>
            </w:r>
            <w:r>
              <w:rPr>
                <w:rFonts w:hint="default" w:ascii="Times New Roman" w:hAnsi="Times New Roman" w:eastAsia="宋体" w:cs="Times New Roman"/>
                <w:b w:val="0"/>
                <w:bCs w:val="0"/>
                <w:color w:val="auto"/>
                <w:kern w:val="2"/>
                <w:sz w:val="21"/>
                <w:szCs w:val="21"/>
                <w:highlight w:val="none"/>
                <w:lang w:val="en-US" w:eastAsia="zh-CN" w:bidi="ar-SA"/>
              </w:rPr>
              <w:fldChar w:fldCharType="end"/>
            </w:r>
            <w:r>
              <w:rPr>
                <w:rFonts w:hint="default" w:ascii="Times New Roman" w:hAnsi="Times New Roman" w:eastAsia="宋体" w:cs="Times New Roman"/>
                <w:b w:val="0"/>
                <w:bCs w:val="0"/>
                <w:color w:val="auto"/>
                <w:kern w:val="2"/>
                <w:sz w:val="21"/>
                <w:szCs w:val="21"/>
                <w:highlight w:val="none"/>
                <w:lang w:val="en-US" w:eastAsia="zh-CN" w:bidi="ar-SA"/>
              </w:rPr>
              <w:fldChar w:fldCharType="end"/>
            </w:r>
            <w:r>
              <w:rPr>
                <w:rFonts w:hint="default" w:ascii="Times New Roman" w:hAnsi="Times New Roman" w:eastAsia="宋体" w:cs="Times New Roman"/>
                <w:b w:val="0"/>
                <w:bCs w:val="0"/>
                <w:color w:val="auto"/>
                <w:kern w:val="2"/>
                <w:sz w:val="21"/>
                <w:szCs w:val="21"/>
                <w:highlight w:val="none"/>
                <w:lang w:val="en-US" w:eastAsia="zh-CN" w:bidi="ar-SA"/>
              </w:rPr>
              <w:fldChar w:fldCharType="end"/>
            </w:r>
            <w:r>
              <w:rPr>
                <w:rFonts w:hint="default" w:ascii="Times New Roman" w:hAnsi="Times New Roman" w:eastAsia="宋体" w:cs="Times New Roman"/>
                <w:b w:val="0"/>
                <w:bCs w:val="0"/>
                <w:color w:val="auto"/>
                <w:kern w:val="2"/>
                <w:sz w:val="21"/>
                <w:szCs w:val="21"/>
                <w:highlight w:val="none"/>
                <w:lang w:val="en-US" w:eastAsia="zh-CN" w:bidi="ar-SA"/>
              </w:rPr>
              <w:fldChar w:fldCharType="end"/>
            </w:r>
            <w:r>
              <w:rPr>
                <w:rFonts w:hint="default" w:ascii="Times New Roman" w:hAnsi="Times New Roman" w:eastAsia="宋体" w:cs="Times New Roman"/>
                <w:b w:val="0"/>
                <w:bCs w:val="0"/>
                <w:color w:val="auto"/>
                <w:kern w:val="2"/>
                <w:sz w:val="21"/>
                <w:szCs w:val="21"/>
                <w:highlight w:val="none"/>
                <w:lang w:val="en-US" w:eastAsia="zh-CN" w:bidi="ar-SA"/>
              </w:rPr>
              <w:fldChar w:fldCharType="end"/>
            </w:r>
            <w:r>
              <w:rPr>
                <w:rFonts w:hint="default" w:ascii="Times New Roman" w:hAnsi="Times New Roman" w:eastAsia="宋体" w:cs="Times New Roman"/>
                <w:b w:val="0"/>
                <w:bCs w:val="0"/>
                <w:color w:val="auto"/>
                <w:kern w:val="2"/>
                <w:sz w:val="21"/>
                <w:szCs w:val="21"/>
                <w:highlight w:val="none"/>
                <w:lang w:val="en-US" w:eastAsia="zh-CN" w:bidi="ar-SA"/>
              </w:rPr>
              <w:tab/>
            </w:r>
          </w:p>
          <w:p w14:paraId="74086C00">
            <w:pPr>
              <w:pStyle w:val="24"/>
              <w:keepNext w:val="0"/>
              <w:keepLines w:val="0"/>
              <w:pageBreakBefore w:val="0"/>
              <w:widowControl w:val="0"/>
              <w:numPr>
                <w:ilvl w:val="0"/>
                <w:numId w:val="0"/>
              </w:numPr>
              <w:shd w:val="clear"/>
              <w:kinsoku/>
              <w:wordWrap/>
              <w:overflowPunct/>
              <w:topLinePunct w:val="0"/>
              <w:autoSpaceDE/>
              <w:autoSpaceDN/>
              <w:bidi w:val="0"/>
              <w:adjustRightInd/>
              <w:snapToGrid w:val="0"/>
              <w:spacing w:after="0" w:line="360" w:lineRule="auto"/>
              <w:ind w:leftChars="0" w:firstLine="420" w:firstLineChars="200"/>
              <w:jc w:val="both"/>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式中：</w:t>
            </w:r>
            <w:r>
              <w:rPr>
                <w:rFonts w:hint="eastAsia" w:cs="Times New Roman"/>
                <w:b w:val="0"/>
                <w:bCs w:val="0"/>
                <w:color w:val="auto"/>
                <w:kern w:val="2"/>
                <w:sz w:val="21"/>
                <w:szCs w:val="21"/>
                <w:highlight w:val="none"/>
                <w:lang w:val="en-US" w:eastAsia="zh-CN" w:bidi="ar-SA"/>
              </w:rPr>
              <w:t>q</w:t>
            </w:r>
            <w:r>
              <w:rPr>
                <w:rFonts w:hint="default" w:ascii="Times New Roman" w:hAnsi="Times New Roman" w:eastAsia="宋体" w:cs="Times New Roman"/>
                <w:b w:val="0"/>
                <w:bCs w:val="0"/>
                <w:color w:val="auto"/>
                <w:kern w:val="2"/>
                <w:sz w:val="21"/>
                <w:szCs w:val="21"/>
                <w:highlight w:val="none"/>
                <w:vertAlign w:val="subscript"/>
                <w:lang w:val="en-US" w:eastAsia="zh-CN" w:bidi="ar-SA"/>
              </w:rPr>
              <w:t>1</w:t>
            </w:r>
            <w:r>
              <w:rPr>
                <w:rFonts w:hint="default" w:ascii="Times New Roman" w:hAnsi="Times New Roman" w:eastAsia="宋体" w:cs="Times New Roman"/>
                <w:b w:val="0"/>
                <w:bCs w:val="0"/>
                <w:color w:val="auto"/>
                <w:kern w:val="2"/>
                <w:sz w:val="21"/>
                <w:szCs w:val="21"/>
                <w:highlight w:val="none"/>
                <w:lang w:val="en-US" w:eastAsia="zh-CN" w:bidi="ar-SA"/>
              </w:rPr>
              <w:t>，q</w:t>
            </w:r>
            <w:r>
              <w:rPr>
                <w:rFonts w:hint="default" w:ascii="Times New Roman" w:hAnsi="Times New Roman" w:eastAsia="宋体" w:cs="Times New Roman"/>
                <w:b w:val="0"/>
                <w:bCs w:val="0"/>
                <w:color w:val="auto"/>
                <w:kern w:val="2"/>
                <w:sz w:val="21"/>
                <w:szCs w:val="21"/>
                <w:highlight w:val="none"/>
                <w:vertAlign w:val="subscript"/>
                <w:lang w:val="en-US" w:eastAsia="zh-CN" w:bidi="ar-SA"/>
              </w:rPr>
              <w:t>2</w:t>
            </w:r>
            <w:r>
              <w:rPr>
                <w:rFonts w:hint="default" w:ascii="Times New Roman" w:hAnsi="Times New Roman" w:eastAsia="宋体" w:cs="Times New Roman"/>
                <w:b w:val="0"/>
                <w:bCs w:val="0"/>
                <w:color w:val="auto"/>
                <w:kern w:val="2"/>
                <w:sz w:val="21"/>
                <w:szCs w:val="21"/>
                <w:highlight w:val="none"/>
                <w:lang w:val="en-US" w:eastAsia="zh-CN" w:bidi="ar-SA"/>
              </w:rPr>
              <w:fldChar w:fldCharType="begin"/>
            </w:r>
            <w:r>
              <w:rPr>
                <w:rFonts w:hint="default" w:ascii="Times New Roman" w:hAnsi="Times New Roman" w:eastAsia="宋体" w:cs="Times New Roman"/>
                <w:color w:val="auto"/>
                <w:sz w:val="21"/>
                <w:szCs w:val="21"/>
                <w:highlight w:val="none"/>
              </w:rPr>
              <w:instrText xml:space="preserve"> INCLUDEPICTURE "D:\\Backup\\Documents\\WeChat Files\\wxid_wxz7byl00f7212\\FileStorage\\lenovo\\AppData\\documents\\tencent%20files\\379300943\\FileRecv\\AppData\\Roaming\\Microsoft\\AppData\\Local\\Temp\\ksohtml16632\\wps2.jpg" \* MERGEFORMAT </w:instrText>
            </w:r>
            <w:r>
              <w:rPr>
                <w:rFonts w:hint="default" w:ascii="Times New Roman" w:hAnsi="Times New Roman" w:eastAsia="宋体" w:cs="Times New Roman"/>
                <w:b w:val="0"/>
                <w:bCs w:val="0"/>
                <w:color w:val="auto"/>
                <w:kern w:val="2"/>
                <w:sz w:val="21"/>
                <w:szCs w:val="21"/>
                <w:highlight w:val="none"/>
                <w:lang w:val="en-US" w:eastAsia="zh-CN" w:bidi="ar-SA"/>
              </w:rPr>
              <w:fldChar w:fldCharType="separate"/>
            </w:r>
            <w:r>
              <w:rPr>
                <w:rFonts w:hint="default" w:ascii="Times New Roman" w:hAnsi="Times New Roman" w:eastAsia="宋体" w:cs="Times New Roman"/>
                <w:b w:val="0"/>
                <w:bCs w:val="0"/>
                <w:color w:val="auto"/>
                <w:kern w:val="2"/>
                <w:sz w:val="21"/>
                <w:szCs w:val="21"/>
                <w:highlight w:val="none"/>
                <w:lang w:val="en-US" w:eastAsia="zh-CN" w:bidi="ar-SA"/>
              </w:rPr>
              <w:fldChar w:fldCharType="begin"/>
            </w:r>
            <w:r>
              <w:rPr>
                <w:rFonts w:hint="default" w:ascii="Times New Roman" w:hAnsi="Times New Roman" w:eastAsia="宋体" w:cs="Times New Roman"/>
                <w:color w:val="auto"/>
                <w:sz w:val="21"/>
                <w:szCs w:val="21"/>
                <w:highlight w:val="none"/>
              </w:rPr>
              <w:instrText xml:space="preserve"> INCLUDEPICTURE "D:\\Backup\\Documents\\WeChat Files\\wxid_wxz7byl00f7212\\FileStorage\\lenovo\\AppData\\documents\\tencent%20files\\379300943\\FileRecv\\AppData\\Roaming\\Microsoft\\AppData\\Local\\Temp\\ksohtml16632\\wps2.jpg" \* MERGEFORMAT </w:instrText>
            </w:r>
            <w:r>
              <w:rPr>
                <w:rFonts w:hint="default" w:ascii="Times New Roman" w:hAnsi="Times New Roman" w:eastAsia="宋体" w:cs="Times New Roman"/>
                <w:b w:val="0"/>
                <w:bCs w:val="0"/>
                <w:color w:val="auto"/>
                <w:kern w:val="2"/>
                <w:sz w:val="21"/>
                <w:szCs w:val="21"/>
                <w:highlight w:val="none"/>
                <w:lang w:val="en-US" w:eastAsia="zh-CN" w:bidi="ar-SA"/>
              </w:rPr>
              <w:fldChar w:fldCharType="separate"/>
            </w:r>
            <w:r>
              <w:rPr>
                <w:rFonts w:hint="default" w:ascii="Times New Roman" w:hAnsi="Times New Roman" w:eastAsia="宋体" w:cs="Times New Roman"/>
                <w:b w:val="0"/>
                <w:bCs w:val="0"/>
                <w:color w:val="auto"/>
                <w:kern w:val="2"/>
                <w:sz w:val="21"/>
                <w:szCs w:val="21"/>
                <w:highlight w:val="none"/>
                <w:lang w:val="en-US" w:eastAsia="zh-CN" w:bidi="ar-SA"/>
              </w:rPr>
              <w:fldChar w:fldCharType="begin"/>
            </w:r>
            <w:r>
              <w:rPr>
                <w:rFonts w:hint="default" w:ascii="Times New Roman" w:hAnsi="Times New Roman" w:eastAsia="宋体" w:cs="Times New Roman"/>
                <w:color w:val="auto"/>
                <w:sz w:val="21"/>
                <w:szCs w:val="21"/>
                <w:highlight w:val="none"/>
              </w:rPr>
              <w:instrText xml:space="preserve"> INCLUDEPICTURE "D:\\Backup\\Documents\\WeChat Files\\wxid_wxz7byl00f7212\\FileStorage\\lenovo\\AppData\\documents\\tencent%20files\\379300943\\FileRecv\\AppData\\Roaming\\Microsoft\\AppData\\Local\\Temp\\ksohtml16632\\wps2.jpg" \* MERGEFORMAT </w:instrText>
            </w:r>
            <w:r>
              <w:rPr>
                <w:rFonts w:hint="default" w:ascii="Times New Roman" w:hAnsi="Times New Roman" w:eastAsia="宋体" w:cs="Times New Roman"/>
                <w:b w:val="0"/>
                <w:bCs w:val="0"/>
                <w:color w:val="auto"/>
                <w:kern w:val="2"/>
                <w:sz w:val="21"/>
                <w:szCs w:val="21"/>
                <w:highlight w:val="none"/>
                <w:lang w:val="en-US" w:eastAsia="zh-CN" w:bidi="ar-SA"/>
              </w:rPr>
              <w:fldChar w:fldCharType="separate"/>
            </w:r>
            <w:r>
              <w:rPr>
                <w:rFonts w:hint="default" w:ascii="Times New Roman" w:hAnsi="Times New Roman" w:eastAsia="宋体" w:cs="Times New Roman"/>
                <w:b w:val="0"/>
                <w:bCs w:val="0"/>
                <w:color w:val="auto"/>
                <w:kern w:val="2"/>
                <w:sz w:val="21"/>
                <w:szCs w:val="21"/>
                <w:highlight w:val="none"/>
                <w:lang w:val="en-US" w:eastAsia="zh-CN" w:bidi="ar-SA"/>
              </w:rPr>
              <w:fldChar w:fldCharType="begin"/>
            </w:r>
            <w:r>
              <w:rPr>
                <w:rFonts w:hint="default" w:ascii="Times New Roman" w:hAnsi="Times New Roman" w:eastAsia="宋体" w:cs="Times New Roman"/>
                <w:color w:val="auto"/>
                <w:sz w:val="21"/>
                <w:szCs w:val="21"/>
                <w:highlight w:val="none"/>
              </w:rPr>
              <w:instrText xml:space="preserve"> INCLUDEPICTURE "D:\\Backup\\Documents\\WeChat Files\\wxid_wxz7byl00f7212\\FileStorage\\lenovo\\AppData\\documents\\tencent%20files\\379300943\\FileRecv\\AppData\\Roaming\\Microsoft\\AppData\\Local\\Temp\\ksohtml16632\\wps2.jpg" \* MERGEFORMAT </w:instrText>
            </w:r>
            <w:r>
              <w:rPr>
                <w:rFonts w:hint="default" w:ascii="Times New Roman" w:hAnsi="Times New Roman" w:eastAsia="宋体" w:cs="Times New Roman"/>
                <w:b w:val="0"/>
                <w:bCs w:val="0"/>
                <w:color w:val="auto"/>
                <w:kern w:val="2"/>
                <w:sz w:val="21"/>
                <w:szCs w:val="21"/>
                <w:highlight w:val="none"/>
                <w:lang w:val="en-US" w:eastAsia="zh-CN" w:bidi="ar-SA"/>
              </w:rPr>
              <w:fldChar w:fldCharType="separate"/>
            </w:r>
            <w:r>
              <w:rPr>
                <w:rFonts w:hint="default" w:ascii="Times New Roman" w:hAnsi="Times New Roman" w:eastAsia="宋体" w:cs="Times New Roman"/>
                <w:b w:val="0"/>
                <w:bCs w:val="0"/>
                <w:color w:val="auto"/>
                <w:kern w:val="2"/>
                <w:sz w:val="21"/>
                <w:szCs w:val="21"/>
                <w:highlight w:val="none"/>
                <w:lang w:val="en-US" w:eastAsia="zh-CN" w:bidi="ar-SA"/>
              </w:rPr>
              <w:fldChar w:fldCharType="begin"/>
            </w:r>
            <w:r>
              <w:rPr>
                <w:rFonts w:hint="default" w:ascii="Times New Roman" w:hAnsi="Times New Roman" w:eastAsia="宋体" w:cs="Times New Roman"/>
                <w:color w:val="auto"/>
                <w:sz w:val="21"/>
                <w:szCs w:val="21"/>
                <w:highlight w:val="none"/>
              </w:rPr>
              <w:instrText xml:space="preserve"> INCLUDEPICTURE "D:\\Backup\\Documents\\WeChat Files\\wxid_wxz7byl00f7212\\FileStorage\\lenovo\\AppData\\新建文件夹\\绿凌\\18、荣艺灯饰\\documents\\tencent%20files\\379300943\\FileRecv\\AppData\\Roaming\\Microsoft\\AppData\\Local\\Temp\\ksohtml16632\\wps2.jpg" \* MERGEFORMAT </w:instrText>
            </w:r>
            <w:r>
              <w:rPr>
                <w:rFonts w:hint="default" w:ascii="Times New Roman" w:hAnsi="Times New Roman" w:eastAsia="宋体" w:cs="Times New Roman"/>
                <w:b w:val="0"/>
                <w:bCs w:val="0"/>
                <w:color w:val="auto"/>
                <w:kern w:val="2"/>
                <w:sz w:val="21"/>
                <w:szCs w:val="21"/>
                <w:highlight w:val="none"/>
                <w:lang w:val="en-US" w:eastAsia="zh-CN" w:bidi="ar-SA"/>
              </w:rPr>
              <w:fldChar w:fldCharType="separate"/>
            </w:r>
            <w:r>
              <w:rPr>
                <w:rFonts w:hint="default" w:ascii="Times New Roman" w:hAnsi="Times New Roman" w:eastAsia="宋体" w:cs="Times New Roman"/>
                <w:b w:val="0"/>
                <w:bCs w:val="0"/>
                <w:color w:val="auto"/>
                <w:kern w:val="2"/>
                <w:sz w:val="21"/>
                <w:szCs w:val="21"/>
                <w:highlight w:val="none"/>
                <w:lang w:val="en-US" w:eastAsia="zh-CN" w:bidi="ar-SA"/>
              </w:rPr>
              <w:fldChar w:fldCharType="begin"/>
            </w:r>
            <w:r>
              <w:rPr>
                <w:rFonts w:hint="default" w:ascii="Times New Roman" w:hAnsi="Times New Roman" w:eastAsia="宋体" w:cs="Times New Roman"/>
                <w:color w:val="auto"/>
                <w:sz w:val="21"/>
                <w:szCs w:val="21"/>
                <w:highlight w:val="none"/>
              </w:rPr>
              <w:instrText xml:space="preserve"> INCLUDEPICTURE "D:\\Backup\\Documents\\WeChat Files\\wxid_wxz7byl00f7212\\FileStorage\\lenovo\\AppData\\新建文件夹\\绿凌\\18、荣艺灯饰\\documents\\tencent%20files\\379300943\\FileRecv\\AppData\\Roaming\\Microsoft\\AppData\\Local\\Temp\\ksohtml16632\\wps2.jpg" \* MERGEFORMAT </w:instrText>
            </w:r>
            <w:r>
              <w:rPr>
                <w:rFonts w:hint="default" w:ascii="Times New Roman" w:hAnsi="Times New Roman" w:eastAsia="宋体" w:cs="Times New Roman"/>
                <w:b w:val="0"/>
                <w:bCs w:val="0"/>
                <w:color w:val="auto"/>
                <w:kern w:val="2"/>
                <w:sz w:val="21"/>
                <w:szCs w:val="21"/>
                <w:highlight w:val="none"/>
                <w:lang w:val="en-US" w:eastAsia="zh-CN" w:bidi="ar-SA"/>
              </w:rPr>
              <w:fldChar w:fldCharType="separate"/>
            </w:r>
            <w:r>
              <w:rPr>
                <w:rFonts w:hint="default" w:ascii="Times New Roman" w:hAnsi="Times New Roman" w:eastAsia="宋体" w:cs="Times New Roman"/>
                <w:b w:val="0"/>
                <w:bCs w:val="0"/>
                <w:color w:val="auto"/>
                <w:kern w:val="2"/>
                <w:sz w:val="21"/>
                <w:szCs w:val="21"/>
                <w:highlight w:val="none"/>
                <w:lang w:val="en-US" w:eastAsia="zh-CN" w:bidi="ar-SA"/>
              </w:rPr>
              <w:fldChar w:fldCharType="begin"/>
            </w:r>
            <w:r>
              <w:rPr>
                <w:rFonts w:hint="default" w:ascii="Times New Roman" w:hAnsi="Times New Roman" w:eastAsia="宋体" w:cs="Times New Roman"/>
                <w:color w:val="auto"/>
                <w:sz w:val="21"/>
                <w:szCs w:val="21"/>
                <w:highlight w:val="none"/>
              </w:rPr>
              <w:instrText xml:space="preserve"> INCLUDEPICTURE "D:\\Backup\\Documents\\WeChat Files\\wxid_wxz7byl00f7212\\FileStorage\\lenovo\\AppData\\新建文件夹\\绿凌\\18、荣艺灯饰\\documents\\tencent%20files\\379300943\\FileRecv\\AppData\\Roaming\\Microsoft\\AppData\\Local\\Temp\\ksohtml16632\\wps2.jpg" \* MERGEFORMAT </w:instrText>
            </w:r>
            <w:r>
              <w:rPr>
                <w:rFonts w:hint="default" w:ascii="Times New Roman" w:hAnsi="Times New Roman" w:eastAsia="宋体" w:cs="Times New Roman"/>
                <w:b w:val="0"/>
                <w:bCs w:val="0"/>
                <w:color w:val="auto"/>
                <w:kern w:val="2"/>
                <w:sz w:val="21"/>
                <w:szCs w:val="21"/>
                <w:highlight w:val="none"/>
                <w:lang w:val="en-US" w:eastAsia="zh-CN" w:bidi="ar-SA"/>
              </w:rPr>
              <w:fldChar w:fldCharType="separate"/>
            </w:r>
            <w:r>
              <w:rPr>
                <w:rFonts w:hint="default" w:ascii="Times New Roman" w:hAnsi="Times New Roman" w:eastAsia="宋体" w:cs="Times New Roman"/>
                <w:b w:val="0"/>
                <w:bCs w:val="0"/>
                <w:color w:val="auto"/>
                <w:kern w:val="2"/>
                <w:sz w:val="21"/>
                <w:szCs w:val="21"/>
                <w:highlight w:val="none"/>
                <w:lang w:val="en-US" w:eastAsia="zh-CN" w:bidi="ar-SA"/>
              </w:rPr>
              <w:drawing>
                <wp:inline distT="0" distB="0" distL="114300" distR="114300">
                  <wp:extent cx="533400" cy="361950"/>
                  <wp:effectExtent l="0" t="0" r="0" b="0"/>
                  <wp:docPr id="130" name="图片 2" descr="wp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2" descr="wps3"/>
                          <pic:cNvPicPr>
                            <a:picLocks noChangeAspect="1"/>
                          </pic:cNvPicPr>
                        </pic:nvPicPr>
                        <pic:blipFill>
                          <a:blip r:embed="rId22"/>
                          <a:stretch>
                            <a:fillRect/>
                          </a:stretch>
                        </pic:blipFill>
                        <pic:spPr>
                          <a:xfrm>
                            <a:off x="0" y="0"/>
                            <a:ext cx="533400" cy="361950"/>
                          </a:xfrm>
                          <a:prstGeom prst="rect">
                            <a:avLst/>
                          </a:prstGeom>
                          <a:noFill/>
                          <a:ln>
                            <a:noFill/>
                          </a:ln>
                        </pic:spPr>
                      </pic:pic>
                    </a:graphicData>
                  </a:graphic>
                </wp:inline>
              </w:drawing>
            </w:r>
            <w:r>
              <w:rPr>
                <w:rFonts w:hint="default" w:ascii="Times New Roman" w:hAnsi="Times New Roman" w:eastAsia="宋体" w:cs="Times New Roman"/>
                <w:b w:val="0"/>
                <w:bCs w:val="0"/>
                <w:color w:val="auto"/>
                <w:kern w:val="2"/>
                <w:sz w:val="21"/>
                <w:szCs w:val="21"/>
                <w:highlight w:val="none"/>
                <w:lang w:val="en-US" w:eastAsia="zh-CN" w:bidi="ar-SA"/>
              </w:rPr>
              <w:fldChar w:fldCharType="end"/>
            </w:r>
            <w:r>
              <w:rPr>
                <w:rFonts w:hint="default" w:ascii="Times New Roman" w:hAnsi="Times New Roman" w:eastAsia="宋体" w:cs="Times New Roman"/>
                <w:b w:val="0"/>
                <w:bCs w:val="0"/>
                <w:color w:val="auto"/>
                <w:kern w:val="2"/>
                <w:sz w:val="21"/>
                <w:szCs w:val="21"/>
                <w:highlight w:val="none"/>
                <w:lang w:val="en-US" w:eastAsia="zh-CN" w:bidi="ar-SA"/>
              </w:rPr>
              <w:fldChar w:fldCharType="end"/>
            </w:r>
            <w:r>
              <w:rPr>
                <w:rFonts w:hint="default" w:ascii="Times New Roman" w:hAnsi="Times New Roman" w:eastAsia="宋体" w:cs="Times New Roman"/>
                <w:b w:val="0"/>
                <w:bCs w:val="0"/>
                <w:color w:val="auto"/>
                <w:kern w:val="2"/>
                <w:sz w:val="21"/>
                <w:szCs w:val="21"/>
                <w:highlight w:val="none"/>
                <w:lang w:val="en-US" w:eastAsia="zh-CN" w:bidi="ar-SA"/>
              </w:rPr>
              <w:fldChar w:fldCharType="end"/>
            </w:r>
            <w:r>
              <w:rPr>
                <w:rFonts w:hint="default" w:ascii="Times New Roman" w:hAnsi="Times New Roman" w:eastAsia="宋体" w:cs="Times New Roman"/>
                <w:b w:val="0"/>
                <w:bCs w:val="0"/>
                <w:color w:val="auto"/>
                <w:kern w:val="2"/>
                <w:sz w:val="21"/>
                <w:szCs w:val="21"/>
                <w:highlight w:val="none"/>
                <w:lang w:val="en-US" w:eastAsia="zh-CN" w:bidi="ar-SA"/>
              </w:rPr>
              <w:fldChar w:fldCharType="end"/>
            </w:r>
            <w:r>
              <w:rPr>
                <w:rFonts w:hint="default" w:ascii="Times New Roman" w:hAnsi="Times New Roman" w:eastAsia="宋体" w:cs="Times New Roman"/>
                <w:b w:val="0"/>
                <w:bCs w:val="0"/>
                <w:color w:val="auto"/>
                <w:kern w:val="2"/>
                <w:sz w:val="21"/>
                <w:szCs w:val="21"/>
                <w:highlight w:val="none"/>
                <w:lang w:val="en-US" w:eastAsia="zh-CN" w:bidi="ar-SA"/>
              </w:rPr>
              <w:fldChar w:fldCharType="end"/>
            </w:r>
            <w:r>
              <w:rPr>
                <w:rFonts w:hint="default" w:ascii="Times New Roman" w:hAnsi="Times New Roman" w:eastAsia="宋体" w:cs="Times New Roman"/>
                <w:b w:val="0"/>
                <w:bCs w:val="0"/>
                <w:color w:val="auto"/>
                <w:kern w:val="2"/>
                <w:sz w:val="21"/>
                <w:szCs w:val="21"/>
                <w:highlight w:val="none"/>
                <w:lang w:val="en-US" w:eastAsia="zh-CN" w:bidi="ar-SA"/>
              </w:rPr>
              <w:fldChar w:fldCharType="end"/>
            </w:r>
            <w:r>
              <w:rPr>
                <w:rFonts w:hint="default" w:ascii="Times New Roman" w:hAnsi="Times New Roman" w:eastAsia="宋体" w:cs="Times New Roman"/>
                <w:b w:val="0"/>
                <w:bCs w:val="0"/>
                <w:color w:val="auto"/>
                <w:kern w:val="2"/>
                <w:sz w:val="21"/>
                <w:szCs w:val="21"/>
                <w:highlight w:val="none"/>
                <w:lang w:val="en-US" w:eastAsia="zh-CN" w:bidi="ar-SA"/>
              </w:rPr>
              <w:fldChar w:fldCharType="end"/>
            </w:r>
            <w:r>
              <w:rPr>
                <w:rFonts w:hint="default" w:ascii="Times New Roman" w:hAnsi="Times New Roman" w:eastAsia="宋体" w:cs="Times New Roman"/>
                <w:b w:val="0"/>
                <w:bCs w:val="0"/>
                <w:color w:val="auto"/>
                <w:kern w:val="2"/>
                <w:sz w:val="21"/>
                <w:szCs w:val="21"/>
                <w:highlight w:val="none"/>
                <w:lang w:val="en-US" w:eastAsia="zh-CN" w:bidi="ar-SA"/>
              </w:rPr>
              <w:t>q</w:t>
            </w:r>
            <w:r>
              <w:rPr>
                <w:rFonts w:hint="default" w:ascii="Times New Roman" w:hAnsi="Times New Roman" w:eastAsia="宋体" w:cs="Times New Roman"/>
                <w:b w:val="0"/>
                <w:bCs w:val="0"/>
                <w:color w:val="auto"/>
                <w:kern w:val="2"/>
                <w:sz w:val="21"/>
                <w:szCs w:val="21"/>
                <w:highlight w:val="none"/>
                <w:vertAlign w:val="subscript"/>
                <w:lang w:val="en-US" w:eastAsia="zh-CN" w:bidi="ar-SA"/>
              </w:rPr>
              <w:t>n</w:t>
            </w:r>
            <w:r>
              <w:rPr>
                <w:rFonts w:hint="default" w:ascii="Times New Roman" w:hAnsi="Times New Roman" w:eastAsia="宋体" w:cs="Times New Roman"/>
                <w:b w:val="0"/>
                <w:bCs w:val="0"/>
                <w:color w:val="auto"/>
                <w:kern w:val="2"/>
                <w:sz w:val="21"/>
                <w:szCs w:val="21"/>
                <w:highlight w:val="none"/>
                <w:lang w:val="en-US" w:eastAsia="zh-CN" w:bidi="ar-SA"/>
              </w:rPr>
              <w:t>--每种危险物质实际存在量，t。</w:t>
            </w:r>
          </w:p>
          <w:p w14:paraId="09F13F66">
            <w:pPr>
              <w:pStyle w:val="24"/>
              <w:keepNext w:val="0"/>
              <w:keepLines w:val="0"/>
              <w:pageBreakBefore w:val="0"/>
              <w:widowControl w:val="0"/>
              <w:numPr>
                <w:ilvl w:val="0"/>
                <w:numId w:val="0"/>
              </w:numPr>
              <w:shd w:val="clear"/>
              <w:kinsoku/>
              <w:wordWrap/>
              <w:overflowPunct/>
              <w:topLinePunct w:val="0"/>
              <w:autoSpaceDE/>
              <w:autoSpaceDN/>
              <w:bidi w:val="0"/>
              <w:adjustRightInd/>
              <w:snapToGrid w:val="0"/>
              <w:spacing w:after="0" w:line="360" w:lineRule="auto"/>
              <w:ind w:leftChars="0" w:firstLine="420" w:firstLineChars="200"/>
              <w:jc w:val="both"/>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Q</w:t>
            </w:r>
            <w:r>
              <w:rPr>
                <w:rFonts w:hint="default" w:ascii="Times New Roman" w:hAnsi="Times New Roman" w:eastAsia="宋体" w:cs="Times New Roman"/>
                <w:b w:val="0"/>
                <w:bCs w:val="0"/>
                <w:color w:val="auto"/>
                <w:kern w:val="2"/>
                <w:sz w:val="21"/>
                <w:szCs w:val="21"/>
                <w:highlight w:val="none"/>
                <w:vertAlign w:val="subscript"/>
                <w:lang w:val="en-US" w:eastAsia="zh-CN" w:bidi="ar-SA"/>
              </w:rPr>
              <w:t>1</w:t>
            </w:r>
            <w:r>
              <w:rPr>
                <w:rFonts w:hint="default" w:ascii="Times New Roman" w:hAnsi="Times New Roman" w:eastAsia="宋体" w:cs="Times New Roman"/>
                <w:b w:val="0"/>
                <w:bCs w:val="0"/>
                <w:color w:val="auto"/>
                <w:kern w:val="2"/>
                <w:sz w:val="21"/>
                <w:szCs w:val="21"/>
                <w:highlight w:val="none"/>
                <w:lang w:val="en-US" w:eastAsia="zh-CN" w:bidi="ar-SA"/>
              </w:rPr>
              <w:t>，Q</w:t>
            </w:r>
            <w:r>
              <w:rPr>
                <w:rFonts w:hint="default" w:ascii="Times New Roman" w:hAnsi="Times New Roman" w:eastAsia="宋体" w:cs="Times New Roman"/>
                <w:b w:val="0"/>
                <w:bCs w:val="0"/>
                <w:color w:val="auto"/>
                <w:kern w:val="2"/>
                <w:sz w:val="21"/>
                <w:szCs w:val="21"/>
                <w:highlight w:val="none"/>
                <w:vertAlign w:val="subscript"/>
                <w:lang w:val="en-US" w:eastAsia="zh-CN" w:bidi="ar-SA"/>
              </w:rPr>
              <w:t>2</w:t>
            </w:r>
            <w:r>
              <w:rPr>
                <w:rFonts w:hint="default" w:ascii="Times New Roman" w:hAnsi="Times New Roman" w:eastAsia="宋体" w:cs="Times New Roman"/>
                <w:b w:val="0"/>
                <w:bCs w:val="0"/>
                <w:color w:val="auto"/>
                <w:kern w:val="2"/>
                <w:sz w:val="21"/>
                <w:szCs w:val="21"/>
                <w:highlight w:val="none"/>
                <w:lang w:val="en-US" w:eastAsia="zh-CN" w:bidi="ar-SA"/>
              </w:rPr>
              <w:fldChar w:fldCharType="begin"/>
            </w:r>
            <w:r>
              <w:rPr>
                <w:rFonts w:hint="default" w:ascii="Times New Roman" w:hAnsi="Times New Roman" w:eastAsia="宋体" w:cs="Times New Roman"/>
                <w:color w:val="auto"/>
                <w:sz w:val="21"/>
                <w:szCs w:val="21"/>
                <w:highlight w:val="none"/>
              </w:rPr>
              <w:instrText xml:space="preserve"> INCLUDEPICTURE "D:\\Backup\\Documents\\WeChat Files\\wxid_wxz7byl00f7212\\FileStorage\\lenovo\\AppData\\documents\\tencent%20files\\379300943\\FileRecv\\AppData\\Roaming\\Microsoft\\AppData\\Local\\Temp\\ksohtml16632\\wps3.jpg" \* MERGEFORMAT </w:instrText>
            </w:r>
            <w:r>
              <w:rPr>
                <w:rFonts w:hint="default" w:ascii="Times New Roman" w:hAnsi="Times New Roman" w:eastAsia="宋体" w:cs="Times New Roman"/>
                <w:b w:val="0"/>
                <w:bCs w:val="0"/>
                <w:color w:val="auto"/>
                <w:kern w:val="2"/>
                <w:sz w:val="21"/>
                <w:szCs w:val="21"/>
                <w:highlight w:val="none"/>
                <w:lang w:val="en-US" w:eastAsia="zh-CN" w:bidi="ar-SA"/>
              </w:rPr>
              <w:fldChar w:fldCharType="separate"/>
            </w:r>
            <w:r>
              <w:rPr>
                <w:rFonts w:hint="default" w:ascii="Times New Roman" w:hAnsi="Times New Roman" w:eastAsia="宋体" w:cs="Times New Roman"/>
                <w:b w:val="0"/>
                <w:bCs w:val="0"/>
                <w:color w:val="auto"/>
                <w:kern w:val="2"/>
                <w:sz w:val="21"/>
                <w:szCs w:val="21"/>
                <w:highlight w:val="none"/>
                <w:lang w:val="en-US" w:eastAsia="zh-CN" w:bidi="ar-SA"/>
              </w:rPr>
              <w:fldChar w:fldCharType="begin"/>
            </w:r>
            <w:r>
              <w:rPr>
                <w:rFonts w:hint="default" w:ascii="Times New Roman" w:hAnsi="Times New Roman" w:eastAsia="宋体" w:cs="Times New Roman"/>
                <w:color w:val="auto"/>
                <w:sz w:val="21"/>
                <w:szCs w:val="21"/>
                <w:highlight w:val="none"/>
              </w:rPr>
              <w:instrText xml:space="preserve"> INCLUDEPICTURE "D:\\Backup\\Documents\\WeChat Files\\wxid_wxz7byl00f7212\\FileStorage\\lenovo\\AppData\\documents\\tencent%20files\\379300943\\FileRecv\\AppData\\Roaming\\Microsoft\\AppData\\Local\\Temp\\ksohtml16632\\wps3.jpg" \* MERGEFORMAT </w:instrText>
            </w:r>
            <w:r>
              <w:rPr>
                <w:rFonts w:hint="default" w:ascii="Times New Roman" w:hAnsi="Times New Roman" w:eastAsia="宋体" w:cs="Times New Roman"/>
                <w:b w:val="0"/>
                <w:bCs w:val="0"/>
                <w:color w:val="auto"/>
                <w:kern w:val="2"/>
                <w:sz w:val="21"/>
                <w:szCs w:val="21"/>
                <w:highlight w:val="none"/>
                <w:lang w:val="en-US" w:eastAsia="zh-CN" w:bidi="ar-SA"/>
              </w:rPr>
              <w:fldChar w:fldCharType="separate"/>
            </w:r>
            <w:r>
              <w:rPr>
                <w:rFonts w:hint="default" w:ascii="Times New Roman" w:hAnsi="Times New Roman" w:eastAsia="宋体" w:cs="Times New Roman"/>
                <w:b w:val="0"/>
                <w:bCs w:val="0"/>
                <w:color w:val="auto"/>
                <w:kern w:val="2"/>
                <w:sz w:val="21"/>
                <w:szCs w:val="21"/>
                <w:highlight w:val="none"/>
                <w:lang w:val="en-US" w:eastAsia="zh-CN" w:bidi="ar-SA"/>
              </w:rPr>
              <w:fldChar w:fldCharType="begin"/>
            </w:r>
            <w:r>
              <w:rPr>
                <w:rFonts w:hint="default" w:ascii="Times New Roman" w:hAnsi="Times New Roman" w:eastAsia="宋体" w:cs="Times New Roman"/>
                <w:color w:val="auto"/>
                <w:sz w:val="21"/>
                <w:szCs w:val="21"/>
                <w:highlight w:val="none"/>
              </w:rPr>
              <w:instrText xml:space="preserve"> INCLUDEPICTURE "D:\\Backup\\Documents\\WeChat Files\\wxid_wxz7byl00f7212\\FileStorage\\lenovo\\AppData\\documents\\tencent%20files\\379300943\\FileRecv\\AppData\\Roaming\\Microsoft\\AppData\\Local\\Temp\\ksohtml16632\\wps3.jpg" \* MERGEFORMAT </w:instrText>
            </w:r>
            <w:r>
              <w:rPr>
                <w:rFonts w:hint="default" w:ascii="Times New Roman" w:hAnsi="Times New Roman" w:eastAsia="宋体" w:cs="Times New Roman"/>
                <w:b w:val="0"/>
                <w:bCs w:val="0"/>
                <w:color w:val="auto"/>
                <w:kern w:val="2"/>
                <w:sz w:val="21"/>
                <w:szCs w:val="21"/>
                <w:highlight w:val="none"/>
                <w:lang w:val="en-US" w:eastAsia="zh-CN" w:bidi="ar-SA"/>
              </w:rPr>
              <w:fldChar w:fldCharType="separate"/>
            </w:r>
            <w:r>
              <w:rPr>
                <w:rFonts w:hint="default" w:ascii="Times New Roman" w:hAnsi="Times New Roman" w:eastAsia="宋体" w:cs="Times New Roman"/>
                <w:b w:val="0"/>
                <w:bCs w:val="0"/>
                <w:color w:val="auto"/>
                <w:kern w:val="2"/>
                <w:sz w:val="21"/>
                <w:szCs w:val="21"/>
                <w:highlight w:val="none"/>
                <w:lang w:val="en-US" w:eastAsia="zh-CN" w:bidi="ar-SA"/>
              </w:rPr>
              <w:fldChar w:fldCharType="begin"/>
            </w:r>
            <w:r>
              <w:rPr>
                <w:rFonts w:hint="default" w:ascii="Times New Roman" w:hAnsi="Times New Roman" w:eastAsia="宋体" w:cs="Times New Roman"/>
                <w:color w:val="auto"/>
                <w:sz w:val="21"/>
                <w:szCs w:val="21"/>
                <w:highlight w:val="none"/>
              </w:rPr>
              <w:instrText xml:space="preserve"> INCLUDEPICTURE "D:\\Backup\\Documents\\WeChat Files\\wxid_wxz7byl00f7212\\FileStorage\\lenovo\\AppData\\documents\\tencent%20files\\379300943\\FileRecv\\AppData\\Roaming\\Microsoft\\AppData\\Local\\Temp\\ksohtml16632\\wps3.jpg" \* MERGEFORMAT </w:instrText>
            </w:r>
            <w:r>
              <w:rPr>
                <w:rFonts w:hint="default" w:ascii="Times New Roman" w:hAnsi="Times New Roman" w:eastAsia="宋体" w:cs="Times New Roman"/>
                <w:b w:val="0"/>
                <w:bCs w:val="0"/>
                <w:color w:val="auto"/>
                <w:kern w:val="2"/>
                <w:sz w:val="21"/>
                <w:szCs w:val="21"/>
                <w:highlight w:val="none"/>
                <w:lang w:val="en-US" w:eastAsia="zh-CN" w:bidi="ar-SA"/>
              </w:rPr>
              <w:fldChar w:fldCharType="separate"/>
            </w:r>
            <w:r>
              <w:rPr>
                <w:rFonts w:hint="default" w:ascii="Times New Roman" w:hAnsi="Times New Roman" w:eastAsia="宋体" w:cs="Times New Roman"/>
                <w:b w:val="0"/>
                <w:bCs w:val="0"/>
                <w:color w:val="auto"/>
                <w:kern w:val="2"/>
                <w:sz w:val="21"/>
                <w:szCs w:val="21"/>
                <w:highlight w:val="none"/>
                <w:lang w:val="en-US" w:eastAsia="zh-CN" w:bidi="ar-SA"/>
              </w:rPr>
              <w:fldChar w:fldCharType="begin"/>
            </w:r>
            <w:r>
              <w:rPr>
                <w:rFonts w:hint="default" w:ascii="Times New Roman" w:hAnsi="Times New Roman" w:eastAsia="宋体" w:cs="Times New Roman"/>
                <w:color w:val="auto"/>
                <w:sz w:val="21"/>
                <w:szCs w:val="21"/>
                <w:highlight w:val="none"/>
              </w:rPr>
              <w:instrText xml:space="preserve"> INCLUDEPICTURE "D:\\Backup\\Documents\\WeChat Files\\wxid_wxz7byl00f7212\\FileStorage\\lenovo\\AppData\\新建文件夹\\绿凌\\18、荣艺灯饰\\documents\\tencent%20files\\379300943\\FileRecv\\AppData\\Roaming\\Microsoft\\AppData\\Local\\Temp\\ksohtml16632\\wps3.jpg" \* MERGEFORMAT </w:instrText>
            </w:r>
            <w:r>
              <w:rPr>
                <w:rFonts w:hint="default" w:ascii="Times New Roman" w:hAnsi="Times New Roman" w:eastAsia="宋体" w:cs="Times New Roman"/>
                <w:b w:val="0"/>
                <w:bCs w:val="0"/>
                <w:color w:val="auto"/>
                <w:kern w:val="2"/>
                <w:sz w:val="21"/>
                <w:szCs w:val="21"/>
                <w:highlight w:val="none"/>
                <w:lang w:val="en-US" w:eastAsia="zh-CN" w:bidi="ar-SA"/>
              </w:rPr>
              <w:fldChar w:fldCharType="separate"/>
            </w:r>
            <w:r>
              <w:rPr>
                <w:rFonts w:hint="default" w:ascii="Times New Roman" w:hAnsi="Times New Roman" w:eastAsia="宋体" w:cs="Times New Roman"/>
                <w:b w:val="0"/>
                <w:bCs w:val="0"/>
                <w:color w:val="auto"/>
                <w:kern w:val="2"/>
                <w:sz w:val="21"/>
                <w:szCs w:val="21"/>
                <w:highlight w:val="none"/>
                <w:lang w:val="en-US" w:eastAsia="zh-CN" w:bidi="ar-SA"/>
              </w:rPr>
              <w:fldChar w:fldCharType="begin"/>
            </w:r>
            <w:r>
              <w:rPr>
                <w:rFonts w:hint="default" w:ascii="Times New Roman" w:hAnsi="Times New Roman" w:eastAsia="宋体" w:cs="Times New Roman"/>
                <w:color w:val="auto"/>
                <w:sz w:val="21"/>
                <w:szCs w:val="21"/>
                <w:highlight w:val="none"/>
              </w:rPr>
              <w:instrText xml:space="preserve"> INCLUDEPICTURE "D:\\Backup\\Documents\\WeChat Files\\wxid_wxz7byl00f7212\\FileStorage\\lenovo\\AppData\\新建文件夹\\绿凌\\18、荣艺灯饰\\documents\\tencent%20files\\379300943\\FileRecv\\AppData\\Roaming\\Microsoft\\AppData\\Local\\Temp\\ksohtml16632\\wps3.jpg" \* MERGEFORMAT </w:instrText>
            </w:r>
            <w:r>
              <w:rPr>
                <w:rFonts w:hint="default" w:ascii="Times New Roman" w:hAnsi="Times New Roman" w:eastAsia="宋体" w:cs="Times New Roman"/>
                <w:b w:val="0"/>
                <w:bCs w:val="0"/>
                <w:color w:val="auto"/>
                <w:kern w:val="2"/>
                <w:sz w:val="21"/>
                <w:szCs w:val="21"/>
                <w:highlight w:val="none"/>
                <w:lang w:val="en-US" w:eastAsia="zh-CN" w:bidi="ar-SA"/>
              </w:rPr>
              <w:fldChar w:fldCharType="separate"/>
            </w:r>
            <w:r>
              <w:rPr>
                <w:rFonts w:hint="default" w:ascii="Times New Roman" w:hAnsi="Times New Roman" w:eastAsia="宋体" w:cs="Times New Roman"/>
                <w:b w:val="0"/>
                <w:bCs w:val="0"/>
                <w:color w:val="auto"/>
                <w:kern w:val="2"/>
                <w:sz w:val="21"/>
                <w:szCs w:val="21"/>
                <w:highlight w:val="none"/>
                <w:lang w:val="en-US" w:eastAsia="zh-CN" w:bidi="ar-SA"/>
              </w:rPr>
              <w:fldChar w:fldCharType="begin"/>
            </w:r>
            <w:r>
              <w:rPr>
                <w:rFonts w:hint="default" w:ascii="Times New Roman" w:hAnsi="Times New Roman" w:eastAsia="宋体" w:cs="Times New Roman"/>
                <w:color w:val="auto"/>
                <w:sz w:val="21"/>
                <w:szCs w:val="21"/>
                <w:highlight w:val="none"/>
              </w:rPr>
              <w:instrText xml:space="preserve"> INCLUDEPICTURE "D:\\Backup\\Documents\\WeChat Files\\wxid_wxz7byl00f7212\\FileStorage\\lenovo\\AppData\\新建文件夹\\绿凌\\18、荣艺灯饰\\documents\\tencent%20files\\379300943\\FileRecv\\AppData\\Roaming\\Microsoft\\AppData\\Local\\Temp\\ksohtml16632\\wps3.jpg" \* MERGEFORMAT </w:instrText>
            </w:r>
            <w:r>
              <w:rPr>
                <w:rFonts w:hint="default" w:ascii="Times New Roman" w:hAnsi="Times New Roman" w:eastAsia="宋体" w:cs="Times New Roman"/>
                <w:b w:val="0"/>
                <w:bCs w:val="0"/>
                <w:color w:val="auto"/>
                <w:kern w:val="2"/>
                <w:sz w:val="21"/>
                <w:szCs w:val="21"/>
                <w:highlight w:val="none"/>
                <w:lang w:val="en-US" w:eastAsia="zh-CN" w:bidi="ar-SA"/>
              </w:rPr>
              <w:fldChar w:fldCharType="separate"/>
            </w:r>
            <w:r>
              <w:rPr>
                <w:rFonts w:hint="default" w:ascii="Times New Roman" w:hAnsi="Times New Roman" w:eastAsia="宋体" w:cs="Times New Roman"/>
                <w:b w:val="0"/>
                <w:bCs w:val="0"/>
                <w:color w:val="auto"/>
                <w:kern w:val="2"/>
                <w:sz w:val="21"/>
                <w:szCs w:val="21"/>
                <w:highlight w:val="none"/>
                <w:lang w:val="en-US" w:eastAsia="zh-CN" w:bidi="ar-SA"/>
              </w:rPr>
              <w:drawing>
                <wp:inline distT="0" distB="0" distL="114300" distR="114300">
                  <wp:extent cx="314325" cy="200025"/>
                  <wp:effectExtent l="0" t="0" r="0" b="0"/>
                  <wp:docPr id="131" name="图片 3" descr="wp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3" descr="wps3"/>
                          <pic:cNvPicPr>
                            <a:picLocks noChangeAspect="1"/>
                          </pic:cNvPicPr>
                        </pic:nvPicPr>
                        <pic:blipFill>
                          <a:blip r:embed="rId22"/>
                          <a:stretch>
                            <a:fillRect/>
                          </a:stretch>
                        </pic:blipFill>
                        <pic:spPr>
                          <a:xfrm>
                            <a:off x="0" y="0"/>
                            <a:ext cx="314325" cy="200025"/>
                          </a:xfrm>
                          <a:prstGeom prst="rect">
                            <a:avLst/>
                          </a:prstGeom>
                          <a:noFill/>
                          <a:ln>
                            <a:noFill/>
                          </a:ln>
                        </pic:spPr>
                      </pic:pic>
                    </a:graphicData>
                  </a:graphic>
                </wp:inline>
              </w:drawing>
            </w:r>
            <w:r>
              <w:rPr>
                <w:rFonts w:hint="default" w:ascii="Times New Roman" w:hAnsi="Times New Roman" w:eastAsia="宋体" w:cs="Times New Roman"/>
                <w:b w:val="0"/>
                <w:bCs w:val="0"/>
                <w:color w:val="auto"/>
                <w:kern w:val="2"/>
                <w:sz w:val="21"/>
                <w:szCs w:val="21"/>
                <w:highlight w:val="none"/>
                <w:lang w:val="en-US" w:eastAsia="zh-CN" w:bidi="ar-SA"/>
              </w:rPr>
              <w:fldChar w:fldCharType="end"/>
            </w:r>
            <w:r>
              <w:rPr>
                <w:rFonts w:hint="default" w:ascii="Times New Roman" w:hAnsi="Times New Roman" w:eastAsia="宋体" w:cs="Times New Roman"/>
                <w:b w:val="0"/>
                <w:bCs w:val="0"/>
                <w:color w:val="auto"/>
                <w:kern w:val="2"/>
                <w:sz w:val="21"/>
                <w:szCs w:val="21"/>
                <w:highlight w:val="none"/>
                <w:lang w:val="en-US" w:eastAsia="zh-CN" w:bidi="ar-SA"/>
              </w:rPr>
              <w:fldChar w:fldCharType="end"/>
            </w:r>
            <w:r>
              <w:rPr>
                <w:rFonts w:hint="default" w:ascii="Times New Roman" w:hAnsi="Times New Roman" w:eastAsia="宋体" w:cs="Times New Roman"/>
                <w:b w:val="0"/>
                <w:bCs w:val="0"/>
                <w:color w:val="auto"/>
                <w:kern w:val="2"/>
                <w:sz w:val="21"/>
                <w:szCs w:val="21"/>
                <w:highlight w:val="none"/>
                <w:lang w:val="en-US" w:eastAsia="zh-CN" w:bidi="ar-SA"/>
              </w:rPr>
              <w:fldChar w:fldCharType="end"/>
            </w:r>
            <w:r>
              <w:rPr>
                <w:rFonts w:hint="default" w:ascii="Times New Roman" w:hAnsi="Times New Roman" w:eastAsia="宋体" w:cs="Times New Roman"/>
                <w:b w:val="0"/>
                <w:bCs w:val="0"/>
                <w:color w:val="auto"/>
                <w:kern w:val="2"/>
                <w:sz w:val="21"/>
                <w:szCs w:val="21"/>
                <w:highlight w:val="none"/>
                <w:lang w:val="en-US" w:eastAsia="zh-CN" w:bidi="ar-SA"/>
              </w:rPr>
              <w:fldChar w:fldCharType="end"/>
            </w:r>
            <w:r>
              <w:rPr>
                <w:rFonts w:hint="default" w:ascii="Times New Roman" w:hAnsi="Times New Roman" w:eastAsia="宋体" w:cs="Times New Roman"/>
                <w:b w:val="0"/>
                <w:bCs w:val="0"/>
                <w:color w:val="auto"/>
                <w:kern w:val="2"/>
                <w:sz w:val="21"/>
                <w:szCs w:val="21"/>
                <w:highlight w:val="none"/>
                <w:lang w:val="en-US" w:eastAsia="zh-CN" w:bidi="ar-SA"/>
              </w:rPr>
              <w:fldChar w:fldCharType="end"/>
            </w:r>
            <w:r>
              <w:rPr>
                <w:rFonts w:hint="default" w:ascii="Times New Roman" w:hAnsi="Times New Roman" w:eastAsia="宋体" w:cs="Times New Roman"/>
                <w:b w:val="0"/>
                <w:bCs w:val="0"/>
                <w:color w:val="auto"/>
                <w:kern w:val="2"/>
                <w:sz w:val="21"/>
                <w:szCs w:val="21"/>
                <w:highlight w:val="none"/>
                <w:lang w:val="en-US" w:eastAsia="zh-CN" w:bidi="ar-SA"/>
              </w:rPr>
              <w:fldChar w:fldCharType="end"/>
            </w:r>
            <w:r>
              <w:rPr>
                <w:rFonts w:hint="default" w:ascii="Times New Roman" w:hAnsi="Times New Roman" w:eastAsia="宋体" w:cs="Times New Roman"/>
                <w:b w:val="0"/>
                <w:bCs w:val="0"/>
                <w:color w:val="auto"/>
                <w:kern w:val="2"/>
                <w:sz w:val="21"/>
                <w:szCs w:val="21"/>
                <w:highlight w:val="none"/>
                <w:lang w:val="en-US" w:eastAsia="zh-CN" w:bidi="ar-SA"/>
              </w:rPr>
              <w:fldChar w:fldCharType="end"/>
            </w:r>
            <w:r>
              <w:rPr>
                <w:rFonts w:hint="default" w:ascii="Times New Roman" w:hAnsi="Times New Roman" w:eastAsia="宋体" w:cs="Times New Roman"/>
                <w:b w:val="0"/>
                <w:bCs w:val="0"/>
                <w:color w:val="auto"/>
                <w:kern w:val="2"/>
                <w:sz w:val="21"/>
                <w:szCs w:val="21"/>
                <w:highlight w:val="none"/>
                <w:lang w:val="en-US" w:eastAsia="zh-CN" w:bidi="ar-SA"/>
              </w:rPr>
              <w:t>Q</w:t>
            </w:r>
            <w:r>
              <w:rPr>
                <w:rFonts w:hint="default" w:ascii="Times New Roman" w:hAnsi="Times New Roman" w:eastAsia="宋体" w:cs="Times New Roman"/>
                <w:b w:val="0"/>
                <w:bCs w:val="0"/>
                <w:color w:val="auto"/>
                <w:kern w:val="2"/>
                <w:sz w:val="21"/>
                <w:szCs w:val="21"/>
                <w:highlight w:val="none"/>
                <w:vertAlign w:val="subscript"/>
                <w:lang w:val="en-US" w:eastAsia="zh-CN" w:bidi="ar-SA"/>
              </w:rPr>
              <w:t>n</w:t>
            </w:r>
            <w:r>
              <w:rPr>
                <w:rFonts w:hint="default" w:ascii="Times New Roman" w:hAnsi="Times New Roman" w:eastAsia="宋体" w:cs="Times New Roman"/>
                <w:b w:val="0"/>
                <w:bCs w:val="0"/>
                <w:color w:val="auto"/>
                <w:kern w:val="2"/>
                <w:sz w:val="21"/>
                <w:szCs w:val="21"/>
                <w:highlight w:val="none"/>
                <w:lang w:val="en-US" w:eastAsia="zh-CN" w:bidi="ar-SA"/>
              </w:rPr>
              <w:t>—每种危险物质的临界量，t。</w:t>
            </w:r>
          </w:p>
          <w:p w14:paraId="3F49B21E">
            <w:pPr>
              <w:pStyle w:val="24"/>
              <w:keepNext w:val="0"/>
              <w:keepLines w:val="0"/>
              <w:pageBreakBefore w:val="0"/>
              <w:widowControl w:val="0"/>
              <w:numPr>
                <w:ilvl w:val="0"/>
                <w:numId w:val="0"/>
              </w:numPr>
              <w:shd w:val="clear"/>
              <w:kinsoku/>
              <w:wordWrap/>
              <w:overflowPunct/>
              <w:topLinePunct w:val="0"/>
              <w:autoSpaceDE/>
              <w:autoSpaceDN/>
              <w:bidi w:val="0"/>
              <w:adjustRightInd/>
              <w:snapToGrid w:val="0"/>
              <w:spacing w:after="0" w:line="360" w:lineRule="auto"/>
              <w:ind w:leftChars="0" w:firstLine="420" w:firstLineChars="200"/>
              <w:jc w:val="both"/>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当Q＜1时，该项目环境风险潜势为Ⅰ。</w:t>
            </w:r>
          </w:p>
          <w:p w14:paraId="7B097599">
            <w:pPr>
              <w:pStyle w:val="24"/>
              <w:keepNext w:val="0"/>
              <w:keepLines w:val="0"/>
              <w:pageBreakBefore w:val="0"/>
              <w:widowControl w:val="0"/>
              <w:numPr>
                <w:ilvl w:val="0"/>
                <w:numId w:val="0"/>
              </w:numPr>
              <w:shd w:val="clear"/>
              <w:kinsoku/>
              <w:wordWrap/>
              <w:overflowPunct/>
              <w:topLinePunct w:val="0"/>
              <w:autoSpaceDE/>
              <w:autoSpaceDN/>
              <w:bidi w:val="0"/>
              <w:adjustRightInd/>
              <w:snapToGrid w:val="0"/>
              <w:spacing w:after="0" w:line="360" w:lineRule="auto"/>
              <w:ind w:leftChars="0" w:firstLine="420" w:firstLineChars="200"/>
              <w:jc w:val="both"/>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当Q≥1时，将Q值划分为：（1）1≤Q＜10；（2）10≤Q＜100；（3）Q≥100。</w:t>
            </w:r>
          </w:p>
          <w:p w14:paraId="74954B4C">
            <w:pPr>
              <w:widowControl/>
              <w:numPr>
                <w:ilvl w:val="0"/>
                <w:numId w:val="0"/>
              </w:numPr>
              <w:shd w:val="clear"/>
              <w:spacing w:line="240" w:lineRule="auto"/>
              <w:ind w:left="0" w:leftChars="0" w:firstLine="0" w:firstLineChars="0"/>
              <w:contextualSpacing/>
              <w:jc w:val="center"/>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kern w:val="2"/>
                <w:sz w:val="24"/>
                <w:szCs w:val="24"/>
                <w:highlight w:val="none"/>
                <w:lang w:val="en-US" w:eastAsia="zh-CN" w:bidi="ar-SA"/>
              </w:rPr>
              <w:t>表</w:t>
            </w:r>
            <w:r>
              <w:rPr>
                <w:rFonts w:hint="eastAsia" w:cs="Times New Roman"/>
                <w:b/>
                <w:bCs/>
                <w:color w:val="auto"/>
                <w:kern w:val="2"/>
                <w:sz w:val="24"/>
                <w:szCs w:val="24"/>
                <w:highlight w:val="none"/>
                <w:lang w:val="en-US" w:eastAsia="zh-CN" w:bidi="ar-SA"/>
              </w:rPr>
              <w:t>46</w:t>
            </w:r>
            <w:r>
              <w:rPr>
                <w:rFonts w:hint="default" w:ascii="Times New Roman" w:hAnsi="Times New Roman" w:eastAsia="宋体" w:cs="Times New Roman"/>
                <w:b/>
                <w:bCs/>
                <w:color w:val="auto"/>
                <w:sz w:val="24"/>
                <w:szCs w:val="24"/>
                <w:highlight w:val="none"/>
              </w:rPr>
              <w:t>项目危险</w:t>
            </w:r>
            <w:r>
              <w:rPr>
                <w:rFonts w:hint="default" w:ascii="Times New Roman" w:hAnsi="Times New Roman" w:eastAsia="宋体" w:cs="Times New Roman"/>
                <w:b/>
                <w:bCs/>
                <w:color w:val="auto"/>
                <w:sz w:val="24"/>
                <w:szCs w:val="24"/>
                <w:highlight w:val="none"/>
                <w:lang w:val="en-US" w:eastAsia="zh-CN"/>
              </w:rPr>
              <w:t>物质</w:t>
            </w:r>
            <w:r>
              <w:rPr>
                <w:rFonts w:hint="default" w:ascii="Times New Roman" w:hAnsi="Times New Roman" w:eastAsia="宋体" w:cs="Times New Roman"/>
                <w:b/>
                <w:bCs/>
                <w:color w:val="auto"/>
                <w:sz w:val="24"/>
                <w:szCs w:val="24"/>
                <w:highlight w:val="none"/>
              </w:rPr>
              <w:t>及临界值情况一览表</w:t>
            </w:r>
          </w:p>
          <w:tbl>
            <w:tblPr>
              <w:tblStyle w:val="33"/>
              <w:tblW w:w="428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28"/>
              <w:gridCol w:w="2111"/>
              <w:gridCol w:w="1408"/>
              <w:gridCol w:w="1205"/>
              <w:gridCol w:w="1725"/>
            </w:tblGrid>
            <w:tr w14:paraId="1B1812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397" w:hRule="atLeast"/>
                <w:jc w:val="center"/>
              </w:trPr>
              <w:tc>
                <w:tcPr>
                  <w:tcW w:w="828" w:type="dxa"/>
                  <w:noWrap w:val="0"/>
                  <w:vAlign w:val="center"/>
                </w:tcPr>
                <w:p w14:paraId="3EB869C3">
                  <w:pPr>
                    <w:autoSpaceDE w:val="0"/>
                    <w:autoSpaceDN w:val="0"/>
                    <w:adjustRightInd w:val="0"/>
                    <w:snapToGrid w:val="0"/>
                    <w:ind w:left="-105" w:leftChars="-50" w:right="-105" w:rightChars="-5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序号</w:t>
                  </w:r>
                </w:p>
              </w:tc>
              <w:tc>
                <w:tcPr>
                  <w:tcW w:w="2111" w:type="dxa"/>
                  <w:noWrap w:val="0"/>
                  <w:vAlign w:val="center"/>
                </w:tcPr>
                <w:p w14:paraId="24BBCED5">
                  <w:pPr>
                    <w:autoSpaceDE w:val="0"/>
                    <w:autoSpaceDN w:val="0"/>
                    <w:adjustRightInd w:val="0"/>
                    <w:snapToGrid w:val="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试剂名称</w:t>
                  </w:r>
                </w:p>
              </w:tc>
              <w:tc>
                <w:tcPr>
                  <w:tcW w:w="1408" w:type="dxa"/>
                  <w:noWrap w:val="0"/>
                  <w:vAlign w:val="center"/>
                </w:tcPr>
                <w:p w14:paraId="161F2517">
                  <w:pPr>
                    <w:autoSpaceDE w:val="0"/>
                    <w:autoSpaceDN w:val="0"/>
                    <w:adjustRightInd w:val="0"/>
                    <w:snapToGrid w:val="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最大贮存量</w:t>
                  </w:r>
                  <w:r>
                    <w:rPr>
                      <w:rFonts w:hint="eastAsia" w:cs="Times New Roman"/>
                      <w:b/>
                      <w:bCs/>
                      <w:color w:val="auto"/>
                      <w:szCs w:val="21"/>
                      <w:highlight w:val="none"/>
                      <w:lang w:val="en-US" w:eastAsia="zh-CN"/>
                    </w:rPr>
                    <w:t>q</w:t>
                  </w:r>
                  <w:r>
                    <w:rPr>
                      <w:rFonts w:hint="default" w:ascii="Times New Roman" w:hAnsi="Times New Roman" w:cs="Times New Roman"/>
                      <w:b/>
                      <w:bCs/>
                      <w:color w:val="auto"/>
                      <w:szCs w:val="21"/>
                      <w:highlight w:val="none"/>
                    </w:rPr>
                    <w:t>（kg）</w:t>
                  </w:r>
                </w:p>
              </w:tc>
              <w:tc>
                <w:tcPr>
                  <w:tcW w:w="1205" w:type="dxa"/>
                  <w:noWrap w:val="0"/>
                  <w:vAlign w:val="center"/>
                </w:tcPr>
                <w:p w14:paraId="684D19EF">
                  <w:pPr>
                    <w:autoSpaceDE w:val="0"/>
                    <w:autoSpaceDN w:val="0"/>
                    <w:adjustRightInd w:val="0"/>
                    <w:snapToGrid w:val="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临界值</w:t>
                  </w:r>
                  <w:r>
                    <w:rPr>
                      <w:rFonts w:hint="eastAsia" w:cs="Times New Roman"/>
                      <w:b/>
                      <w:bCs/>
                      <w:color w:val="auto"/>
                      <w:szCs w:val="21"/>
                      <w:highlight w:val="none"/>
                      <w:lang w:val="en-US" w:eastAsia="zh-CN"/>
                    </w:rPr>
                    <w:t>Q</w:t>
                  </w:r>
                  <w:r>
                    <w:rPr>
                      <w:rFonts w:hint="default" w:ascii="Times New Roman" w:hAnsi="Times New Roman" w:cs="Times New Roman"/>
                      <w:b/>
                      <w:bCs/>
                      <w:color w:val="auto"/>
                      <w:szCs w:val="21"/>
                      <w:highlight w:val="none"/>
                    </w:rPr>
                    <w:t>（t）</w:t>
                  </w:r>
                </w:p>
              </w:tc>
              <w:tc>
                <w:tcPr>
                  <w:tcW w:w="1725" w:type="dxa"/>
                  <w:noWrap w:val="0"/>
                  <w:vAlign w:val="center"/>
                </w:tcPr>
                <w:p w14:paraId="75ED4DC0">
                  <w:pPr>
                    <w:autoSpaceDE w:val="0"/>
                    <w:autoSpaceDN w:val="0"/>
                    <w:adjustRightInd w:val="0"/>
                    <w:snapToGrid w:val="0"/>
                    <w:jc w:val="center"/>
                    <w:rPr>
                      <w:rFonts w:hint="default" w:ascii="Times New Roman" w:hAnsi="Times New Roman" w:cs="Times New Roman"/>
                      <w:b/>
                      <w:bCs/>
                      <w:color w:val="auto"/>
                      <w:szCs w:val="21"/>
                      <w:highlight w:val="none"/>
                    </w:rPr>
                  </w:pPr>
                  <w:r>
                    <w:rPr>
                      <w:rFonts w:hint="default" w:ascii="Times New Roman" w:hAnsi="Times New Roman" w:eastAsia="宋体" w:cs="Times New Roman"/>
                      <w:b/>
                      <w:bCs/>
                      <w:color w:val="auto"/>
                      <w:szCs w:val="21"/>
                      <w:highlight w:val="none"/>
                      <w:lang w:val="en-US" w:eastAsia="zh-CN"/>
                    </w:rPr>
                    <w:t>q/Q</w:t>
                  </w:r>
                </w:p>
              </w:tc>
            </w:tr>
            <w:tr w14:paraId="1E8865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828" w:type="dxa"/>
                  <w:noWrap w:val="0"/>
                  <w:vAlign w:val="center"/>
                </w:tcPr>
                <w:p w14:paraId="391EB005">
                  <w:pPr>
                    <w:keepNext w:val="0"/>
                    <w:keepLines w:val="0"/>
                    <w:widowControl/>
                    <w:suppressLineNumbers w:val="0"/>
                    <w:jc w:val="center"/>
                    <w:textAlignment w:val="center"/>
                    <w:rPr>
                      <w:rFonts w:hint="eastAsia"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1</w:t>
                  </w:r>
                </w:p>
              </w:tc>
              <w:tc>
                <w:tcPr>
                  <w:tcW w:w="2111" w:type="dxa"/>
                  <w:noWrap w:val="0"/>
                  <w:vAlign w:val="center"/>
                </w:tcPr>
                <w:p w14:paraId="732EE52E">
                  <w:pPr>
                    <w:widowControl/>
                    <w:jc w:val="center"/>
                    <w:textAlignment w:val="center"/>
                    <w:rPr>
                      <w:rFonts w:hint="default" w:ascii="Times New Roman" w:hAnsi="Times New Roman" w:eastAsia="宋体" w:cs="Times New Roman"/>
                      <w:color w:val="auto"/>
                      <w:kern w:val="0"/>
                      <w:szCs w:val="21"/>
                      <w:highlight w:val="none"/>
                      <w:lang w:val="en-US" w:eastAsia="zh-CN" w:bidi="ar"/>
                    </w:rPr>
                  </w:pPr>
                  <w:r>
                    <w:rPr>
                      <w:rFonts w:hint="default" w:ascii="Times New Roman" w:hAnsi="Times New Roman" w:eastAsia="宋体" w:cs="Times New Roman"/>
                      <w:color w:val="auto"/>
                      <w:kern w:val="0"/>
                      <w:szCs w:val="21"/>
                      <w:highlight w:val="none"/>
                      <w:lang w:val="en-US" w:eastAsia="zh-CN" w:bidi="ar"/>
                    </w:rPr>
                    <w:t>甲基橙</w:t>
                  </w:r>
                </w:p>
              </w:tc>
              <w:tc>
                <w:tcPr>
                  <w:tcW w:w="1408" w:type="dxa"/>
                  <w:noWrap w:val="0"/>
                  <w:vAlign w:val="center"/>
                </w:tcPr>
                <w:p w14:paraId="5F497F84">
                  <w:pPr>
                    <w:widowControl/>
                    <w:jc w:val="center"/>
                    <w:textAlignment w:val="center"/>
                    <w:rPr>
                      <w:rFonts w:hint="default" w:ascii="Times New Roman" w:hAnsi="Times New Roman" w:eastAsia="宋体" w:cs="Times New Roman"/>
                      <w:color w:val="auto"/>
                      <w:kern w:val="0"/>
                      <w:szCs w:val="21"/>
                      <w:highlight w:val="none"/>
                      <w:lang w:val="en-US" w:eastAsia="zh-CN" w:bidi="ar"/>
                    </w:rPr>
                  </w:pPr>
                  <w:r>
                    <w:rPr>
                      <w:rFonts w:hint="default" w:ascii="Times New Roman" w:hAnsi="Times New Roman" w:eastAsia="宋体" w:cs="Times New Roman"/>
                      <w:color w:val="auto"/>
                      <w:kern w:val="0"/>
                      <w:szCs w:val="21"/>
                      <w:highlight w:val="none"/>
                      <w:lang w:val="en-US" w:eastAsia="zh-CN" w:bidi="ar"/>
                    </w:rPr>
                    <w:t>0.05</w:t>
                  </w:r>
                </w:p>
              </w:tc>
              <w:tc>
                <w:tcPr>
                  <w:tcW w:w="1205" w:type="dxa"/>
                  <w:noWrap w:val="0"/>
                  <w:vAlign w:val="center"/>
                </w:tcPr>
                <w:p w14:paraId="02DEB661">
                  <w:pPr>
                    <w:widowControl/>
                    <w:jc w:val="center"/>
                    <w:textAlignment w:val="center"/>
                    <w:rPr>
                      <w:rFonts w:hint="default" w:ascii="Times New Roman" w:hAnsi="Times New Roman" w:eastAsia="宋体" w:cs="Times New Roman"/>
                      <w:color w:val="auto"/>
                      <w:kern w:val="0"/>
                      <w:szCs w:val="21"/>
                      <w:highlight w:val="none"/>
                      <w:lang w:val="en-US" w:eastAsia="zh-CN" w:bidi="ar"/>
                    </w:rPr>
                  </w:pPr>
                  <w:r>
                    <w:rPr>
                      <w:rFonts w:hint="default" w:ascii="Times New Roman" w:hAnsi="Times New Roman" w:eastAsia="宋体" w:cs="Times New Roman"/>
                      <w:color w:val="auto"/>
                      <w:kern w:val="0"/>
                      <w:szCs w:val="21"/>
                      <w:highlight w:val="none"/>
                      <w:lang w:val="en-US" w:eastAsia="zh-CN" w:bidi="ar"/>
                    </w:rPr>
                    <w:t>50</w:t>
                  </w:r>
                </w:p>
              </w:tc>
              <w:tc>
                <w:tcPr>
                  <w:tcW w:w="1725" w:type="dxa"/>
                  <w:noWrap w:val="0"/>
                  <w:vAlign w:val="center"/>
                </w:tcPr>
                <w:p w14:paraId="101E8AA1">
                  <w:pPr>
                    <w:keepNext w:val="0"/>
                    <w:keepLines w:val="0"/>
                    <w:widowControl/>
                    <w:suppressLineNumbers w:val="0"/>
                    <w:jc w:val="center"/>
                    <w:textAlignment w:val="center"/>
                    <w:rPr>
                      <w:rFonts w:hint="default" w:ascii="Times New Roman" w:hAnsi="Times New Roman" w:eastAsia="宋体" w:cs="Times New Roman"/>
                      <w:color w:val="auto"/>
                      <w:kern w:val="0"/>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0.000001</w:t>
                  </w:r>
                </w:p>
              </w:tc>
            </w:tr>
            <w:tr w14:paraId="183FE9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828" w:type="dxa"/>
                  <w:noWrap w:val="0"/>
                  <w:vAlign w:val="center"/>
                </w:tcPr>
                <w:p w14:paraId="3BBF96CC">
                  <w:pPr>
                    <w:keepNext w:val="0"/>
                    <w:keepLines w:val="0"/>
                    <w:widowControl/>
                    <w:suppressLineNumbers w:val="0"/>
                    <w:jc w:val="center"/>
                    <w:textAlignment w:val="center"/>
                    <w:rPr>
                      <w:rFonts w:hint="eastAsia"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2</w:t>
                  </w:r>
                </w:p>
              </w:tc>
              <w:tc>
                <w:tcPr>
                  <w:tcW w:w="2111" w:type="dxa"/>
                  <w:noWrap w:val="0"/>
                  <w:vAlign w:val="center"/>
                </w:tcPr>
                <w:p w14:paraId="01831375">
                  <w:pPr>
                    <w:widowControl/>
                    <w:jc w:val="center"/>
                    <w:textAlignment w:val="center"/>
                    <w:rPr>
                      <w:rFonts w:hint="default" w:ascii="Times New Roman" w:hAnsi="Times New Roman" w:eastAsia="宋体" w:cs="Times New Roman"/>
                      <w:color w:val="auto"/>
                      <w:kern w:val="0"/>
                      <w:szCs w:val="21"/>
                      <w:highlight w:val="none"/>
                      <w:lang w:val="en-US" w:eastAsia="zh-CN" w:bidi="ar"/>
                    </w:rPr>
                  </w:pPr>
                  <w:r>
                    <w:rPr>
                      <w:rFonts w:hint="default" w:ascii="Times New Roman" w:hAnsi="Times New Roman" w:eastAsia="宋体" w:cs="Times New Roman"/>
                      <w:color w:val="auto"/>
                      <w:kern w:val="0"/>
                      <w:szCs w:val="21"/>
                      <w:highlight w:val="none"/>
                      <w:lang w:val="en-US" w:eastAsia="zh-CN" w:bidi="ar"/>
                    </w:rPr>
                    <w:t>甲醇</w:t>
                  </w:r>
                </w:p>
              </w:tc>
              <w:tc>
                <w:tcPr>
                  <w:tcW w:w="1408" w:type="dxa"/>
                  <w:noWrap w:val="0"/>
                  <w:vAlign w:val="center"/>
                </w:tcPr>
                <w:p w14:paraId="691B17C7">
                  <w:pPr>
                    <w:widowControl/>
                    <w:jc w:val="center"/>
                    <w:textAlignment w:val="center"/>
                    <w:rPr>
                      <w:rFonts w:hint="default" w:ascii="Times New Roman" w:hAnsi="Times New Roman" w:eastAsia="宋体" w:cs="Times New Roman"/>
                      <w:color w:val="auto"/>
                      <w:kern w:val="0"/>
                      <w:szCs w:val="21"/>
                      <w:highlight w:val="none"/>
                      <w:lang w:val="en-US" w:eastAsia="zh-CN" w:bidi="ar"/>
                    </w:rPr>
                  </w:pPr>
                  <w:r>
                    <w:rPr>
                      <w:rFonts w:hint="default" w:ascii="Times New Roman" w:hAnsi="Times New Roman" w:eastAsia="宋体" w:cs="Times New Roman"/>
                      <w:color w:val="auto"/>
                      <w:kern w:val="0"/>
                      <w:szCs w:val="21"/>
                      <w:highlight w:val="none"/>
                      <w:lang w:val="en-US" w:eastAsia="zh-CN" w:bidi="ar"/>
                    </w:rPr>
                    <w:t>2.5</w:t>
                  </w:r>
                </w:p>
              </w:tc>
              <w:tc>
                <w:tcPr>
                  <w:tcW w:w="1205" w:type="dxa"/>
                  <w:noWrap w:val="0"/>
                  <w:vAlign w:val="center"/>
                </w:tcPr>
                <w:p w14:paraId="731AD42D">
                  <w:pPr>
                    <w:widowControl/>
                    <w:jc w:val="center"/>
                    <w:textAlignment w:val="center"/>
                    <w:rPr>
                      <w:rFonts w:hint="default" w:ascii="Times New Roman" w:hAnsi="Times New Roman" w:eastAsia="宋体" w:cs="Times New Roman"/>
                      <w:color w:val="auto"/>
                      <w:kern w:val="0"/>
                      <w:szCs w:val="21"/>
                      <w:highlight w:val="none"/>
                      <w:lang w:val="en-US" w:eastAsia="zh-CN" w:bidi="ar"/>
                    </w:rPr>
                  </w:pPr>
                  <w:r>
                    <w:rPr>
                      <w:rFonts w:hint="default" w:ascii="Times New Roman" w:hAnsi="Times New Roman" w:eastAsia="宋体" w:cs="Times New Roman"/>
                      <w:color w:val="auto"/>
                      <w:kern w:val="0"/>
                      <w:szCs w:val="21"/>
                      <w:highlight w:val="none"/>
                      <w:lang w:val="en-US" w:eastAsia="zh-CN" w:bidi="ar"/>
                    </w:rPr>
                    <w:t>10</w:t>
                  </w:r>
                </w:p>
              </w:tc>
              <w:tc>
                <w:tcPr>
                  <w:tcW w:w="1725" w:type="dxa"/>
                  <w:noWrap w:val="0"/>
                  <w:vAlign w:val="center"/>
                </w:tcPr>
                <w:p w14:paraId="7885DBCA">
                  <w:pPr>
                    <w:keepNext w:val="0"/>
                    <w:keepLines w:val="0"/>
                    <w:widowControl/>
                    <w:suppressLineNumbers w:val="0"/>
                    <w:jc w:val="center"/>
                    <w:textAlignment w:val="center"/>
                    <w:rPr>
                      <w:rFonts w:hint="default" w:ascii="Times New Roman" w:hAnsi="Times New Roman" w:eastAsia="宋体" w:cs="Times New Roman"/>
                      <w:color w:val="auto"/>
                      <w:kern w:val="0"/>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0.00025</w:t>
                  </w:r>
                </w:p>
              </w:tc>
            </w:tr>
            <w:tr w14:paraId="19F271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828" w:type="dxa"/>
                  <w:noWrap w:val="0"/>
                  <w:vAlign w:val="center"/>
                </w:tcPr>
                <w:p w14:paraId="3B52B71E">
                  <w:pPr>
                    <w:keepNext w:val="0"/>
                    <w:keepLines w:val="0"/>
                    <w:widowControl/>
                    <w:suppressLineNumbers w:val="0"/>
                    <w:jc w:val="center"/>
                    <w:textAlignment w:val="center"/>
                    <w:rPr>
                      <w:rFonts w:hint="eastAsia"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3</w:t>
                  </w:r>
                </w:p>
              </w:tc>
              <w:tc>
                <w:tcPr>
                  <w:tcW w:w="2111" w:type="dxa"/>
                  <w:noWrap w:val="0"/>
                  <w:vAlign w:val="center"/>
                </w:tcPr>
                <w:p w14:paraId="3A45CCBA">
                  <w:pPr>
                    <w:widowControl/>
                    <w:jc w:val="center"/>
                    <w:textAlignment w:val="center"/>
                    <w:rPr>
                      <w:rFonts w:hint="default" w:ascii="Times New Roman" w:hAnsi="Times New Roman" w:eastAsia="宋体" w:cs="Times New Roman"/>
                      <w:color w:val="auto"/>
                      <w:kern w:val="0"/>
                      <w:szCs w:val="21"/>
                      <w:highlight w:val="none"/>
                      <w:lang w:val="en-US" w:eastAsia="zh-CN" w:bidi="ar"/>
                    </w:rPr>
                  </w:pPr>
                  <w:r>
                    <w:rPr>
                      <w:rFonts w:hint="default" w:ascii="Times New Roman" w:hAnsi="Times New Roman" w:eastAsia="宋体" w:cs="Times New Roman"/>
                      <w:color w:val="auto"/>
                      <w:kern w:val="0"/>
                      <w:szCs w:val="21"/>
                      <w:highlight w:val="none"/>
                      <w:lang w:val="en-US" w:eastAsia="zh-CN" w:bidi="ar"/>
                    </w:rPr>
                    <w:t>无水乙醇</w:t>
                  </w:r>
                </w:p>
              </w:tc>
              <w:tc>
                <w:tcPr>
                  <w:tcW w:w="1408" w:type="dxa"/>
                  <w:noWrap w:val="0"/>
                  <w:vAlign w:val="center"/>
                </w:tcPr>
                <w:p w14:paraId="1AA5A9B5">
                  <w:pPr>
                    <w:widowControl/>
                    <w:jc w:val="center"/>
                    <w:textAlignment w:val="center"/>
                    <w:rPr>
                      <w:rFonts w:hint="default" w:ascii="Times New Roman" w:hAnsi="Times New Roman" w:eastAsia="宋体" w:cs="Times New Roman"/>
                      <w:color w:val="auto"/>
                      <w:kern w:val="0"/>
                      <w:szCs w:val="21"/>
                      <w:highlight w:val="none"/>
                      <w:lang w:val="en-US" w:eastAsia="zh-CN" w:bidi="ar"/>
                    </w:rPr>
                  </w:pPr>
                  <w:r>
                    <w:rPr>
                      <w:rFonts w:hint="default" w:ascii="Times New Roman" w:hAnsi="Times New Roman" w:eastAsia="宋体" w:cs="Times New Roman"/>
                      <w:color w:val="auto"/>
                      <w:kern w:val="0"/>
                      <w:szCs w:val="21"/>
                      <w:highlight w:val="none"/>
                      <w:lang w:val="en-US" w:eastAsia="zh-CN" w:bidi="ar"/>
                    </w:rPr>
                    <w:t>4</w:t>
                  </w:r>
                </w:p>
              </w:tc>
              <w:tc>
                <w:tcPr>
                  <w:tcW w:w="1205" w:type="dxa"/>
                  <w:noWrap w:val="0"/>
                  <w:vAlign w:val="center"/>
                </w:tcPr>
                <w:p w14:paraId="07BFD3D1">
                  <w:pPr>
                    <w:widowControl/>
                    <w:jc w:val="center"/>
                    <w:textAlignment w:val="center"/>
                    <w:rPr>
                      <w:rFonts w:hint="default" w:ascii="Times New Roman" w:hAnsi="Times New Roman" w:eastAsia="宋体" w:cs="Times New Roman"/>
                      <w:color w:val="auto"/>
                      <w:kern w:val="0"/>
                      <w:szCs w:val="21"/>
                      <w:highlight w:val="none"/>
                      <w:lang w:val="en-US" w:eastAsia="zh-CN" w:bidi="ar"/>
                    </w:rPr>
                  </w:pPr>
                  <w:r>
                    <w:rPr>
                      <w:rFonts w:hint="default" w:ascii="Times New Roman" w:hAnsi="Times New Roman" w:eastAsia="宋体" w:cs="Times New Roman"/>
                      <w:color w:val="auto"/>
                      <w:kern w:val="0"/>
                      <w:szCs w:val="21"/>
                      <w:highlight w:val="none"/>
                      <w:lang w:val="en-US" w:eastAsia="zh-CN" w:bidi="ar"/>
                    </w:rPr>
                    <w:t>50</w:t>
                  </w:r>
                  <w:r>
                    <w:rPr>
                      <w:rFonts w:hint="eastAsia" w:cs="Times New Roman"/>
                      <w:color w:val="auto"/>
                      <w:kern w:val="0"/>
                      <w:szCs w:val="21"/>
                      <w:highlight w:val="none"/>
                      <w:lang w:val="en-US" w:eastAsia="zh-CN" w:bidi="ar"/>
                    </w:rPr>
                    <w:t>0</w:t>
                  </w:r>
                </w:p>
              </w:tc>
              <w:tc>
                <w:tcPr>
                  <w:tcW w:w="1725" w:type="dxa"/>
                  <w:noWrap w:val="0"/>
                  <w:vAlign w:val="center"/>
                </w:tcPr>
                <w:p w14:paraId="0D3E2190">
                  <w:pPr>
                    <w:keepNext w:val="0"/>
                    <w:keepLines w:val="0"/>
                    <w:widowControl/>
                    <w:suppressLineNumbers w:val="0"/>
                    <w:jc w:val="center"/>
                    <w:textAlignment w:val="center"/>
                    <w:rPr>
                      <w:rFonts w:hint="default" w:ascii="Times New Roman" w:hAnsi="Times New Roman" w:eastAsia="宋体" w:cs="Times New Roman"/>
                      <w:color w:val="auto"/>
                      <w:kern w:val="0"/>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0.000008</w:t>
                  </w:r>
                </w:p>
              </w:tc>
            </w:tr>
            <w:tr w14:paraId="5039A8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828" w:type="dxa"/>
                  <w:noWrap w:val="0"/>
                  <w:vAlign w:val="center"/>
                </w:tcPr>
                <w:p w14:paraId="26301E78">
                  <w:pPr>
                    <w:keepNext w:val="0"/>
                    <w:keepLines w:val="0"/>
                    <w:widowControl/>
                    <w:suppressLineNumbers w:val="0"/>
                    <w:jc w:val="center"/>
                    <w:textAlignment w:val="center"/>
                    <w:rPr>
                      <w:rFonts w:hint="eastAsia"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4</w:t>
                  </w:r>
                </w:p>
              </w:tc>
              <w:tc>
                <w:tcPr>
                  <w:tcW w:w="2111" w:type="dxa"/>
                  <w:noWrap w:val="0"/>
                  <w:vAlign w:val="center"/>
                </w:tcPr>
                <w:p w14:paraId="1F1FC89C">
                  <w:pPr>
                    <w:widowControl/>
                    <w:jc w:val="center"/>
                    <w:textAlignment w:val="center"/>
                    <w:rPr>
                      <w:rFonts w:hint="default" w:ascii="Times New Roman" w:hAnsi="Times New Roman" w:eastAsia="宋体" w:cs="Times New Roman"/>
                      <w:color w:val="auto"/>
                      <w:kern w:val="0"/>
                      <w:szCs w:val="21"/>
                      <w:highlight w:val="none"/>
                      <w:lang w:val="en-US" w:eastAsia="zh-CN" w:bidi="ar"/>
                    </w:rPr>
                  </w:pPr>
                  <w:r>
                    <w:rPr>
                      <w:rFonts w:hint="default" w:ascii="Times New Roman" w:hAnsi="Times New Roman" w:eastAsia="宋体" w:cs="Times New Roman"/>
                      <w:color w:val="auto"/>
                      <w:kern w:val="0"/>
                      <w:szCs w:val="21"/>
                      <w:highlight w:val="none"/>
                      <w:lang w:val="en-US" w:eastAsia="zh-CN" w:bidi="ar"/>
                    </w:rPr>
                    <w:t>丙酮</w:t>
                  </w:r>
                </w:p>
              </w:tc>
              <w:tc>
                <w:tcPr>
                  <w:tcW w:w="1408" w:type="dxa"/>
                  <w:noWrap w:val="0"/>
                  <w:vAlign w:val="center"/>
                </w:tcPr>
                <w:p w14:paraId="460AE526">
                  <w:pPr>
                    <w:widowControl/>
                    <w:jc w:val="center"/>
                    <w:textAlignment w:val="center"/>
                    <w:rPr>
                      <w:rFonts w:hint="default" w:ascii="Times New Roman" w:hAnsi="Times New Roman" w:eastAsia="宋体" w:cs="Times New Roman"/>
                      <w:color w:val="auto"/>
                      <w:kern w:val="0"/>
                      <w:szCs w:val="21"/>
                      <w:highlight w:val="none"/>
                      <w:lang w:val="en-US" w:eastAsia="zh-CN" w:bidi="ar"/>
                    </w:rPr>
                  </w:pPr>
                  <w:r>
                    <w:rPr>
                      <w:rFonts w:hint="eastAsia" w:cs="Times New Roman"/>
                      <w:color w:val="auto"/>
                      <w:kern w:val="0"/>
                      <w:szCs w:val="21"/>
                      <w:highlight w:val="none"/>
                      <w:lang w:val="en-US" w:eastAsia="zh-CN" w:bidi="ar"/>
                    </w:rPr>
                    <w:t>19.1525</w:t>
                  </w:r>
                </w:p>
              </w:tc>
              <w:tc>
                <w:tcPr>
                  <w:tcW w:w="1205" w:type="dxa"/>
                  <w:noWrap w:val="0"/>
                  <w:vAlign w:val="center"/>
                </w:tcPr>
                <w:p w14:paraId="2FDDFFC9">
                  <w:pPr>
                    <w:widowControl/>
                    <w:jc w:val="center"/>
                    <w:textAlignment w:val="center"/>
                    <w:rPr>
                      <w:rFonts w:hint="default" w:ascii="Times New Roman" w:hAnsi="Times New Roman" w:eastAsia="宋体" w:cs="Times New Roman"/>
                      <w:color w:val="auto"/>
                      <w:kern w:val="0"/>
                      <w:szCs w:val="21"/>
                      <w:highlight w:val="none"/>
                      <w:lang w:val="en-US" w:eastAsia="zh-CN" w:bidi="ar"/>
                    </w:rPr>
                  </w:pPr>
                  <w:r>
                    <w:rPr>
                      <w:rFonts w:hint="default" w:ascii="Times New Roman" w:hAnsi="Times New Roman" w:eastAsia="宋体" w:cs="Times New Roman"/>
                      <w:color w:val="auto"/>
                      <w:kern w:val="0"/>
                      <w:szCs w:val="21"/>
                      <w:highlight w:val="none"/>
                      <w:lang w:val="en-US" w:eastAsia="zh-CN" w:bidi="ar"/>
                    </w:rPr>
                    <w:t>10</w:t>
                  </w:r>
                </w:p>
              </w:tc>
              <w:tc>
                <w:tcPr>
                  <w:tcW w:w="1725" w:type="dxa"/>
                  <w:shd w:val="clear" w:color="auto" w:fill="auto"/>
                  <w:noWrap w:val="0"/>
                  <w:vAlign w:val="center"/>
                </w:tcPr>
                <w:p w14:paraId="1E8BC1B1">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0.00191525</w:t>
                  </w:r>
                </w:p>
              </w:tc>
            </w:tr>
            <w:tr w14:paraId="2B9565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828" w:type="dxa"/>
                  <w:noWrap w:val="0"/>
                  <w:vAlign w:val="center"/>
                </w:tcPr>
                <w:p w14:paraId="74B2AD9C">
                  <w:pPr>
                    <w:keepNext w:val="0"/>
                    <w:keepLines w:val="0"/>
                    <w:widowControl/>
                    <w:suppressLineNumbers w:val="0"/>
                    <w:jc w:val="center"/>
                    <w:textAlignment w:val="center"/>
                    <w:rPr>
                      <w:rFonts w:hint="default" w:ascii="Times New Roman" w:hAnsi="Times New Roman" w:cs="Times New Roman"/>
                      <w:color w:val="auto"/>
                      <w:szCs w:val="21"/>
                      <w:highlight w:val="none"/>
                      <w:lang w:val="en-US" w:bidi="zh-CN"/>
                    </w:rPr>
                  </w:pPr>
                  <w:r>
                    <w:rPr>
                      <w:rFonts w:hint="eastAsia" w:cs="Times New Roman"/>
                      <w:color w:val="auto"/>
                      <w:szCs w:val="21"/>
                      <w:highlight w:val="none"/>
                      <w:lang w:val="en-US" w:bidi="zh-CN"/>
                    </w:rPr>
                    <w:t>5</w:t>
                  </w:r>
                </w:p>
              </w:tc>
              <w:tc>
                <w:tcPr>
                  <w:tcW w:w="2111" w:type="dxa"/>
                  <w:noWrap w:val="0"/>
                  <w:vAlign w:val="center"/>
                </w:tcPr>
                <w:p w14:paraId="6C894086">
                  <w:pPr>
                    <w:widowControl/>
                    <w:jc w:val="center"/>
                    <w:textAlignment w:val="center"/>
                    <w:rPr>
                      <w:rFonts w:hint="default" w:ascii="Times New Roman" w:hAnsi="Times New Roman" w:eastAsia="宋体" w:cs="Times New Roman"/>
                      <w:color w:val="auto"/>
                      <w:kern w:val="0"/>
                      <w:szCs w:val="21"/>
                      <w:highlight w:val="none"/>
                      <w:lang w:val="en-US" w:eastAsia="zh-CN" w:bidi="ar"/>
                    </w:rPr>
                  </w:pPr>
                  <w:r>
                    <w:rPr>
                      <w:rFonts w:hint="default" w:ascii="Times New Roman" w:hAnsi="Times New Roman" w:eastAsia="宋体" w:cs="Times New Roman"/>
                      <w:color w:val="auto"/>
                      <w:kern w:val="0"/>
                      <w:szCs w:val="21"/>
                      <w:highlight w:val="none"/>
                      <w:lang w:val="en-US" w:eastAsia="zh-CN" w:bidi="ar"/>
                    </w:rPr>
                    <w:t>苯酚</w:t>
                  </w:r>
                </w:p>
              </w:tc>
              <w:tc>
                <w:tcPr>
                  <w:tcW w:w="1408" w:type="dxa"/>
                  <w:noWrap w:val="0"/>
                  <w:vAlign w:val="center"/>
                </w:tcPr>
                <w:p w14:paraId="6FE03BFB">
                  <w:pPr>
                    <w:widowControl/>
                    <w:jc w:val="center"/>
                    <w:textAlignment w:val="center"/>
                    <w:rPr>
                      <w:rFonts w:hint="default" w:ascii="Times New Roman" w:hAnsi="Times New Roman" w:eastAsia="宋体" w:cs="Times New Roman"/>
                      <w:color w:val="auto"/>
                      <w:kern w:val="0"/>
                      <w:szCs w:val="21"/>
                      <w:highlight w:val="none"/>
                      <w:lang w:val="en-US" w:eastAsia="zh-CN" w:bidi="ar"/>
                    </w:rPr>
                  </w:pPr>
                  <w:r>
                    <w:rPr>
                      <w:rFonts w:hint="default" w:ascii="Times New Roman" w:hAnsi="Times New Roman" w:eastAsia="宋体" w:cs="Times New Roman"/>
                      <w:color w:val="auto"/>
                      <w:kern w:val="0"/>
                      <w:szCs w:val="21"/>
                      <w:highlight w:val="none"/>
                      <w:lang w:val="en-US" w:eastAsia="zh-CN" w:bidi="ar"/>
                    </w:rPr>
                    <w:t>1</w:t>
                  </w:r>
                </w:p>
              </w:tc>
              <w:tc>
                <w:tcPr>
                  <w:tcW w:w="1205" w:type="dxa"/>
                  <w:noWrap w:val="0"/>
                  <w:vAlign w:val="center"/>
                </w:tcPr>
                <w:p w14:paraId="789D027E">
                  <w:pPr>
                    <w:widowControl/>
                    <w:jc w:val="center"/>
                    <w:textAlignment w:val="center"/>
                    <w:rPr>
                      <w:rFonts w:hint="default" w:ascii="Times New Roman" w:hAnsi="Times New Roman" w:eastAsia="宋体" w:cs="Times New Roman"/>
                      <w:color w:val="auto"/>
                      <w:kern w:val="0"/>
                      <w:szCs w:val="21"/>
                      <w:highlight w:val="none"/>
                      <w:lang w:val="en-US" w:eastAsia="zh-CN" w:bidi="ar"/>
                    </w:rPr>
                  </w:pPr>
                  <w:r>
                    <w:rPr>
                      <w:rFonts w:hint="default" w:ascii="Times New Roman" w:hAnsi="Times New Roman" w:eastAsia="宋体" w:cs="Times New Roman"/>
                      <w:color w:val="auto"/>
                      <w:kern w:val="0"/>
                      <w:szCs w:val="21"/>
                      <w:highlight w:val="none"/>
                      <w:lang w:val="en-US" w:eastAsia="zh-CN" w:bidi="ar"/>
                    </w:rPr>
                    <w:t>5</w:t>
                  </w:r>
                </w:p>
              </w:tc>
              <w:tc>
                <w:tcPr>
                  <w:tcW w:w="1725" w:type="dxa"/>
                  <w:noWrap w:val="0"/>
                  <w:vAlign w:val="center"/>
                </w:tcPr>
                <w:p w14:paraId="2D09ECE2">
                  <w:pPr>
                    <w:keepNext w:val="0"/>
                    <w:keepLines w:val="0"/>
                    <w:widowControl/>
                    <w:suppressLineNumbers w:val="0"/>
                    <w:jc w:val="center"/>
                    <w:textAlignment w:val="center"/>
                    <w:rPr>
                      <w:rFonts w:hint="default" w:ascii="Times New Roman" w:hAnsi="Times New Roman" w:eastAsia="宋体" w:cs="Times New Roman"/>
                      <w:color w:val="auto"/>
                      <w:kern w:val="0"/>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0.0002</w:t>
                  </w:r>
                </w:p>
              </w:tc>
            </w:tr>
            <w:tr w14:paraId="0761B0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828" w:type="dxa"/>
                  <w:noWrap w:val="0"/>
                  <w:vAlign w:val="center"/>
                </w:tcPr>
                <w:p w14:paraId="0DA552FD">
                  <w:pPr>
                    <w:keepNext w:val="0"/>
                    <w:keepLines w:val="0"/>
                    <w:widowControl/>
                    <w:suppressLineNumbers w:val="0"/>
                    <w:jc w:val="center"/>
                    <w:textAlignment w:val="center"/>
                    <w:rPr>
                      <w:rFonts w:hint="eastAsia"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6</w:t>
                  </w:r>
                </w:p>
              </w:tc>
              <w:tc>
                <w:tcPr>
                  <w:tcW w:w="2111" w:type="dxa"/>
                  <w:noWrap w:val="0"/>
                  <w:vAlign w:val="center"/>
                </w:tcPr>
                <w:p w14:paraId="58F078EC">
                  <w:pPr>
                    <w:widowControl/>
                    <w:jc w:val="center"/>
                    <w:textAlignment w:val="center"/>
                    <w:rPr>
                      <w:rFonts w:hint="default" w:ascii="Times New Roman" w:hAnsi="Times New Roman" w:eastAsia="宋体" w:cs="Times New Roman"/>
                      <w:color w:val="auto"/>
                      <w:kern w:val="0"/>
                      <w:szCs w:val="21"/>
                      <w:highlight w:val="none"/>
                      <w:lang w:val="en-US" w:eastAsia="zh-CN" w:bidi="ar"/>
                    </w:rPr>
                  </w:pPr>
                  <w:r>
                    <w:rPr>
                      <w:rFonts w:hint="default" w:ascii="Times New Roman" w:hAnsi="Times New Roman" w:cs="Times New Roman"/>
                      <w:color w:val="auto"/>
                      <w:sz w:val="21"/>
                      <w:szCs w:val="21"/>
                      <w:highlight w:val="none"/>
                    </w:rPr>
                    <w:t>硫酸铜</w:t>
                  </w:r>
                </w:p>
              </w:tc>
              <w:tc>
                <w:tcPr>
                  <w:tcW w:w="1408" w:type="dxa"/>
                  <w:noWrap w:val="0"/>
                  <w:vAlign w:val="center"/>
                </w:tcPr>
                <w:p w14:paraId="17BA4984">
                  <w:pPr>
                    <w:widowControl/>
                    <w:jc w:val="center"/>
                    <w:textAlignment w:val="center"/>
                    <w:rPr>
                      <w:rFonts w:hint="default" w:ascii="Times New Roman" w:hAnsi="Times New Roman" w:eastAsia="宋体" w:cs="Times New Roman"/>
                      <w:color w:val="auto"/>
                      <w:kern w:val="0"/>
                      <w:szCs w:val="21"/>
                      <w:highlight w:val="none"/>
                      <w:lang w:val="en-US" w:eastAsia="zh-CN" w:bidi="ar"/>
                    </w:rPr>
                  </w:pPr>
                  <w:r>
                    <w:rPr>
                      <w:rFonts w:hint="eastAsia" w:cs="Times New Roman"/>
                      <w:color w:val="auto"/>
                      <w:kern w:val="0"/>
                      <w:szCs w:val="21"/>
                      <w:highlight w:val="none"/>
                      <w:lang w:val="en-US" w:eastAsia="zh-CN" w:bidi="ar"/>
                    </w:rPr>
                    <w:t>2.5</w:t>
                  </w:r>
                </w:p>
              </w:tc>
              <w:tc>
                <w:tcPr>
                  <w:tcW w:w="1205" w:type="dxa"/>
                  <w:noWrap w:val="0"/>
                  <w:vAlign w:val="center"/>
                </w:tcPr>
                <w:p w14:paraId="7872FC8F">
                  <w:pPr>
                    <w:widowControl/>
                    <w:jc w:val="center"/>
                    <w:textAlignment w:val="center"/>
                    <w:rPr>
                      <w:rFonts w:hint="default" w:ascii="Times New Roman" w:hAnsi="Times New Roman" w:eastAsia="宋体" w:cs="Times New Roman"/>
                      <w:color w:val="auto"/>
                      <w:kern w:val="0"/>
                      <w:szCs w:val="21"/>
                      <w:highlight w:val="none"/>
                      <w:lang w:val="en-US" w:eastAsia="zh-CN" w:bidi="ar"/>
                    </w:rPr>
                  </w:pPr>
                  <w:r>
                    <w:rPr>
                      <w:rFonts w:hint="eastAsia" w:cs="Times New Roman"/>
                      <w:color w:val="auto"/>
                      <w:kern w:val="0"/>
                      <w:szCs w:val="21"/>
                      <w:highlight w:val="none"/>
                      <w:lang w:val="en-US" w:eastAsia="zh-CN" w:bidi="ar"/>
                    </w:rPr>
                    <w:t>100</w:t>
                  </w:r>
                </w:p>
              </w:tc>
              <w:tc>
                <w:tcPr>
                  <w:tcW w:w="1725" w:type="dxa"/>
                  <w:noWrap w:val="0"/>
                  <w:vAlign w:val="center"/>
                </w:tcPr>
                <w:p w14:paraId="7FEEDDF9">
                  <w:pPr>
                    <w:keepNext w:val="0"/>
                    <w:keepLines w:val="0"/>
                    <w:widowControl/>
                    <w:suppressLineNumbers w:val="0"/>
                    <w:jc w:val="center"/>
                    <w:textAlignment w:val="center"/>
                    <w:rPr>
                      <w:rFonts w:hint="default" w:ascii="Times New Roman" w:hAnsi="Times New Roman" w:eastAsia="宋体" w:cs="Times New Roman"/>
                      <w:color w:val="auto"/>
                      <w:kern w:val="0"/>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0.000025</w:t>
                  </w:r>
                </w:p>
              </w:tc>
            </w:tr>
            <w:tr w14:paraId="0BCE9D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828" w:type="dxa"/>
                  <w:noWrap w:val="0"/>
                  <w:vAlign w:val="center"/>
                </w:tcPr>
                <w:p w14:paraId="5D828705">
                  <w:pPr>
                    <w:keepNext w:val="0"/>
                    <w:keepLines w:val="0"/>
                    <w:widowControl/>
                    <w:suppressLineNumbers w:val="0"/>
                    <w:jc w:val="center"/>
                    <w:textAlignment w:val="center"/>
                    <w:rPr>
                      <w:rFonts w:hint="eastAsia"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7</w:t>
                  </w:r>
                </w:p>
              </w:tc>
              <w:tc>
                <w:tcPr>
                  <w:tcW w:w="2111" w:type="dxa"/>
                  <w:noWrap w:val="0"/>
                  <w:vAlign w:val="center"/>
                </w:tcPr>
                <w:p w14:paraId="0FECE63C">
                  <w:pPr>
                    <w:widowControl/>
                    <w:jc w:val="center"/>
                    <w:textAlignment w:val="center"/>
                    <w:rPr>
                      <w:rFonts w:hint="default" w:ascii="Times New Roman" w:hAnsi="Times New Roman" w:eastAsia="宋体" w:cs="Times New Roman"/>
                      <w:color w:val="auto"/>
                      <w:kern w:val="0"/>
                      <w:szCs w:val="21"/>
                      <w:highlight w:val="none"/>
                      <w:lang w:val="en-US" w:eastAsia="zh-CN" w:bidi="ar"/>
                    </w:rPr>
                  </w:pPr>
                  <w:r>
                    <w:rPr>
                      <w:rFonts w:hint="default" w:ascii="Times New Roman" w:hAnsi="Times New Roman" w:cs="Times New Roman"/>
                      <w:color w:val="auto"/>
                      <w:sz w:val="21"/>
                      <w:szCs w:val="21"/>
                      <w:highlight w:val="none"/>
                    </w:rPr>
                    <w:t>重铬酸钾</w:t>
                  </w:r>
                </w:p>
              </w:tc>
              <w:tc>
                <w:tcPr>
                  <w:tcW w:w="1408" w:type="dxa"/>
                  <w:noWrap w:val="0"/>
                  <w:vAlign w:val="center"/>
                </w:tcPr>
                <w:p w14:paraId="1AF41C2D">
                  <w:pPr>
                    <w:widowControl/>
                    <w:jc w:val="center"/>
                    <w:textAlignment w:val="center"/>
                    <w:rPr>
                      <w:rFonts w:hint="default" w:ascii="Times New Roman" w:hAnsi="Times New Roman" w:eastAsia="宋体" w:cs="Times New Roman"/>
                      <w:color w:val="auto"/>
                      <w:kern w:val="0"/>
                      <w:szCs w:val="21"/>
                      <w:highlight w:val="none"/>
                      <w:lang w:val="en-US" w:eastAsia="zh-CN" w:bidi="ar"/>
                    </w:rPr>
                  </w:pPr>
                  <w:r>
                    <w:rPr>
                      <w:rFonts w:hint="eastAsia" w:cs="Times New Roman"/>
                      <w:color w:val="auto"/>
                      <w:kern w:val="0"/>
                      <w:szCs w:val="21"/>
                      <w:highlight w:val="none"/>
                      <w:lang w:val="en-US" w:eastAsia="zh-CN" w:bidi="ar"/>
                    </w:rPr>
                    <w:t>4</w:t>
                  </w:r>
                </w:p>
              </w:tc>
              <w:tc>
                <w:tcPr>
                  <w:tcW w:w="1205" w:type="dxa"/>
                  <w:noWrap w:val="0"/>
                  <w:vAlign w:val="center"/>
                </w:tcPr>
                <w:p w14:paraId="1632832C">
                  <w:pPr>
                    <w:widowControl/>
                    <w:jc w:val="center"/>
                    <w:textAlignment w:val="center"/>
                    <w:rPr>
                      <w:rFonts w:hint="default" w:ascii="Times New Roman" w:hAnsi="Times New Roman" w:eastAsia="宋体" w:cs="Times New Roman"/>
                      <w:color w:val="auto"/>
                      <w:kern w:val="0"/>
                      <w:szCs w:val="21"/>
                      <w:highlight w:val="none"/>
                      <w:lang w:val="en-US" w:eastAsia="zh-CN" w:bidi="ar"/>
                    </w:rPr>
                  </w:pPr>
                  <w:r>
                    <w:rPr>
                      <w:rFonts w:hint="eastAsia" w:cs="Times New Roman"/>
                      <w:color w:val="auto"/>
                      <w:kern w:val="0"/>
                      <w:szCs w:val="21"/>
                      <w:highlight w:val="none"/>
                      <w:lang w:val="en-US" w:eastAsia="zh-CN" w:bidi="ar"/>
                    </w:rPr>
                    <w:t>50</w:t>
                  </w:r>
                </w:p>
              </w:tc>
              <w:tc>
                <w:tcPr>
                  <w:tcW w:w="1725" w:type="dxa"/>
                  <w:noWrap w:val="0"/>
                  <w:vAlign w:val="center"/>
                </w:tcPr>
                <w:p w14:paraId="550519DF">
                  <w:pPr>
                    <w:keepNext w:val="0"/>
                    <w:keepLines w:val="0"/>
                    <w:widowControl/>
                    <w:suppressLineNumbers w:val="0"/>
                    <w:jc w:val="center"/>
                    <w:textAlignment w:val="center"/>
                    <w:rPr>
                      <w:rFonts w:hint="default" w:ascii="Times New Roman" w:hAnsi="Times New Roman" w:eastAsia="宋体" w:cs="Times New Roman"/>
                      <w:color w:val="auto"/>
                      <w:kern w:val="0"/>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0.00008</w:t>
                  </w:r>
                </w:p>
              </w:tc>
            </w:tr>
            <w:tr w14:paraId="66AE64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828" w:type="dxa"/>
                  <w:noWrap w:val="0"/>
                  <w:vAlign w:val="center"/>
                </w:tcPr>
                <w:p w14:paraId="0F7A17E3">
                  <w:pPr>
                    <w:keepNext w:val="0"/>
                    <w:keepLines w:val="0"/>
                    <w:widowControl/>
                    <w:suppressLineNumbers w:val="0"/>
                    <w:jc w:val="center"/>
                    <w:textAlignment w:val="center"/>
                    <w:rPr>
                      <w:rFonts w:hint="eastAsia"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8</w:t>
                  </w:r>
                </w:p>
              </w:tc>
              <w:tc>
                <w:tcPr>
                  <w:tcW w:w="2111" w:type="dxa"/>
                  <w:noWrap w:val="0"/>
                  <w:vAlign w:val="center"/>
                </w:tcPr>
                <w:p w14:paraId="1B72DEB0">
                  <w:pPr>
                    <w:widowControl/>
                    <w:jc w:val="center"/>
                    <w:textAlignment w:val="center"/>
                    <w:rPr>
                      <w:rFonts w:hint="default" w:ascii="Times New Roman" w:hAnsi="Times New Roman" w:eastAsia="宋体" w:cs="Times New Roman"/>
                      <w:color w:val="auto"/>
                      <w:kern w:val="0"/>
                      <w:szCs w:val="21"/>
                      <w:highlight w:val="none"/>
                      <w:lang w:val="en-US" w:eastAsia="zh-CN" w:bidi="ar"/>
                    </w:rPr>
                  </w:pPr>
                  <w:r>
                    <w:rPr>
                      <w:rFonts w:hint="default" w:ascii="Times New Roman" w:hAnsi="Times New Roman" w:cs="Times New Roman"/>
                      <w:color w:val="auto"/>
                      <w:sz w:val="21"/>
                      <w:szCs w:val="21"/>
                      <w:highlight w:val="none"/>
                    </w:rPr>
                    <w:t>亚硝酸钠</w:t>
                  </w:r>
                </w:p>
              </w:tc>
              <w:tc>
                <w:tcPr>
                  <w:tcW w:w="1408" w:type="dxa"/>
                  <w:noWrap w:val="0"/>
                  <w:vAlign w:val="center"/>
                </w:tcPr>
                <w:p w14:paraId="0C52F99D">
                  <w:pPr>
                    <w:widowControl/>
                    <w:jc w:val="center"/>
                    <w:textAlignment w:val="center"/>
                    <w:rPr>
                      <w:rFonts w:hint="default" w:ascii="Times New Roman" w:hAnsi="Times New Roman" w:eastAsia="宋体" w:cs="Times New Roman"/>
                      <w:color w:val="auto"/>
                      <w:kern w:val="0"/>
                      <w:szCs w:val="21"/>
                      <w:highlight w:val="none"/>
                      <w:lang w:val="en-US" w:eastAsia="zh-CN" w:bidi="ar"/>
                    </w:rPr>
                  </w:pPr>
                  <w:r>
                    <w:rPr>
                      <w:rFonts w:hint="eastAsia" w:cs="Times New Roman"/>
                      <w:color w:val="auto"/>
                      <w:kern w:val="0"/>
                      <w:szCs w:val="21"/>
                      <w:highlight w:val="none"/>
                      <w:lang w:val="en-US" w:eastAsia="zh-CN" w:bidi="ar"/>
                    </w:rPr>
                    <w:t>1</w:t>
                  </w:r>
                </w:p>
              </w:tc>
              <w:tc>
                <w:tcPr>
                  <w:tcW w:w="1205" w:type="dxa"/>
                  <w:noWrap w:val="0"/>
                  <w:vAlign w:val="center"/>
                </w:tcPr>
                <w:p w14:paraId="3E90AC75">
                  <w:pPr>
                    <w:widowControl/>
                    <w:jc w:val="center"/>
                    <w:textAlignment w:val="center"/>
                    <w:rPr>
                      <w:rFonts w:hint="default" w:ascii="Times New Roman" w:hAnsi="Times New Roman" w:eastAsia="宋体" w:cs="Times New Roman"/>
                      <w:color w:val="auto"/>
                      <w:kern w:val="0"/>
                      <w:szCs w:val="21"/>
                      <w:highlight w:val="none"/>
                      <w:lang w:val="en-US" w:eastAsia="zh-CN" w:bidi="ar"/>
                    </w:rPr>
                  </w:pPr>
                  <w:r>
                    <w:rPr>
                      <w:rFonts w:hint="eastAsia" w:cs="Times New Roman"/>
                      <w:color w:val="auto"/>
                      <w:kern w:val="0"/>
                      <w:szCs w:val="21"/>
                      <w:highlight w:val="none"/>
                      <w:lang w:val="en-US" w:eastAsia="zh-CN" w:bidi="ar"/>
                    </w:rPr>
                    <w:t>50</w:t>
                  </w:r>
                </w:p>
              </w:tc>
              <w:tc>
                <w:tcPr>
                  <w:tcW w:w="1725" w:type="dxa"/>
                  <w:noWrap w:val="0"/>
                  <w:vAlign w:val="center"/>
                </w:tcPr>
                <w:p w14:paraId="5C275E38">
                  <w:pPr>
                    <w:keepNext w:val="0"/>
                    <w:keepLines w:val="0"/>
                    <w:widowControl/>
                    <w:suppressLineNumbers w:val="0"/>
                    <w:jc w:val="center"/>
                    <w:textAlignment w:val="center"/>
                    <w:rPr>
                      <w:rFonts w:hint="default" w:ascii="Times New Roman" w:hAnsi="Times New Roman" w:eastAsia="宋体" w:cs="Times New Roman"/>
                      <w:color w:val="auto"/>
                      <w:kern w:val="0"/>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0.00002</w:t>
                  </w:r>
                </w:p>
              </w:tc>
            </w:tr>
            <w:tr w14:paraId="0C8FC6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828" w:type="dxa"/>
                  <w:noWrap w:val="0"/>
                  <w:vAlign w:val="center"/>
                </w:tcPr>
                <w:p w14:paraId="77C01C23">
                  <w:pPr>
                    <w:keepNext w:val="0"/>
                    <w:keepLines w:val="0"/>
                    <w:widowControl/>
                    <w:suppressLineNumbers w:val="0"/>
                    <w:jc w:val="center"/>
                    <w:textAlignment w:val="center"/>
                    <w:rPr>
                      <w:rFonts w:hint="default" w:cs="Times New Roman"/>
                      <w:color w:val="auto"/>
                      <w:szCs w:val="21"/>
                      <w:highlight w:val="none"/>
                      <w:lang w:val="en-US" w:eastAsia="zh-CN"/>
                    </w:rPr>
                  </w:pPr>
                  <w:r>
                    <w:rPr>
                      <w:rFonts w:hint="eastAsia" w:cs="Times New Roman"/>
                      <w:color w:val="auto"/>
                      <w:szCs w:val="21"/>
                      <w:highlight w:val="none"/>
                      <w:lang w:val="en-US" w:eastAsia="zh-CN"/>
                    </w:rPr>
                    <w:t>9</w:t>
                  </w:r>
                </w:p>
              </w:tc>
              <w:tc>
                <w:tcPr>
                  <w:tcW w:w="2111" w:type="dxa"/>
                  <w:noWrap w:val="0"/>
                  <w:vAlign w:val="center"/>
                </w:tcPr>
                <w:p w14:paraId="3ACC5391">
                  <w:pPr>
                    <w:widowControl/>
                    <w:jc w:val="center"/>
                    <w:textAlignment w:val="center"/>
                    <w:rPr>
                      <w:rFonts w:hint="default" w:ascii="Times New Roman" w:hAnsi="Times New Roman" w:eastAsia="宋体" w:cs="Times New Roman"/>
                      <w:color w:val="auto"/>
                      <w:kern w:val="0"/>
                      <w:szCs w:val="21"/>
                      <w:highlight w:val="none"/>
                      <w:lang w:val="en-US" w:eastAsia="zh-CN" w:bidi="ar"/>
                    </w:rPr>
                  </w:pPr>
                  <w:r>
                    <w:rPr>
                      <w:rFonts w:hint="eastAsia" w:cs="Times New Roman"/>
                      <w:color w:val="auto"/>
                      <w:sz w:val="21"/>
                      <w:szCs w:val="21"/>
                      <w:highlight w:val="none"/>
                      <w:lang w:val="en-US" w:eastAsia="zh-CN"/>
                    </w:rPr>
                    <w:t>硝酸钾</w:t>
                  </w:r>
                </w:p>
              </w:tc>
              <w:tc>
                <w:tcPr>
                  <w:tcW w:w="1408" w:type="dxa"/>
                  <w:noWrap w:val="0"/>
                  <w:vAlign w:val="center"/>
                </w:tcPr>
                <w:p w14:paraId="5448F12B">
                  <w:pPr>
                    <w:widowControl/>
                    <w:jc w:val="center"/>
                    <w:textAlignment w:val="center"/>
                    <w:rPr>
                      <w:rFonts w:hint="default" w:ascii="Times New Roman" w:hAnsi="Times New Roman" w:eastAsia="宋体" w:cs="Times New Roman"/>
                      <w:color w:val="auto"/>
                      <w:kern w:val="0"/>
                      <w:szCs w:val="21"/>
                      <w:highlight w:val="none"/>
                      <w:lang w:val="en-US" w:eastAsia="zh-CN" w:bidi="ar"/>
                    </w:rPr>
                  </w:pPr>
                  <w:r>
                    <w:rPr>
                      <w:rFonts w:hint="eastAsia" w:cs="Times New Roman"/>
                      <w:color w:val="auto"/>
                      <w:kern w:val="0"/>
                      <w:szCs w:val="21"/>
                      <w:highlight w:val="none"/>
                      <w:lang w:val="en-US" w:eastAsia="zh-CN" w:bidi="ar"/>
                    </w:rPr>
                    <w:t>1</w:t>
                  </w:r>
                </w:p>
              </w:tc>
              <w:tc>
                <w:tcPr>
                  <w:tcW w:w="1205" w:type="dxa"/>
                  <w:noWrap w:val="0"/>
                  <w:vAlign w:val="center"/>
                </w:tcPr>
                <w:p w14:paraId="7B25EC12">
                  <w:pPr>
                    <w:widowControl/>
                    <w:jc w:val="center"/>
                    <w:textAlignment w:val="center"/>
                    <w:rPr>
                      <w:rFonts w:hint="default" w:ascii="Times New Roman" w:hAnsi="Times New Roman" w:eastAsia="宋体" w:cs="Times New Roman"/>
                      <w:color w:val="auto"/>
                      <w:kern w:val="0"/>
                      <w:szCs w:val="21"/>
                      <w:highlight w:val="none"/>
                      <w:lang w:val="en-US" w:eastAsia="zh-CN" w:bidi="ar"/>
                    </w:rPr>
                  </w:pPr>
                  <w:r>
                    <w:rPr>
                      <w:rFonts w:hint="eastAsia" w:cs="Times New Roman"/>
                      <w:color w:val="auto"/>
                      <w:kern w:val="0"/>
                      <w:szCs w:val="21"/>
                      <w:highlight w:val="none"/>
                      <w:lang w:val="en-US" w:eastAsia="zh-CN" w:bidi="ar"/>
                    </w:rPr>
                    <w:t>200</w:t>
                  </w:r>
                </w:p>
              </w:tc>
              <w:tc>
                <w:tcPr>
                  <w:tcW w:w="1725" w:type="dxa"/>
                  <w:noWrap w:val="0"/>
                  <w:vAlign w:val="center"/>
                </w:tcPr>
                <w:p w14:paraId="5C32AC2D">
                  <w:pPr>
                    <w:keepNext w:val="0"/>
                    <w:keepLines w:val="0"/>
                    <w:widowControl/>
                    <w:suppressLineNumbers w:val="0"/>
                    <w:jc w:val="center"/>
                    <w:textAlignment w:val="center"/>
                    <w:rPr>
                      <w:rFonts w:hint="default" w:ascii="Times New Roman" w:hAnsi="Times New Roman" w:eastAsia="宋体" w:cs="Times New Roman"/>
                      <w:color w:val="auto"/>
                      <w:kern w:val="0"/>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0.000005</w:t>
                  </w:r>
                </w:p>
              </w:tc>
            </w:tr>
            <w:tr w14:paraId="7EDC53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828" w:type="dxa"/>
                  <w:noWrap w:val="0"/>
                  <w:vAlign w:val="center"/>
                </w:tcPr>
                <w:p w14:paraId="7A9E2341">
                  <w:pPr>
                    <w:keepNext w:val="0"/>
                    <w:keepLines w:val="0"/>
                    <w:widowControl/>
                    <w:suppressLineNumbers w:val="0"/>
                    <w:jc w:val="center"/>
                    <w:textAlignment w:val="center"/>
                    <w:rPr>
                      <w:rFonts w:hint="default" w:cs="Times New Roman"/>
                      <w:color w:val="auto"/>
                      <w:szCs w:val="21"/>
                      <w:highlight w:val="none"/>
                      <w:lang w:val="en-US" w:eastAsia="zh-CN"/>
                    </w:rPr>
                  </w:pPr>
                  <w:r>
                    <w:rPr>
                      <w:rFonts w:hint="eastAsia" w:cs="Times New Roman"/>
                      <w:color w:val="auto"/>
                      <w:szCs w:val="21"/>
                      <w:highlight w:val="none"/>
                      <w:lang w:val="en-US" w:eastAsia="zh-CN"/>
                    </w:rPr>
                    <w:t>10</w:t>
                  </w:r>
                </w:p>
              </w:tc>
              <w:tc>
                <w:tcPr>
                  <w:tcW w:w="2111" w:type="dxa"/>
                  <w:noWrap w:val="0"/>
                  <w:vAlign w:val="center"/>
                </w:tcPr>
                <w:p w14:paraId="76C26BFE">
                  <w:pPr>
                    <w:widowControl/>
                    <w:jc w:val="center"/>
                    <w:textAlignment w:val="center"/>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氯化钡</w:t>
                  </w:r>
                </w:p>
              </w:tc>
              <w:tc>
                <w:tcPr>
                  <w:tcW w:w="1408" w:type="dxa"/>
                  <w:noWrap w:val="0"/>
                  <w:vAlign w:val="center"/>
                </w:tcPr>
                <w:p w14:paraId="1B8CC32E">
                  <w:pPr>
                    <w:widowControl/>
                    <w:jc w:val="center"/>
                    <w:textAlignment w:val="center"/>
                    <w:rPr>
                      <w:rFonts w:hint="default" w:ascii="Times New Roman" w:hAnsi="Times New Roman" w:eastAsia="宋体" w:cs="Times New Roman"/>
                      <w:color w:val="auto"/>
                      <w:kern w:val="0"/>
                      <w:szCs w:val="21"/>
                      <w:highlight w:val="none"/>
                      <w:lang w:val="en-US" w:eastAsia="zh-CN" w:bidi="ar"/>
                    </w:rPr>
                  </w:pPr>
                  <w:r>
                    <w:rPr>
                      <w:rFonts w:hint="eastAsia" w:cs="Times New Roman"/>
                      <w:color w:val="auto"/>
                      <w:kern w:val="0"/>
                      <w:szCs w:val="21"/>
                      <w:highlight w:val="none"/>
                      <w:lang w:val="en-US" w:eastAsia="zh-CN" w:bidi="ar"/>
                    </w:rPr>
                    <w:t>2.5</w:t>
                  </w:r>
                </w:p>
              </w:tc>
              <w:tc>
                <w:tcPr>
                  <w:tcW w:w="1205" w:type="dxa"/>
                  <w:noWrap w:val="0"/>
                  <w:vAlign w:val="center"/>
                </w:tcPr>
                <w:p w14:paraId="522C9302">
                  <w:pPr>
                    <w:widowControl/>
                    <w:jc w:val="center"/>
                    <w:textAlignment w:val="center"/>
                    <w:rPr>
                      <w:rFonts w:hint="default" w:cs="Times New Roman"/>
                      <w:color w:val="auto"/>
                      <w:kern w:val="0"/>
                      <w:szCs w:val="21"/>
                      <w:highlight w:val="none"/>
                      <w:lang w:val="en-US" w:eastAsia="zh-CN" w:bidi="ar"/>
                    </w:rPr>
                  </w:pPr>
                  <w:r>
                    <w:rPr>
                      <w:rFonts w:hint="eastAsia" w:cs="Times New Roman"/>
                      <w:color w:val="auto"/>
                      <w:kern w:val="0"/>
                      <w:szCs w:val="21"/>
                      <w:highlight w:val="none"/>
                      <w:lang w:val="en-US" w:eastAsia="zh-CN" w:bidi="ar"/>
                    </w:rPr>
                    <w:t>50</w:t>
                  </w:r>
                </w:p>
              </w:tc>
              <w:tc>
                <w:tcPr>
                  <w:tcW w:w="1725" w:type="dxa"/>
                  <w:noWrap w:val="0"/>
                  <w:vAlign w:val="center"/>
                </w:tcPr>
                <w:p w14:paraId="4FED26FC">
                  <w:pPr>
                    <w:keepNext w:val="0"/>
                    <w:keepLines w:val="0"/>
                    <w:widowControl/>
                    <w:suppressLineNumbers w:val="0"/>
                    <w:jc w:val="center"/>
                    <w:textAlignment w:val="center"/>
                    <w:rPr>
                      <w:rFonts w:hint="default" w:ascii="Times New Roman" w:hAnsi="Times New Roman" w:eastAsia="宋体" w:cs="Times New Roman"/>
                      <w:color w:val="auto"/>
                      <w:kern w:val="0"/>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0.00005</w:t>
                  </w:r>
                </w:p>
              </w:tc>
            </w:tr>
            <w:tr w14:paraId="51714E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828" w:type="dxa"/>
                  <w:noWrap w:val="0"/>
                  <w:vAlign w:val="center"/>
                </w:tcPr>
                <w:p w14:paraId="483246CE">
                  <w:pPr>
                    <w:keepNext w:val="0"/>
                    <w:keepLines w:val="0"/>
                    <w:widowControl/>
                    <w:suppressLineNumbers w:val="0"/>
                    <w:jc w:val="center"/>
                    <w:textAlignment w:val="center"/>
                    <w:rPr>
                      <w:rFonts w:hint="default" w:cs="Times New Roman"/>
                      <w:color w:val="auto"/>
                      <w:szCs w:val="21"/>
                      <w:highlight w:val="none"/>
                      <w:lang w:val="en-US" w:eastAsia="zh-CN"/>
                    </w:rPr>
                  </w:pPr>
                  <w:r>
                    <w:rPr>
                      <w:rFonts w:hint="eastAsia" w:cs="Times New Roman"/>
                      <w:color w:val="auto"/>
                      <w:szCs w:val="21"/>
                      <w:highlight w:val="none"/>
                      <w:lang w:val="en-US" w:eastAsia="zh-CN"/>
                    </w:rPr>
                    <w:t>11</w:t>
                  </w:r>
                </w:p>
              </w:tc>
              <w:tc>
                <w:tcPr>
                  <w:tcW w:w="2111" w:type="dxa"/>
                  <w:noWrap w:val="0"/>
                  <w:vAlign w:val="center"/>
                </w:tcPr>
                <w:p w14:paraId="0602996F">
                  <w:pPr>
                    <w:widowControl/>
                    <w:jc w:val="center"/>
                    <w:textAlignment w:val="center"/>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高锰酸钾</w:t>
                  </w:r>
                </w:p>
              </w:tc>
              <w:tc>
                <w:tcPr>
                  <w:tcW w:w="1408" w:type="dxa"/>
                  <w:noWrap w:val="0"/>
                  <w:vAlign w:val="center"/>
                </w:tcPr>
                <w:p w14:paraId="7EF48474">
                  <w:pPr>
                    <w:widowControl/>
                    <w:jc w:val="center"/>
                    <w:textAlignment w:val="center"/>
                    <w:rPr>
                      <w:rFonts w:hint="default" w:ascii="Times New Roman" w:hAnsi="Times New Roman" w:eastAsia="宋体" w:cs="Times New Roman"/>
                      <w:color w:val="auto"/>
                      <w:kern w:val="0"/>
                      <w:szCs w:val="21"/>
                      <w:highlight w:val="none"/>
                      <w:lang w:val="en-US" w:eastAsia="zh-CN" w:bidi="ar"/>
                    </w:rPr>
                  </w:pPr>
                  <w:r>
                    <w:rPr>
                      <w:rFonts w:hint="eastAsia" w:cs="Times New Roman"/>
                      <w:color w:val="auto"/>
                      <w:kern w:val="0"/>
                      <w:szCs w:val="21"/>
                      <w:highlight w:val="none"/>
                      <w:lang w:val="en-US" w:eastAsia="zh-CN" w:bidi="ar"/>
                    </w:rPr>
                    <w:t>0.5</w:t>
                  </w:r>
                </w:p>
              </w:tc>
              <w:tc>
                <w:tcPr>
                  <w:tcW w:w="1205" w:type="dxa"/>
                  <w:noWrap w:val="0"/>
                  <w:vAlign w:val="center"/>
                </w:tcPr>
                <w:p w14:paraId="49EF0BD2">
                  <w:pPr>
                    <w:widowControl/>
                    <w:jc w:val="center"/>
                    <w:textAlignment w:val="center"/>
                    <w:rPr>
                      <w:rFonts w:hint="default" w:cs="Times New Roman"/>
                      <w:color w:val="auto"/>
                      <w:kern w:val="0"/>
                      <w:szCs w:val="21"/>
                      <w:highlight w:val="none"/>
                      <w:lang w:val="en-US" w:eastAsia="zh-CN" w:bidi="ar"/>
                    </w:rPr>
                  </w:pPr>
                  <w:r>
                    <w:rPr>
                      <w:rFonts w:hint="eastAsia" w:cs="Times New Roman"/>
                      <w:color w:val="auto"/>
                      <w:kern w:val="0"/>
                      <w:szCs w:val="21"/>
                      <w:highlight w:val="none"/>
                      <w:lang w:val="en-US" w:eastAsia="zh-CN" w:bidi="ar"/>
                    </w:rPr>
                    <w:t>100</w:t>
                  </w:r>
                </w:p>
              </w:tc>
              <w:tc>
                <w:tcPr>
                  <w:tcW w:w="1725" w:type="dxa"/>
                  <w:noWrap w:val="0"/>
                  <w:vAlign w:val="center"/>
                </w:tcPr>
                <w:p w14:paraId="1B66B351">
                  <w:pPr>
                    <w:keepNext w:val="0"/>
                    <w:keepLines w:val="0"/>
                    <w:widowControl/>
                    <w:suppressLineNumbers w:val="0"/>
                    <w:jc w:val="center"/>
                    <w:textAlignment w:val="center"/>
                    <w:rPr>
                      <w:rFonts w:hint="default" w:ascii="Times New Roman" w:hAnsi="Times New Roman" w:eastAsia="宋体" w:cs="Times New Roman"/>
                      <w:color w:val="auto"/>
                      <w:kern w:val="0"/>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0.000005</w:t>
                  </w:r>
                </w:p>
              </w:tc>
            </w:tr>
            <w:tr w14:paraId="2FFD20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828" w:type="dxa"/>
                  <w:noWrap w:val="0"/>
                  <w:vAlign w:val="center"/>
                </w:tcPr>
                <w:p w14:paraId="44E43303">
                  <w:pPr>
                    <w:keepNext w:val="0"/>
                    <w:keepLines w:val="0"/>
                    <w:widowControl/>
                    <w:suppressLineNumbers w:val="0"/>
                    <w:jc w:val="center"/>
                    <w:textAlignment w:val="center"/>
                    <w:rPr>
                      <w:rFonts w:hint="default" w:cs="Times New Roman"/>
                      <w:color w:val="auto"/>
                      <w:szCs w:val="21"/>
                      <w:highlight w:val="none"/>
                      <w:lang w:val="en-US" w:eastAsia="zh-CN"/>
                    </w:rPr>
                  </w:pPr>
                  <w:r>
                    <w:rPr>
                      <w:rFonts w:hint="eastAsia" w:cs="Times New Roman"/>
                      <w:color w:val="auto"/>
                      <w:szCs w:val="21"/>
                      <w:highlight w:val="none"/>
                      <w:lang w:val="en-US" w:eastAsia="zh-CN"/>
                    </w:rPr>
                    <w:t>12</w:t>
                  </w:r>
                </w:p>
              </w:tc>
              <w:tc>
                <w:tcPr>
                  <w:tcW w:w="2111" w:type="dxa"/>
                  <w:noWrap w:val="0"/>
                  <w:vAlign w:val="center"/>
                </w:tcPr>
                <w:p w14:paraId="4C2302CC">
                  <w:pPr>
                    <w:widowControl/>
                    <w:jc w:val="center"/>
                    <w:textAlignment w:val="center"/>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Cs w:val="21"/>
                      <w:highlight w:val="none"/>
                      <w:lang w:val="en-US" w:eastAsia="zh-CN" w:bidi="ar"/>
                    </w:rPr>
                    <w:t>盐酸</w:t>
                  </w:r>
                </w:p>
              </w:tc>
              <w:tc>
                <w:tcPr>
                  <w:tcW w:w="1408" w:type="dxa"/>
                  <w:noWrap w:val="0"/>
                  <w:vAlign w:val="center"/>
                </w:tcPr>
                <w:p w14:paraId="7D4D2894">
                  <w:pPr>
                    <w:widowControl/>
                    <w:jc w:val="center"/>
                    <w:textAlignment w:val="center"/>
                    <w:rPr>
                      <w:rFonts w:hint="default" w:ascii="Times New Roman" w:hAnsi="Times New Roman" w:eastAsia="宋体" w:cs="Times New Roman"/>
                      <w:color w:val="auto"/>
                      <w:kern w:val="0"/>
                      <w:szCs w:val="21"/>
                      <w:highlight w:val="none"/>
                      <w:lang w:val="en-US" w:eastAsia="zh-CN" w:bidi="ar"/>
                    </w:rPr>
                  </w:pPr>
                  <w:r>
                    <w:rPr>
                      <w:rFonts w:hint="eastAsia" w:cs="Times New Roman"/>
                      <w:color w:val="auto"/>
                      <w:kern w:val="0"/>
                      <w:szCs w:val="21"/>
                      <w:highlight w:val="none"/>
                      <w:lang w:val="en-US" w:eastAsia="zh-CN" w:bidi="ar"/>
                    </w:rPr>
                    <w:t>4.18</w:t>
                  </w:r>
                </w:p>
              </w:tc>
              <w:tc>
                <w:tcPr>
                  <w:tcW w:w="1205" w:type="dxa"/>
                  <w:noWrap w:val="0"/>
                  <w:vAlign w:val="center"/>
                </w:tcPr>
                <w:p w14:paraId="79D0F523">
                  <w:pPr>
                    <w:widowControl/>
                    <w:jc w:val="center"/>
                    <w:textAlignment w:val="center"/>
                    <w:rPr>
                      <w:rFonts w:hint="default" w:cs="Times New Roman"/>
                      <w:color w:val="auto"/>
                      <w:kern w:val="0"/>
                      <w:szCs w:val="21"/>
                      <w:highlight w:val="none"/>
                      <w:lang w:val="en-US" w:eastAsia="zh-CN" w:bidi="ar"/>
                    </w:rPr>
                  </w:pPr>
                  <w:r>
                    <w:rPr>
                      <w:rFonts w:hint="default" w:ascii="Times New Roman" w:hAnsi="Times New Roman" w:eastAsia="宋体" w:cs="Times New Roman"/>
                      <w:color w:val="auto"/>
                      <w:kern w:val="0"/>
                      <w:szCs w:val="21"/>
                      <w:highlight w:val="none"/>
                      <w:lang w:val="en-US" w:eastAsia="zh-CN" w:bidi="ar"/>
                    </w:rPr>
                    <w:t>7.5</w:t>
                  </w:r>
                </w:p>
              </w:tc>
              <w:tc>
                <w:tcPr>
                  <w:tcW w:w="1725" w:type="dxa"/>
                  <w:noWrap w:val="0"/>
                  <w:vAlign w:val="center"/>
                </w:tcPr>
                <w:p w14:paraId="52A1DCBD">
                  <w:pPr>
                    <w:keepNext w:val="0"/>
                    <w:keepLines w:val="0"/>
                    <w:widowControl/>
                    <w:suppressLineNumbers w:val="0"/>
                    <w:jc w:val="center"/>
                    <w:textAlignment w:val="center"/>
                    <w:rPr>
                      <w:rFonts w:hint="default" w:ascii="Times New Roman" w:hAnsi="Times New Roman" w:eastAsia="宋体" w:cs="Times New Roman"/>
                      <w:color w:val="auto"/>
                      <w:kern w:val="0"/>
                      <w:szCs w:val="21"/>
                      <w:highlight w:val="none"/>
                      <w:lang w:val="en-US" w:eastAsia="zh-CN" w:bidi="ar"/>
                    </w:rPr>
                  </w:pPr>
                  <w:r>
                    <w:rPr>
                      <w:rFonts w:hint="eastAsia" w:cs="Times New Roman"/>
                      <w:color w:val="auto"/>
                      <w:kern w:val="0"/>
                      <w:szCs w:val="21"/>
                      <w:highlight w:val="none"/>
                      <w:lang w:val="en-US" w:eastAsia="zh-CN" w:bidi="ar"/>
                    </w:rPr>
                    <w:t>0.000557</w:t>
                  </w:r>
                </w:p>
              </w:tc>
            </w:tr>
            <w:tr w14:paraId="737D1E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828" w:type="dxa"/>
                  <w:noWrap w:val="0"/>
                  <w:vAlign w:val="center"/>
                </w:tcPr>
                <w:p w14:paraId="4907CC9A">
                  <w:pPr>
                    <w:keepNext w:val="0"/>
                    <w:keepLines w:val="0"/>
                    <w:widowControl/>
                    <w:suppressLineNumbers w:val="0"/>
                    <w:jc w:val="center"/>
                    <w:textAlignment w:val="center"/>
                    <w:rPr>
                      <w:rFonts w:hint="default" w:cs="Times New Roman"/>
                      <w:color w:val="auto"/>
                      <w:szCs w:val="21"/>
                      <w:highlight w:val="none"/>
                      <w:lang w:val="en-US" w:eastAsia="zh-CN"/>
                    </w:rPr>
                  </w:pPr>
                  <w:r>
                    <w:rPr>
                      <w:rFonts w:hint="eastAsia" w:cs="Times New Roman"/>
                      <w:color w:val="auto"/>
                      <w:szCs w:val="21"/>
                      <w:highlight w:val="none"/>
                      <w:lang w:val="en-US" w:eastAsia="zh-CN"/>
                    </w:rPr>
                    <w:t>13</w:t>
                  </w:r>
                </w:p>
              </w:tc>
              <w:tc>
                <w:tcPr>
                  <w:tcW w:w="2111" w:type="dxa"/>
                  <w:noWrap w:val="0"/>
                  <w:vAlign w:val="center"/>
                </w:tcPr>
                <w:p w14:paraId="4FD8DB1F">
                  <w:pPr>
                    <w:widowControl/>
                    <w:jc w:val="center"/>
                    <w:textAlignment w:val="center"/>
                    <w:rPr>
                      <w:rFonts w:hint="default" w:cs="Times New Roman"/>
                      <w:color w:val="auto"/>
                      <w:sz w:val="21"/>
                      <w:szCs w:val="21"/>
                      <w:highlight w:val="none"/>
                      <w:lang w:val="en-US" w:eastAsia="zh-CN"/>
                    </w:rPr>
                  </w:pPr>
                  <w:r>
                    <w:rPr>
                      <w:rFonts w:hint="default" w:ascii="Times New Roman" w:hAnsi="Times New Roman" w:eastAsia="宋体" w:cs="Times New Roman"/>
                      <w:color w:val="auto"/>
                      <w:kern w:val="0"/>
                      <w:szCs w:val="21"/>
                      <w:highlight w:val="none"/>
                      <w:lang w:val="en-US" w:eastAsia="zh-CN" w:bidi="ar"/>
                    </w:rPr>
                    <w:t>磷酸</w:t>
                  </w:r>
                </w:p>
              </w:tc>
              <w:tc>
                <w:tcPr>
                  <w:tcW w:w="1408" w:type="dxa"/>
                  <w:noWrap w:val="0"/>
                  <w:vAlign w:val="center"/>
                </w:tcPr>
                <w:p w14:paraId="698A2607">
                  <w:pPr>
                    <w:widowControl/>
                    <w:jc w:val="center"/>
                    <w:textAlignment w:val="center"/>
                    <w:rPr>
                      <w:rFonts w:hint="default" w:cs="Times New Roman"/>
                      <w:color w:val="auto"/>
                      <w:kern w:val="0"/>
                      <w:szCs w:val="21"/>
                      <w:highlight w:val="none"/>
                      <w:lang w:val="en-US" w:eastAsia="zh-CN" w:bidi="ar"/>
                    </w:rPr>
                  </w:pPr>
                  <w:r>
                    <w:rPr>
                      <w:rFonts w:hint="default" w:ascii="Times New Roman" w:hAnsi="Times New Roman" w:eastAsia="宋体" w:cs="Times New Roman"/>
                      <w:color w:val="auto"/>
                      <w:kern w:val="0"/>
                      <w:szCs w:val="21"/>
                      <w:highlight w:val="none"/>
                      <w:lang w:val="en-US" w:eastAsia="zh-CN" w:bidi="ar"/>
                    </w:rPr>
                    <w:t>1.</w:t>
                  </w:r>
                  <w:r>
                    <w:rPr>
                      <w:rFonts w:hint="eastAsia" w:cs="Times New Roman"/>
                      <w:color w:val="auto"/>
                      <w:kern w:val="0"/>
                      <w:szCs w:val="21"/>
                      <w:highlight w:val="none"/>
                      <w:lang w:val="en-US" w:eastAsia="zh-CN" w:bidi="ar"/>
                    </w:rPr>
                    <w:t>275</w:t>
                  </w:r>
                </w:p>
              </w:tc>
              <w:tc>
                <w:tcPr>
                  <w:tcW w:w="1205" w:type="dxa"/>
                  <w:noWrap w:val="0"/>
                  <w:vAlign w:val="center"/>
                </w:tcPr>
                <w:p w14:paraId="2321728B">
                  <w:pPr>
                    <w:widowControl/>
                    <w:jc w:val="center"/>
                    <w:textAlignment w:val="center"/>
                    <w:rPr>
                      <w:rFonts w:hint="default" w:cs="Times New Roman"/>
                      <w:color w:val="auto"/>
                      <w:kern w:val="0"/>
                      <w:szCs w:val="21"/>
                      <w:highlight w:val="none"/>
                      <w:lang w:val="en-US" w:eastAsia="zh-CN" w:bidi="ar"/>
                    </w:rPr>
                  </w:pPr>
                  <w:r>
                    <w:rPr>
                      <w:rFonts w:hint="default" w:ascii="Times New Roman" w:hAnsi="Times New Roman" w:eastAsia="宋体" w:cs="Times New Roman"/>
                      <w:color w:val="auto"/>
                      <w:kern w:val="0"/>
                      <w:szCs w:val="21"/>
                      <w:highlight w:val="none"/>
                      <w:lang w:val="en-US" w:eastAsia="zh-CN" w:bidi="ar"/>
                    </w:rPr>
                    <w:t>10</w:t>
                  </w:r>
                </w:p>
              </w:tc>
              <w:tc>
                <w:tcPr>
                  <w:tcW w:w="1725" w:type="dxa"/>
                  <w:noWrap w:val="0"/>
                  <w:vAlign w:val="center"/>
                </w:tcPr>
                <w:p w14:paraId="1345919D">
                  <w:pPr>
                    <w:keepNext w:val="0"/>
                    <w:keepLines w:val="0"/>
                    <w:widowControl/>
                    <w:suppressLineNumbers w:val="0"/>
                    <w:jc w:val="center"/>
                    <w:textAlignment w:val="center"/>
                    <w:rPr>
                      <w:rFonts w:hint="default" w:ascii="Times New Roman" w:hAnsi="Times New Roman" w:eastAsia="宋体" w:cs="Times New Roman"/>
                      <w:color w:val="auto"/>
                      <w:kern w:val="0"/>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0.0001275</w:t>
                  </w:r>
                </w:p>
              </w:tc>
            </w:tr>
            <w:tr w14:paraId="75F98E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828" w:type="dxa"/>
                  <w:noWrap w:val="0"/>
                  <w:vAlign w:val="center"/>
                </w:tcPr>
                <w:p w14:paraId="722B69A2">
                  <w:pPr>
                    <w:keepNext w:val="0"/>
                    <w:keepLines w:val="0"/>
                    <w:widowControl/>
                    <w:suppressLineNumbers w:val="0"/>
                    <w:jc w:val="center"/>
                    <w:textAlignment w:val="center"/>
                    <w:rPr>
                      <w:rFonts w:hint="default" w:cs="Times New Roman"/>
                      <w:color w:val="auto"/>
                      <w:szCs w:val="21"/>
                      <w:highlight w:val="none"/>
                      <w:lang w:val="en-US" w:eastAsia="zh-CN"/>
                    </w:rPr>
                  </w:pPr>
                  <w:r>
                    <w:rPr>
                      <w:rFonts w:hint="eastAsia" w:cs="Times New Roman"/>
                      <w:color w:val="auto"/>
                      <w:szCs w:val="21"/>
                      <w:highlight w:val="none"/>
                      <w:lang w:val="en-US" w:eastAsia="zh-CN"/>
                    </w:rPr>
                    <w:t>14</w:t>
                  </w:r>
                </w:p>
              </w:tc>
              <w:tc>
                <w:tcPr>
                  <w:tcW w:w="2111" w:type="dxa"/>
                  <w:noWrap w:val="0"/>
                  <w:vAlign w:val="center"/>
                </w:tcPr>
                <w:p w14:paraId="1C04D6BC">
                  <w:pPr>
                    <w:widowControl/>
                    <w:jc w:val="center"/>
                    <w:textAlignment w:val="center"/>
                    <w:rPr>
                      <w:rFonts w:hint="default" w:cs="Times New Roman"/>
                      <w:color w:val="auto"/>
                      <w:sz w:val="21"/>
                      <w:szCs w:val="21"/>
                      <w:highlight w:val="none"/>
                      <w:lang w:val="en-US" w:eastAsia="zh-CN"/>
                    </w:rPr>
                  </w:pPr>
                  <w:r>
                    <w:rPr>
                      <w:rFonts w:hint="default" w:ascii="Times New Roman" w:hAnsi="Times New Roman" w:eastAsia="宋体" w:cs="Times New Roman"/>
                      <w:color w:val="auto"/>
                      <w:kern w:val="0"/>
                      <w:szCs w:val="21"/>
                      <w:highlight w:val="none"/>
                      <w:lang w:val="en-US" w:eastAsia="zh-CN" w:bidi="ar"/>
                    </w:rPr>
                    <w:t>硫酸</w:t>
                  </w:r>
                </w:p>
              </w:tc>
              <w:tc>
                <w:tcPr>
                  <w:tcW w:w="1408" w:type="dxa"/>
                  <w:noWrap w:val="0"/>
                  <w:vAlign w:val="center"/>
                </w:tcPr>
                <w:p w14:paraId="55DF447B">
                  <w:pPr>
                    <w:widowControl/>
                    <w:jc w:val="center"/>
                    <w:textAlignment w:val="center"/>
                    <w:rPr>
                      <w:rFonts w:hint="default" w:cs="Times New Roman"/>
                      <w:color w:val="auto"/>
                      <w:kern w:val="0"/>
                      <w:szCs w:val="21"/>
                      <w:highlight w:val="none"/>
                      <w:lang w:val="en-US" w:eastAsia="zh-CN" w:bidi="ar"/>
                    </w:rPr>
                  </w:pPr>
                  <w:r>
                    <w:rPr>
                      <w:rFonts w:hint="default" w:ascii="Times New Roman" w:hAnsi="Times New Roman" w:eastAsia="宋体" w:cs="Times New Roman"/>
                      <w:color w:val="auto"/>
                      <w:kern w:val="0"/>
                      <w:szCs w:val="21"/>
                      <w:highlight w:val="none"/>
                      <w:lang w:val="en-US" w:eastAsia="zh-CN" w:bidi="ar"/>
                    </w:rPr>
                    <w:t>23.</w:t>
                  </w:r>
                  <w:r>
                    <w:rPr>
                      <w:rFonts w:hint="eastAsia" w:cs="Times New Roman"/>
                      <w:color w:val="auto"/>
                      <w:kern w:val="0"/>
                      <w:szCs w:val="21"/>
                      <w:highlight w:val="none"/>
                      <w:lang w:val="en-US" w:eastAsia="zh-CN" w:bidi="ar"/>
                    </w:rPr>
                    <w:t>03</w:t>
                  </w:r>
                </w:p>
              </w:tc>
              <w:tc>
                <w:tcPr>
                  <w:tcW w:w="1205" w:type="dxa"/>
                  <w:noWrap w:val="0"/>
                  <w:vAlign w:val="center"/>
                </w:tcPr>
                <w:p w14:paraId="421785B1">
                  <w:pPr>
                    <w:widowControl/>
                    <w:jc w:val="center"/>
                    <w:textAlignment w:val="center"/>
                    <w:rPr>
                      <w:rFonts w:hint="default" w:cs="Times New Roman"/>
                      <w:color w:val="auto"/>
                      <w:kern w:val="0"/>
                      <w:szCs w:val="21"/>
                      <w:highlight w:val="none"/>
                      <w:lang w:val="en-US" w:eastAsia="zh-CN" w:bidi="ar"/>
                    </w:rPr>
                  </w:pPr>
                  <w:r>
                    <w:rPr>
                      <w:rFonts w:hint="default" w:ascii="Times New Roman" w:hAnsi="Times New Roman" w:eastAsia="宋体" w:cs="Times New Roman"/>
                      <w:color w:val="auto"/>
                      <w:kern w:val="0"/>
                      <w:szCs w:val="21"/>
                      <w:highlight w:val="none"/>
                      <w:lang w:val="en-US" w:eastAsia="zh-CN" w:bidi="ar"/>
                    </w:rPr>
                    <w:t>10</w:t>
                  </w:r>
                </w:p>
              </w:tc>
              <w:tc>
                <w:tcPr>
                  <w:tcW w:w="1725" w:type="dxa"/>
                  <w:noWrap w:val="0"/>
                  <w:vAlign w:val="center"/>
                </w:tcPr>
                <w:p w14:paraId="40C6C2B6">
                  <w:pPr>
                    <w:keepNext w:val="0"/>
                    <w:keepLines w:val="0"/>
                    <w:widowControl/>
                    <w:suppressLineNumbers w:val="0"/>
                    <w:jc w:val="center"/>
                    <w:textAlignment w:val="center"/>
                    <w:rPr>
                      <w:rFonts w:hint="default" w:ascii="Times New Roman" w:hAnsi="Times New Roman" w:eastAsia="宋体" w:cs="Times New Roman"/>
                      <w:color w:val="auto"/>
                      <w:kern w:val="0"/>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0.002303</w:t>
                  </w:r>
                </w:p>
              </w:tc>
            </w:tr>
            <w:tr w14:paraId="3309B2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828" w:type="dxa"/>
                  <w:noWrap w:val="0"/>
                  <w:vAlign w:val="center"/>
                </w:tcPr>
                <w:p w14:paraId="095578E3">
                  <w:pPr>
                    <w:keepNext w:val="0"/>
                    <w:keepLines w:val="0"/>
                    <w:widowControl/>
                    <w:suppressLineNumbers w:val="0"/>
                    <w:jc w:val="center"/>
                    <w:textAlignment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15</w:t>
                  </w:r>
                </w:p>
              </w:tc>
              <w:tc>
                <w:tcPr>
                  <w:tcW w:w="2111" w:type="dxa"/>
                  <w:noWrap w:val="0"/>
                  <w:vAlign w:val="center"/>
                </w:tcPr>
                <w:p w14:paraId="71E7C940">
                  <w:pPr>
                    <w:widowControl/>
                    <w:jc w:val="center"/>
                    <w:textAlignment w:val="center"/>
                    <w:rPr>
                      <w:rFonts w:hint="default" w:ascii="Times New Roman" w:hAnsi="Times New Roman" w:eastAsia="宋体" w:cs="Times New Roman"/>
                      <w:color w:val="auto"/>
                      <w:kern w:val="0"/>
                      <w:szCs w:val="21"/>
                      <w:highlight w:val="none"/>
                      <w:lang w:val="en-US" w:eastAsia="zh-CN" w:bidi="ar"/>
                    </w:rPr>
                  </w:pPr>
                  <w:r>
                    <w:rPr>
                      <w:rFonts w:hint="eastAsia" w:cs="Times New Roman"/>
                      <w:color w:val="auto"/>
                      <w:kern w:val="0"/>
                      <w:szCs w:val="21"/>
                      <w:highlight w:val="none"/>
                      <w:lang w:val="en-US" w:eastAsia="zh-CN" w:bidi="ar"/>
                    </w:rPr>
                    <w:t>双氧水</w:t>
                  </w:r>
                </w:p>
              </w:tc>
              <w:tc>
                <w:tcPr>
                  <w:tcW w:w="1408" w:type="dxa"/>
                  <w:noWrap w:val="0"/>
                  <w:vAlign w:val="center"/>
                </w:tcPr>
                <w:p w14:paraId="03ECC745">
                  <w:pPr>
                    <w:widowControl/>
                    <w:jc w:val="center"/>
                    <w:textAlignment w:val="center"/>
                    <w:rPr>
                      <w:rFonts w:hint="default" w:ascii="Times New Roman" w:hAnsi="Times New Roman" w:eastAsia="宋体" w:cs="Times New Roman"/>
                      <w:color w:val="auto"/>
                      <w:kern w:val="0"/>
                      <w:szCs w:val="21"/>
                      <w:highlight w:val="none"/>
                      <w:lang w:val="en-US" w:eastAsia="zh-CN" w:bidi="ar"/>
                    </w:rPr>
                  </w:pPr>
                  <w:r>
                    <w:rPr>
                      <w:rFonts w:hint="eastAsia" w:cs="Times New Roman"/>
                      <w:color w:val="auto"/>
                      <w:kern w:val="0"/>
                      <w:szCs w:val="21"/>
                      <w:highlight w:val="none"/>
                      <w:lang w:val="en-US" w:eastAsia="zh-CN" w:bidi="ar"/>
                    </w:rPr>
                    <w:t>2</w:t>
                  </w:r>
                </w:p>
              </w:tc>
              <w:tc>
                <w:tcPr>
                  <w:tcW w:w="1205" w:type="dxa"/>
                  <w:noWrap w:val="0"/>
                  <w:vAlign w:val="center"/>
                </w:tcPr>
                <w:p w14:paraId="6EB87B25">
                  <w:pPr>
                    <w:widowControl/>
                    <w:jc w:val="center"/>
                    <w:textAlignment w:val="center"/>
                    <w:rPr>
                      <w:rFonts w:hint="default" w:ascii="Times New Roman" w:hAnsi="Times New Roman" w:eastAsia="宋体" w:cs="Times New Roman"/>
                      <w:color w:val="auto"/>
                      <w:kern w:val="0"/>
                      <w:szCs w:val="21"/>
                      <w:highlight w:val="none"/>
                      <w:lang w:val="en-US" w:eastAsia="zh-CN" w:bidi="ar"/>
                    </w:rPr>
                  </w:pPr>
                  <w:r>
                    <w:rPr>
                      <w:rFonts w:hint="eastAsia" w:cs="Times New Roman"/>
                      <w:color w:val="auto"/>
                      <w:kern w:val="0"/>
                      <w:szCs w:val="21"/>
                      <w:highlight w:val="none"/>
                      <w:lang w:val="en-US" w:eastAsia="zh-CN" w:bidi="ar"/>
                    </w:rPr>
                    <w:t>50</w:t>
                  </w:r>
                </w:p>
              </w:tc>
              <w:tc>
                <w:tcPr>
                  <w:tcW w:w="1725" w:type="dxa"/>
                  <w:noWrap w:val="0"/>
                  <w:vAlign w:val="center"/>
                </w:tcPr>
                <w:p w14:paraId="07E7C1D7">
                  <w:pPr>
                    <w:keepNext w:val="0"/>
                    <w:keepLines w:val="0"/>
                    <w:widowControl/>
                    <w:suppressLineNumbers w:val="0"/>
                    <w:jc w:val="center"/>
                    <w:textAlignment w:val="center"/>
                    <w:rPr>
                      <w:rFonts w:hint="default" w:ascii="Times New Roman" w:hAnsi="Times New Roman" w:eastAsia="宋体" w:cs="Times New Roman"/>
                      <w:color w:val="auto"/>
                      <w:kern w:val="0"/>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0.00004</w:t>
                  </w:r>
                </w:p>
              </w:tc>
            </w:tr>
            <w:tr w14:paraId="627666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828" w:type="dxa"/>
                  <w:noWrap w:val="0"/>
                  <w:vAlign w:val="center"/>
                </w:tcPr>
                <w:p w14:paraId="1D9D2893">
                  <w:pPr>
                    <w:keepNext w:val="0"/>
                    <w:keepLines w:val="0"/>
                    <w:widowControl/>
                    <w:suppressLineNumbers w:val="0"/>
                    <w:jc w:val="center"/>
                    <w:textAlignment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16</w:t>
                  </w:r>
                </w:p>
              </w:tc>
              <w:tc>
                <w:tcPr>
                  <w:tcW w:w="2111" w:type="dxa"/>
                  <w:noWrap w:val="0"/>
                  <w:vAlign w:val="center"/>
                </w:tcPr>
                <w:p w14:paraId="46D2C188">
                  <w:pPr>
                    <w:widowControl/>
                    <w:jc w:val="center"/>
                    <w:textAlignment w:val="center"/>
                    <w:rPr>
                      <w:rFonts w:hint="default" w:ascii="Times New Roman" w:hAnsi="Times New Roman" w:eastAsia="宋体" w:cs="Times New Roman"/>
                      <w:color w:val="auto"/>
                      <w:kern w:val="0"/>
                      <w:szCs w:val="21"/>
                      <w:highlight w:val="none"/>
                      <w:lang w:val="en-US" w:eastAsia="zh-CN" w:bidi="ar"/>
                    </w:rPr>
                  </w:pPr>
                  <w:r>
                    <w:rPr>
                      <w:rFonts w:hint="default" w:ascii="Times New Roman" w:hAnsi="Times New Roman" w:eastAsia="宋体" w:cs="Times New Roman"/>
                      <w:color w:val="auto"/>
                      <w:kern w:val="0"/>
                      <w:szCs w:val="21"/>
                      <w:highlight w:val="none"/>
                      <w:lang w:val="en-US" w:eastAsia="zh-CN" w:bidi="ar"/>
                    </w:rPr>
                    <w:t>氨水</w:t>
                  </w:r>
                </w:p>
              </w:tc>
              <w:tc>
                <w:tcPr>
                  <w:tcW w:w="1408" w:type="dxa"/>
                  <w:noWrap w:val="0"/>
                  <w:vAlign w:val="center"/>
                </w:tcPr>
                <w:p w14:paraId="6985AC9B">
                  <w:pPr>
                    <w:widowControl/>
                    <w:jc w:val="center"/>
                    <w:textAlignment w:val="center"/>
                    <w:rPr>
                      <w:rFonts w:hint="default" w:ascii="Times New Roman" w:hAnsi="Times New Roman" w:eastAsia="宋体" w:cs="Times New Roman"/>
                      <w:color w:val="auto"/>
                      <w:kern w:val="0"/>
                      <w:szCs w:val="21"/>
                      <w:highlight w:val="none"/>
                      <w:lang w:val="en-US" w:eastAsia="zh-CN" w:bidi="ar"/>
                    </w:rPr>
                  </w:pPr>
                  <w:r>
                    <w:rPr>
                      <w:rFonts w:hint="eastAsia" w:cs="Times New Roman"/>
                      <w:color w:val="auto"/>
                      <w:kern w:val="0"/>
                      <w:szCs w:val="21"/>
                      <w:highlight w:val="none"/>
                      <w:lang w:val="en-US" w:eastAsia="zh-CN" w:bidi="ar"/>
                    </w:rPr>
                    <w:t>1.26</w:t>
                  </w:r>
                </w:p>
              </w:tc>
              <w:tc>
                <w:tcPr>
                  <w:tcW w:w="1205" w:type="dxa"/>
                  <w:noWrap w:val="0"/>
                  <w:vAlign w:val="center"/>
                </w:tcPr>
                <w:p w14:paraId="5604A4AC">
                  <w:pPr>
                    <w:widowControl/>
                    <w:jc w:val="center"/>
                    <w:textAlignment w:val="center"/>
                    <w:rPr>
                      <w:rFonts w:hint="default" w:ascii="Times New Roman" w:hAnsi="Times New Roman" w:eastAsia="宋体" w:cs="Times New Roman"/>
                      <w:color w:val="auto"/>
                      <w:kern w:val="0"/>
                      <w:szCs w:val="21"/>
                      <w:highlight w:val="none"/>
                      <w:lang w:val="en-US" w:eastAsia="zh-CN" w:bidi="ar"/>
                    </w:rPr>
                  </w:pPr>
                  <w:r>
                    <w:rPr>
                      <w:rFonts w:hint="default" w:ascii="Times New Roman" w:hAnsi="Times New Roman" w:eastAsia="宋体" w:cs="Times New Roman"/>
                      <w:color w:val="auto"/>
                      <w:kern w:val="0"/>
                      <w:szCs w:val="21"/>
                      <w:highlight w:val="none"/>
                      <w:lang w:val="en-US" w:eastAsia="zh-CN" w:bidi="ar"/>
                    </w:rPr>
                    <w:t>10</w:t>
                  </w:r>
                </w:p>
              </w:tc>
              <w:tc>
                <w:tcPr>
                  <w:tcW w:w="1725" w:type="dxa"/>
                  <w:noWrap w:val="0"/>
                  <w:vAlign w:val="center"/>
                </w:tcPr>
                <w:p w14:paraId="07603455">
                  <w:pPr>
                    <w:keepNext w:val="0"/>
                    <w:keepLines w:val="0"/>
                    <w:widowControl/>
                    <w:suppressLineNumbers w:val="0"/>
                    <w:jc w:val="center"/>
                    <w:textAlignment w:val="center"/>
                    <w:rPr>
                      <w:rFonts w:hint="default" w:ascii="Times New Roman" w:hAnsi="Times New Roman" w:eastAsia="宋体" w:cs="Times New Roman"/>
                      <w:color w:val="auto"/>
                      <w:kern w:val="0"/>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0.000</w:t>
                  </w:r>
                  <w:r>
                    <w:rPr>
                      <w:rFonts w:hint="eastAsia" w:cs="Times New Roman"/>
                      <w:i w:val="0"/>
                      <w:iCs w:val="0"/>
                      <w:color w:val="auto"/>
                      <w:kern w:val="0"/>
                      <w:sz w:val="21"/>
                      <w:szCs w:val="21"/>
                      <w:highlight w:val="none"/>
                      <w:u w:val="none"/>
                      <w:lang w:val="en-US" w:eastAsia="zh-CN" w:bidi="ar"/>
                    </w:rPr>
                    <w:t>126</w:t>
                  </w:r>
                </w:p>
              </w:tc>
            </w:tr>
            <w:tr w14:paraId="1ED07C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828" w:type="dxa"/>
                  <w:noWrap w:val="0"/>
                  <w:vAlign w:val="center"/>
                </w:tcPr>
                <w:p w14:paraId="0236D32A">
                  <w:pPr>
                    <w:keepNext w:val="0"/>
                    <w:keepLines w:val="0"/>
                    <w:widowControl/>
                    <w:suppressLineNumbers w:val="0"/>
                    <w:jc w:val="center"/>
                    <w:textAlignment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17</w:t>
                  </w:r>
                </w:p>
              </w:tc>
              <w:tc>
                <w:tcPr>
                  <w:tcW w:w="2111" w:type="dxa"/>
                  <w:noWrap w:val="0"/>
                  <w:vAlign w:val="center"/>
                </w:tcPr>
                <w:p w14:paraId="154B05CD">
                  <w:pPr>
                    <w:widowControl/>
                    <w:jc w:val="center"/>
                    <w:textAlignment w:val="center"/>
                    <w:rPr>
                      <w:rFonts w:hint="default" w:ascii="Times New Roman" w:hAnsi="Times New Roman" w:eastAsia="宋体" w:cs="Times New Roman"/>
                      <w:color w:val="auto"/>
                      <w:kern w:val="0"/>
                      <w:szCs w:val="21"/>
                      <w:highlight w:val="none"/>
                      <w:lang w:val="en-US" w:eastAsia="zh-CN" w:bidi="ar"/>
                    </w:rPr>
                  </w:pPr>
                  <w:r>
                    <w:rPr>
                      <w:rFonts w:hint="default" w:ascii="Times New Roman" w:hAnsi="Times New Roman" w:eastAsia="宋体" w:cs="Times New Roman"/>
                      <w:color w:val="auto"/>
                      <w:kern w:val="0"/>
                      <w:szCs w:val="21"/>
                      <w:highlight w:val="none"/>
                      <w:lang w:val="en-US" w:eastAsia="zh-CN" w:bidi="ar"/>
                    </w:rPr>
                    <w:t>硝酸</w:t>
                  </w:r>
                </w:p>
              </w:tc>
              <w:tc>
                <w:tcPr>
                  <w:tcW w:w="1408" w:type="dxa"/>
                  <w:noWrap w:val="0"/>
                  <w:vAlign w:val="center"/>
                </w:tcPr>
                <w:p w14:paraId="77509317">
                  <w:pPr>
                    <w:widowControl/>
                    <w:jc w:val="center"/>
                    <w:textAlignment w:val="center"/>
                    <w:rPr>
                      <w:rFonts w:hint="default" w:ascii="Times New Roman" w:hAnsi="Times New Roman" w:eastAsia="宋体" w:cs="Times New Roman"/>
                      <w:color w:val="auto"/>
                      <w:kern w:val="0"/>
                      <w:szCs w:val="21"/>
                      <w:highlight w:val="none"/>
                      <w:lang w:val="en-US" w:eastAsia="zh-CN" w:bidi="ar"/>
                    </w:rPr>
                  </w:pPr>
                  <w:r>
                    <w:rPr>
                      <w:rFonts w:hint="eastAsia" w:cs="Times New Roman"/>
                      <w:color w:val="auto"/>
                      <w:kern w:val="0"/>
                      <w:szCs w:val="21"/>
                      <w:highlight w:val="none"/>
                      <w:lang w:val="en-US" w:eastAsia="zh-CN" w:bidi="ar"/>
                    </w:rPr>
                    <w:t>1.4</w:t>
                  </w:r>
                </w:p>
              </w:tc>
              <w:tc>
                <w:tcPr>
                  <w:tcW w:w="1205" w:type="dxa"/>
                  <w:noWrap w:val="0"/>
                  <w:vAlign w:val="center"/>
                </w:tcPr>
                <w:p w14:paraId="6FF4E078">
                  <w:pPr>
                    <w:widowControl/>
                    <w:jc w:val="center"/>
                    <w:textAlignment w:val="center"/>
                    <w:rPr>
                      <w:rFonts w:hint="default" w:ascii="Times New Roman" w:hAnsi="Times New Roman" w:eastAsia="宋体" w:cs="Times New Roman"/>
                      <w:color w:val="auto"/>
                      <w:kern w:val="0"/>
                      <w:szCs w:val="21"/>
                      <w:highlight w:val="none"/>
                      <w:lang w:val="en-US" w:eastAsia="zh-CN" w:bidi="ar"/>
                    </w:rPr>
                  </w:pPr>
                  <w:r>
                    <w:rPr>
                      <w:rFonts w:hint="default" w:ascii="Times New Roman" w:hAnsi="Times New Roman" w:eastAsia="宋体" w:cs="Times New Roman"/>
                      <w:color w:val="auto"/>
                      <w:kern w:val="0"/>
                      <w:szCs w:val="21"/>
                      <w:highlight w:val="none"/>
                      <w:lang w:val="en-US" w:eastAsia="zh-CN" w:bidi="ar"/>
                    </w:rPr>
                    <w:t>7.5</w:t>
                  </w:r>
                </w:p>
              </w:tc>
              <w:tc>
                <w:tcPr>
                  <w:tcW w:w="1725" w:type="dxa"/>
                  <w:noWrap w:val="0"/>
                  <w:vAlign w:val="center"/>
                </w:tcPr>
                <w:p w14:paraId="7615F4AF">
                  <w:pPr>
                    <w:keepNext w:val="0"/>
                    <w:keepLines w:val="0"/>
                    <w:widowControl/>
                    <w:suppressLineNumbers w:val="0"/>
                    <w:jc w:val="center"/>
                    <w:textAlignment w:val="center"/>
                    <w:rPr>
                      <w:rFonts w:hint="default" w:ascii="Times New Roman" w:hAnsi="Times New Roman" w:eastAsia="宋体" w:cs="Times New Roman"/>
                      <w:color w:val="auto"/>
                      <w:kern w:val="0"/>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0.000186</w:t>
                  </w:r>
                  <w:r>
                    <w:rPr>
                      <w:rFonts w:hint="eastAsia" w:cs="Times New Roman"/>
                      <w:i w:val="0"/>
                      <w:iCs w:val="0"/>
                      <w:color w:val="auto"/>
                      <w:kern w:val="0"/>
                      <w:sz w:val="21"/>
                      <w:szCs w:val="21"/>
                      <w:highlight w:val="none"/>
                      <w:u w:val="none"/>
                      <w:lang w:val="en-US" w:eastAsia="zh-CN" w:bidi="ar"/>
                    </w:rPr>
                    <w:t>7</w:t>
                  </w:r>
                </w:p>
              </w:tc>
            </w:tr>
            <w:tr w14:paraId="162633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828" w:type="dxa"/>
                  <w:noWrap w:val="0"/>
                  <w:vAlign w:val="center"/>
                </w:tcPr>
                <w:p w14:paraId="19FD2135">
                  <w:pPr>
                    <w:keepNext w:val="0"/>
                    <w:keepLines w:val="0"/>
                    <w:widowControl/>
                    <w:suppressLineNumbers w:val="0"/>
                    <w:jc w:val="center"/>
                    <w:textAlignment w:val="center"/>
                    <w:rPr>
                      <w:rFonts w:hint="default" w:cs="Times New Roman"/>
                      <w:color w:val="auto"/>
                      <w:szCs w:val="21"/>
                      <w:highlight w:val="none"/>
                      <w:lang w:val="en-US" w:eastAsia="zh-CN"/>
                    </w:rPr>
                  </w:pPr>
                  <w:r>
                    <w:rPr>
                      <w:rFonts w:hint="eastAsia" w:cs="Times New Roman"/>
                      <w:color w:val="auto"/>
                      <w:szCs w:val="21"/>
                      <w:highlight w:val="none"/>
                      <w:lang w:val="en-US" w:eastAsia="zh-CN"/>
                    </w:rPr>
                    <w:t>18</w:t>
                  </w:r>
                </w:p>
              </w:tc>
              <w:tc>
                <w:tcPr>
                  <w:tcW w:w="2111" w:type="dxa"/>
                  <w:noWrap w:val="0"/>
                  <w:vAlign w:val="center"/>
                </w:tcPr>
                <w:p w14:paraId="56458719">
                  <w:pPr>
                    <w:widowControl/>
                    <w:jc w:val="center"/>
                    <w:textAlignment w:val="center"/>
                    <w:rPr>
                      <w:rFonts w:hint="default" w:ascii="Times New Roman" w:hAnsi="Times New Roman" w:eastAsia="宋体" w:cs="Times New Roman"/>
                      <w:color w:val="auto"/>
                      <w:kern w:val="0"/>
                      <w:szCs w:val="21"/>
                      <w:highlight w:val="none"/>
                      <w:lang w:val="en-US" w:eastAsia="zh-CN" w:bidi="ar"/>
                    </w:rPr>
                  </w:pPr>
                  <w:r>
                    <w:rPr>
                      <w:rFonts w:hint="eastAsia" w:ascii="Times New Roman" w:hAnsi="Times New Roman" w:cs="Times New Roman"/>
                      <w:color w:val="auto"/>
                      <w:sz w:val="21"/>
                      <w:szCs w:val="21"/>
                      <w:highlight w:val="none"/>
                      <w:lang w:val="en-US" w:eastAsia="zh-CN"/>
                    </w:rPr>
                    <w:t>乙炔</w:t>
                  </w:r>
                </w:p>
              </w:tc>
              <w:tc>
                <w:tcPr>
                  <w:tcW w:w="1408" w:type="dxa"/>
                  <w:noWrap w:val="0"/>
                  <w:vAlign w:val="center"/>
                </w:tcPr>
                <w:p w14:paraId="161B7979">
                  <w:pPr>
                    <w:keepNext w:val="0"/>
                    <w:keepLines w:val="0"/>
                    <w:widowControl/>
                    <w:suppressLineNumbers w:val="0"/>
                    <w:jc w:val="center"/>
                    <w:textAlignment w:val="center"/>
                    <w:rPr>
                      <w:rFonts w:hint="default" w:ascii="Times New Roman" w:hAnsi="Times New Roman" w:eastAsia="宋体" w:cs="Times New Roman"/>
                      <w:color w:val="auto"/>
                      <w:kern w:val="0"/>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7.2</w:t>
                  </w:r>
                </w:p>
              </w:tc>
              <w:tc>
                <w:tcPr>
                  <w:tcW w:w="1205" w:type="dxa"/>
                  <w:noWrap w:val="0"/>
                  <w:vAlign w:val="center"/>
                </w:tcPr>
                <w:p w14:paraId="70CE9EC8">
                  <w:pPr>
                    <w:keepNext w:val="0"/>
                    <w:keepLines w:val="0"/>
                    <w:widowControl/>
                    <w:suppressLineNumbers w:val="0"/>
                    <w:jc w:val="center"/>
                    <w:textAlignment w:val="center"/>
                    <w:rPr>
                      <w:rFonts w:hint="default" w:ascii="Times New Roman" w:hAnsi="Times New Roman" w:eastAsia="宋体" w:cs="Times New Roman"/>
                      <w:color w:val="auto"/>
                      <w:kern w:val="0"/>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725" w:type="dxa"/>
                  <w:noWrap w:val="0"/>
                  <w:vAlign w:val="center"/>
                </w:tcPr>
                <w:p w14:paraId="2C66D63C">
                  <w:pPr>
                    <w:keepNext w:val="0"/>
                    <w:keepLines w:val="0"/>
                    <w:widowControl/>
                    <w:suppressLineNumbers w:val="0"/>
                    <w:jc w:val="center"/>
                    <w:textAlignment w:val="center"/>
                    <w:rPr>
                      <w:rFonts w:hint="default" w:ascii="Times New Roman" w:hAnsi="Times New Roman" w:eastAsia="宋体" w:cs="Times New Roman"/>
                      <w:color w:val="auto"/>
                      <w:kern w:val="0"/>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0.0072</w:t>
                  </w:r>
                </w:p>
              </w:tc>
            </w:tr>
            <w:tr w14:paraId="209973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828" w:type="dxa"/>
                  <w:noWrap w:val="0"/>
                  <w:vAlign w:val="center"/>
                </w:tcPr>
                <w:p w14:paraId="08A2F539">
                  <w:pPr>
                    <w:keepNext w:val="0"/>
                    <w:keepLines w:val="0"/>
                    <w:widowControl/>
                    <w:suppressLineNumbers w:val="0"/>
                    <w:jc w:val="center"/>
                    <w:textAlignment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19</w:t>
                  </w:r>
                </w:p>
              </w:tc>
              <w:tc>
                <w:tcPr>
                  <w:tcW w:w="2111" w:type="dxa"/>
                  <w:noWrap w:val="0"/>
                  <w:vAlign w:val="center"/>
                </w:tcPr>
                <w:p w14:paraId="229F5B2A">
                  <w:pPr>
                    <w:widowControl/>
                    <w:jc w:val="center"/>
                    <w:textAlignment w:val="center"/>
                    <w:rPr>
                      <w:rFonts w:hint="default" w:ascii="Times New Roman" w:hAnsi="Times New Roman" w:eastAsia="宋体" w:cs="Times New Roman"/>
                      <w:color w:val="auto"/>
                      <w:kern w:val="0"/>
                      <w:szCs w:val="21"/>
                      <w:highlight w:val="none"/>
                      <w:lang w:val="en-US" w:eastAsia="zh-CN" w:bidi="ar"/>
                    </w:rPr>
                  </w:pPr>
                  <w:r>
                    <w:rPr>
                      <w:rFonts w:hint="eastAsia" w:cs="Times New Roman"/>
                      <w:color w:val="auto"/>
                      <w:sz w:val="21"/>
                      <w:szCs w:val="21"/>
                      <w:highlight w:val="none"/>
                      <w:lang w:val="en-US" w:eastAsia="zh-CN"/>
                    </w:rPr>
                    <w:t>甲苯</w:t>
                  </w:r>
                </w:p>
              </w:tc>
              <w:tc>
                <w:tcPr>
                  <w:tcW w:w="1408" w:type="dxa"/>
                  <w:noWrap w:val="0"/>
                  <w:vAlign w:val="center"/>
                </w:tcPr>
                <w:p w14:paraId="41A86018">
                  <w:pPr>
                    <w:widowControl/>
                    <w:jc w:val="center"/>
                    <w:textAlignment w:val="center"/>
                    <w:rPr>
                      <w:rFonts w:hint="default" w:ascii="Times New Roman" w:hAnsi="Times New Roman" w:eastAsia="宋体" w:cs="Times New Roman"/>
                      <w:color w:val="auto"/>
                      <w:kern w:val="0"/>
                      <w:szCs w:val="21"/>
                      <w:highlight w:val="none"/>
                      <w:lang w:val="en-US" w:eastAsia="zh-CN" w:bidi="ar"/>
                    </w:rPr>
                  </w:pPr>
                  <w:r>
                    <w:rPr>
                      <w:rFonts w:hint="eastAsia" w:cs="Times New Roman"/>
                      <w:color w:val="auto"/>
                      <w:kern w:val="0"/>
                      <w:szCs w:val="21"/>
                      <w:highlight w:val="none"/>
                      <w:lang w:val="en-US" w:eastAsia="zh-CN" w:bidi="ar"/>
                    </w:rPr>
                    <w:t>5</w:t>
                  </w:r>
                </w:p>
              </w:tc>
              <w:tc>
                <w:tcPr>
                  <w:tcW w:w="1205" w:type="dxa"/>
                  <w:noWrap w:val="0"/>
                  <w:vAlign w:val="center"/>
                </w:tcPr>
                <w:p w14:paraId="48F7A84C">
                  <w:pPr>
                    <w:widowControl/>
                    <w:jc w:val="center"/>
                    <w:textAlignment w:val="center"/>
                    <w:rPr>
                      <w:rFonts w:hint="default" w:ascii="Times New Roman" w:hAnsi="Times New Roman" w:eastAsia="宋体" w:cs="Times New Roman"/>
                      <w:color w:val="auto"/>
                      <w:kern w:val="0"/>
                      <w:szCs w:val="21"/>
                      <w:highlight w:val="none"/>
                      <w:lang w:val="en-US" w:eastAsia="zh-CN" w:bidi="ar"/>
                    </w:rPr>
                  </w:pPr>
                  <w:r>
                    <w:rPr>
                      <w:rFonts w:hint="eastAsia" w:cs="Times New Roman"/>
                      <w:color w:val="auto"/>
                      <w:kern w:val="0"/>
                      <w:szCs w:val="21"/>
                      <w:highlight w:val="none"/>
                      <w:lang w:val="en-US" w:eastAsia="zh-CN" w:bidi="ar"/>
                    </w:rPr>
                    <w:t>10</w:t>
                  </w:r>
                </w:p>
              </w:tc>
              <w:tc>
                <w:tcPr>
                  <w:tcW w:w="1725" w:type="dxa"/>
                  <w:noWrap w:val="0"/>
                  <w:vAlign w:val="center"/>
                </w:tcPr>
                <w:p w14:paraId="3E84C4DA">
                  <w:pPr>
                    <w:keepNext w:val="0"/>
                    <w:keepLines w:val="0"/>
                    <w:widowControl/>
                    <w:suppressLineNumbers w:val="0"/>
                    <w:jc w:val="center"/>
                    <w:textAlignment w:val="center"/>
                    <w:rPr>
                      <w:rFonts w:hint="default" w:ascii="Times New Roman" w:hAnsi="Times New Roman" w:eastAsia="宋体" w:cs="Times New Roman"/>
                      <w:color w:val="auto"/>
                      <w:kern w:val="0"/>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0.0005</w:t>
                  </w:r>
                </w:p>
              </w:tc>
            </w:tr>
            <w:tr w14:paraId="576C03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828" w:type="dxa"/>
                  <w:noWrap w:val="0"/>
                  <w:vAlign w:val="center"/>
                </w:tcPr>
                <w:p w14:paraId="0D187098">
                  <w:pPr>
                    <w:keepNext w:val="0"/>
                    <w:keepLines w:val="0"/>
                    <w:widowControl/>
                    <w:suppressLineNumbers w:val="0"/>
                    <w:jc w:val="center"/>
                    <w:textAlignment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20</w:t>
                  </w:r>
                </w:p>
              </w:tc>
              <w:tc>
                <w:tcPr>
                  <w:tcW w:w="2111" w:type="dxa"/>
                  <w:noWrap w:val="0"/>
                  <w:vAlign w:val="center"/>
                </w:tcPr>
                <w:p w14:paraId="1C01FB8E">
                  <w:pPr>
                    <w:widowControl/>
                    <w:jc w:val="center"/>
                    <w:textAlignment w:val="center"/>
                    <w:rPr>
                      <w:rFonts w:hint="default" w:ascii="Times New Roman" w:hAnsi="Times New Roman" w:eastAsia="宋体" w:cs="Times New Roman"/>
                      <w:color w:val="auto"/>
                      <w:kern w:val="0"/>
                      <w:szCs w:val="21"/>
                      <w:highlight w:val="none"/>
                      <w:lang w:val="en-US" w:eastAsia="zh-CN" w:bidi="ar"/>
                    </w:rPr>
                  </w:pPr>
                  <w:r>
                    <w:rPr>
                      <w:rFonts w:hint="eastAsia" w:cs="Times New Roman"/>
                      <w:color w:val="auto"/>
                      <w:sz w:val="21"/>
                      <w:szCs w:val="21"/>
                      <w:highlight w:val="none"/>
                      <w:lang w:val="en-US" w:eastAsia="zh-CN"/>
                    </w:rPr>
                    <w:t>正己烷</w:t>
                  </w:r>
                </w:p>
              </w:tc>
              <w:tc>
                <w:tcPr>
                  <w:tcW w:w="1408" w:type="dxa"/>
                  <w:noWrap w:val="0"/>
                  <w:vAlign w:val="center"/>
                </w:tcPr>
                <w:p w14:paraId="448CFF41">
                  <w:pPr>
                    <w:widowControl/>
                    <w:jc w:val="center"/>
                    <w:textAlignment w:val="center"/>
                    <w:rPr>
                      <w:rFonts w:hint="default" w:ascii="Times New Roman" w:hAnsi="Times New Roman" w:eastAsia="宋体" w:cs="Times New Roman"/>
                      <w:color w:val="auto"/>
                      <w:kern w:val="0"/>
                      <w:szCs w:val="21"/>
                      <w:highlight w:val="none"/>
                      <w:lang w:val="en-US" w:eastAsia="zh-CN" w:bidi="ar"/>
                    </w:rPr>
                  </w:pPr>
                  <w:r>
                    <w:rPr>
                      <w:rFonts w:hint="eastAsia" w:cs="Times New Roman"/>
                      <w:color w:val="auto"/>
                      <w:kern w:val="0"/>
                      <w:szCs w:val="21"/>
                      <w:highlight w:val="none"/>
                      <w:lang w:val="en-US" w:eastAsia="zh-CN" w:bidi="ar"/>
                    </w:rPr>
                    <w:t>5</w:t>
                  </w:r>
                </w:p>
              </w:tc>
              <w:tc>
                <w:tcPr>
                  <w:tcW w:w="1205" w:type="dxa"/>
                  <w:noWrap w:val="0"/>
                  <w:vAlign w:val="center"/>
                </w:tcPr>
                <w:p w14:paraId="65119F73">
                  <w:pPr>
                    <w:widowControl/>
                    <w:jc w:val="center"/>
                    <w:textAlignment w:val="center"/>
                    <w:rPr>
                      <w:rFonts w:hint="default" w:ascii="Times New Roman" w:hAnsi="Times New Roman" w:eastAsia="宋体" w:cs="Times New Roman"/>
                      <w:color w:val="auto"/>
                      <w:kern w:val="0"/>
                      <w:szCs w:val="21"/>
                      <w:highlight w:val="none"/>
                      <w:lang w:val="en-US" w:eastAsia="zh-CN" w:bidi="ar"/>
                    </w:rPr>
                  </w:pPr>
                  <w:r>
                    <w:rPr>
                      <w:rFonts w:hint="eastAsia" w:cs="Times New Roman"/>
                      <w:color w:val="auto"/>
                      <w:kern w:val="0"/>
                      <w:szCs w:val="21"/>
                      <w:highlight w:val="none"/>
                      <w:lang w:val="en-US" w:eastAsia="zh-CN" w:bidi="ar"/>
                    </w:rPr>
                    <w:t>10</w:t>
                  </w:r>
                </w:p>
              </w:tc>
              <w:tc>
                <w:tcPr>
                  <w:tcW w:w="1725" w:type="dxa"/>
                  <w:noWrap w:val="0"/>
                  <w:vAlign w:val="center"/>
                </w:tcPr>
                <w:p w14:paraId="48A0320E">
                  <w:pPr>
                    <w:keepNext w:val="0"/>
                    <w:keepLines w:val="0"/>
                    <w:widowControl/>
                    <w:suppressLineNumbers w:val="0"/>
                    <w:jc w:val="center"/>
                    <w:textAlignment w:val="center"/>
                    <w:rPr>
                      <w:rFonts w:hint="default" w:ascii="Times New Roman" w:hAnsi="Times New Roman" w:eastAsia="宋体" w:cs="Times New Roman"/>
                      <w:color w:val="auto"/>
                      <w:kern w:val="0"/>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0.0005</w:t>
                  </w:r>
                </w:p>
              </w:tc>
            </w:tr>
            <w:tr w14:paraId="741340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828" w:type="dxa"/>
                  <w:noWrap w:val="0"/>
                  <w:vAlign w:val="center"/>
                </w:tcPr>
                <w:p w14:paraId="14CBBF10">
                  <w:pPr>
                    <w:keepNext w:val="0"/>
                    <w:keepLines w:val="0"/>
                    <w:widowControl/>
                    <w:suppressLineNumbers w:val="0"/>
                    <w:jc w:val="center"/>
                    <w:textAlignment w:val="center"/>
                    <w:rPr>
                      <w:rFonts w:hint="default" w:cs="Times New Roman"/>
                      <w:color w:val="auto"/>
                      <w:szCs w:val="21"/>
                      <w:highlight w:val="none"/>
                      <w:lang w:val="en-US" w:eastAsia="zh-CN"/>
                    </w:rPr>
                  </w:pPr>
                  <w:r>
                    <w:rPr>
                      <w:rFonts w:hint="eastAsia" w:cs="Times New Roman"/>
                      <w:color w:val="auto"/>
                      <w:szCs w:val="21"/>
                      <w:highlight w:val="none"/>
                      <w:lang w:val="en-US" w:eastAsia="zh-CN"/>
                    </w:rPr>
                    <w:t>21</w:t>
                  </w:r>
                </w:p>
              </w:tc>
              <w:tc>
                <w:tcPr>
                  <w:tcW w:w="2111" w:type="dxa"/>
                  <w:noWrap w:val="0"/>
                  <w:vAlign w:val="center"/>
                </w:tcPr>
                <w:p w14:paraId="31F181FA">
                  <w:pPr>
                    <w:keepNext w:val="0"/>
                    <w:keepLines w:val="0"/>
                    <w:widowControl/>
                    <w:suppressLineNumbers w:val="0"/>
                    <w:jc w:val="center"/>
                    <w:textAlignment w:val="center"/>
                    <w:rPr>
                      <w:rFonts w:hint="eastAsia" w:cs="Times New Roman"/>
                      <w:color w:val="auto"/>
                      <w:sz w:val="21"/>
                      <w:szCs w:val="21"/>
                      <w:highlight w:val="none"/>
                      <w:lang w:val="en-US" w:eastAsia="zh-CN"/>
                    </w:rPr>
                  </w:pPr>
                  <w:r>
                    <w:rPr>
                      <w:rFonts w:hint="eastAsia" w:ascii="宋体" w:hAnsi="宋体" w:eastAsia="宋体" w:cs="宋体"/>
                      <w:color w:val="auto"/>
                      <w:kern w:val="0"/>
                      <w:sz w:val="21"/>
                      <w:szCs w:val="21"/>
                      <w:highlight w:val="none"/>
                      <w:lang w:val="en-US" w:eastAsia="zh-CN" w:bidi="ar"/>
                    </w:rPr>
                    <w:t>机油（油类物质）</w:t>
                  </w:r>
                </w:p>
              </w:tc>
              <w:tc>
                <w:tcPr>
                  <w:tcW w:w="1408" w:type="dxa"/>
                  <w:noWrap w:val="0"/>
                  <w:vAlign w:val="center"/>
                </w:tcPr>
                <w:p w14:paraId="1AB3F383">
                  <w:pPr>
                    <w:widowControl/>
                    <w:jc w:val="center"/>
                    <w:textAlignment w:val="center"/>
                    <w:rPr>
                      <w:rFonts w:hint="default" w:cs="Times New Roman"/>
                      <w:color w:val="auto"/>
                      <w:kern w:val="0"/>
                      <w:szCs w:val="21"/>
                      <w:highlight w:val="none"/>
                      <w:lang w:val="en-US" w:eastAsia="zh-CN" w:bidi="ar"/>
                    </w:rPr>
                  </w:pPr>
                  <w:r>
                    <w:rPr>
                      <w:rFonts w:hint="eastAsia" w:cs="Times New Roman"/>
                      <w:color w:val="auto"/>
                      <w:kern w:val="0"/>
                      <w:szCs w:val="21"/>
                      <w:highlight w:val="none"/>
                      <w:lang w:val="en-US" w:eastAsia="zh-CN" w:bidi="ar"/>
                    </w:rPr>
                    <w:t>0.04t</w:t>
                  </w:r>
                </w:p>
              </w:tc>
              <w:tc>
                <w:tcPr>
                  <w:tcW w:w="1205" w:type="dxa"/>
                  <w:noWrap w:val="0"/>
                  <w:vAlign w:val="center"/>
                </w:tcPr>
                <w:p w14:paraId="2795C3AE">
                  <w:pPr>
                    <w:widowControl/>
                    <w:jc w:val="center"/>
                    <w:textAlignment w:val="center"/>
                    <w:rPr>
                      <w:rFonts w:hint="default" w:cs="Times New Roman"/>
                      <w:color w:val="auto"/>
                      <w:kern w:val="0"/>
                      <w:szCs w:val="21"/>
                      <w:highlight w:val="none"/>
                      <w:lang w:val="en-US" w:eastAsia="zh-CN" w:bidi="ar"/>
                    </w:rPr>
                  </w:pPr>
                  <w:r>
                    <w:rPr>
                      <w:rFonts w:hint="eastAsia" w:cs="Times New Roman"/>
                      <w:color w:val="auto"/>
                      <w:kern w:val="0"/>
                      <w:szCs w:val="21"/>
                      <w:highlight w:val="none"/>
                      <w:lang w:val="en-US" w:eastAsia="zh-CN" w:bidi="ar"/>
                    </w:rPr>
                    <w:t>2500</w:t>
                  </w:r>
                </w:p>
              </w:tc>
              <w:tc>
                <w:tcPr>
                  <w:tcW w:w="1725" w:type="dxa"/>
                  <w:noWrap w:val="0"/>
                  <w:vAlign w:val="center"/>
                </w:tcPr>
                <w:p w14:paraId="3CB86B8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0.000016</w:t>
                  </w:r>
                </w:p>
              </w:tc>
            </w:tr>
            <w:tr w14:paraId="78ED89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828" w:type="dxa"/>
                  <w:noWrap w:val="0"/>
                  <w:vAlign w:val="center"/>
                </w:tcPr>
                <w:p w14:paraId="19FF0F70">
                  <w:pPr>
                    <w:keepNext w:val="0"/>
                    <w:keepLines w:val="0"/>
                    <w:widowControl/>
                    <w:suppressLineNumbers w:val="0"/>
                    <w:jc w:val="center"/>
                    <w:textAlignment w:val="center"/>
                    <w:rPr>
                      <w:rFonts w:hint="default" w:cs="Times New Roman"/>
                      <w:color w:val="auto"/>
                      <w:szCs w:val="21"/>
                      <w:highlight w:val="none"/>
                      <w:lang w:val="en-US" w:eastAsia="zh-CN"/>
                    </w:rPr>
                  </w:pPr>
                  <w:r>
                    <w:rPr>
                      <w:rFonts w:hint="eastAsia" w:cs="Times New Roman"/>
                      <w:color w:val="auto"/>
                      <w:szCs w:val="21"/>
                      <w:highlight w:val="none"/>
                      <w:lang w:val="en-US" w:eastAsia="zh-CN"/>
                    </w:rPr>
                    <w:t>22</w:t>
                  </w:r>
                </w:p>
              </w:tc>
              <w:tc>
                <w:tcPr>
                  <w:tcW w:w="2111" w:type="dxa"/>
                  <w:noWrap w:val="0"/>
                  <w:vAlign w:val="center"/>
                </w:tcPr>
                <w:p w14:paraId="0535B30B">
                  <w:pPr>
                    <w:keepNext w:val="0"/>
                    <w:keepLines w:val="0"/>
                    <w:widowControl/>
                    <w:suppressLineNumbers w:val="0"/>
                    <w:jc w:val="center"/>
                    <w:textAlignment w:val="center"/>
                    <w:rPr>
                      <w:rFonts w:hint="eastAsia" w:cs="Times New Roman"/>
                      <w:color w:val="auto"/>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bidi="ar"/>
                    </w:rPr>
                    <w:t>废机油（油类物质）</w:t>
                  </w:r>
                </w:p>
              </w:tc>
              <w:tc>
                <w:tcPr>
                  <w:tcW w:w="1408" w:type="dxa"/>
                  <w:noWrap w:val="0"/>
                  <w:vAlign w:val="center"/>
                </w:tcPr>
                <w:p w14:paraId="6A01714D">
                  <w:pPr>
                    <w:widowControl/>
                    <w:jc w:val="center"/>
                    <w:textAlignment w:val="center"/>
                    <w:rPr>
                      <w:rFonts w:hint="default" w:cs="Times New Roman"/>
                      <w:color w:val="auto"/>
                      <w:kern w:val="0"/>
                      <w:szCs w:val="21"/>
                      <w:highlight w:val="none"/>
                      <w:lang w:val="en-US" w:eastAsia="zh-CN" w:bidi="ar"/>
                    </w:rPr>
                  </w:pPr>
                  <w:r>
                    <w:rPr>
                      <w:rFonts w:hint="eastAsia" w:cs="Times New Roman"/>
                      <w:color w:val="auto"/>
                      <w:kern w:val="0"/>
                      <w:szCs w:val="21"/>
                      <w:highlight w:val="none"/>
                      <w:lang w:val="en-US" w:eastAsia="zh-CN" w:bidi="ar"/>
                    </w:rPr>
                    <w:t>0.02t</w:t>
                  </w:r>
                </w:p>
              </w:tc>
              <w:tc>
                <w:tcPr>
                  <w:tcW w:w="1205" w:type="dxa"/>
                  <w:noWrap w:val="0"/>
                  <w:vAlign w:val="center"/>
                </w:tcPr>
                <w:p w14:paraId="5E539538">
                  <w:pPr>
                    <w:widowControl/>
                    <w:jc w:val="center"/>
                    <w:textAlignment w:val="center"/>
                    <w:rPr>
                      <w:rFonts w:hint="default" w:cs="Times New Roman"/>
                      <w:color w:val="auto"/>
                      <w:kern w:val="0"/>
                      <w:szCs w:val="21"/>
                      <w:highlight w:val="none"/>
                      <w:lang w:val="en-US" w:eastAsia="zh-CN" w:bidi="ar"/>
                    </w:rPr>
                  </w:pPr>
                  <w:r>
                    <w:rPr>
                      <w:rFonts w:hint="eastAsia" w:cs="Times New Roman"/>
                      <w:color w:val="auto"/>
                      <w:kern w:val="0"/>
                      <w:szCs w:val="21"/>
                      <w:highlight w:val="none"/>
                      <w:lang w:val="en-US" w:eastAsia="zh-CN" w:bidi="ar"/>
                    </w:rPr>
                    <w:t>2500</w:t>
                  </w:r>
                </w:p>
              </w:tc>
              <w:tc>
                <w:tcPr>
                  <w:tcW w:w="1725" w:type="dxa"/>
                  <w:noWrap w:val="0"/>
                  <w:vAlign w:val="center"/>
                </w:tcPr>
                <w:p w14:paraId="40F05BF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0.000008</w:t>
                  </w:r>
                </w:p>
              </w:tc>
            </w:tr>
            <w:tr w14:paraId="20BC8A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828" w:type="dxa"/>
                  <w:noWrap w:val="0"/>
                  <w:vAlign w:val="center"/>
                </w:tcPr>
                <w:p w14:paraId="649D3B03">
                  <w:pPr>
                    <w:keepNext w:val="0"/>
                    <w:keepLines w:val="0"/>
                    <w:widowControl/>
                    <w:suppressLineNumbers w:val="0"/>
                    <w:jc w:val="center"/>
                    <w:textAlignment w:val="center"/>
                    <w:rPr>
                      <w:rFonts w:hint="default" w:cs="Times New Roman"/>
                      <w:color w:val="auto"/>
                      <w:szCs w:val="21"/>
                      <w:highlight w:val="none"/>
                      <w:lang w:val="en-US" w:eastAsia="zh-CN"/>
                    </w:rPr>
                  </w:pPr>
                  <w:r>
                    <w:rPr>
                      <w:rFonts w:hint="eastAsia" w:cs="Times New Roman"/>
                      <w:color w:val="auto"/>
                      <w:szCs w:val="21"/>
                      <w:highlight w:val="none"/>
                      <w:lang w:val="en-US" w:eastAsia="zh-CN"/>
                    </w:rPr>
                    <w:t>23</w:t>
                  </w:r>
                </w:p>
              </w:tc>
              <w:tc>
                <w:tcPr>
                  <w:tcW w:w="2111" w:type="dxa"/>
                  <w:noWrap w:val="0"/>
                  <w:vAlign w:val="center"/>
                </w:tcPr>
                <w:p w14:paraId="4556B927">
                  <w:pPr>
                    <w:keepNext w:val="0"/>
                    <w:keepLines w:val="0"/>
                    <w:widowControl/>
                    <w:suppressLineNumbers w:val="0"/>
                    <w:jc w:val="center"/>
                    <w:textAlignment w:val="center"/>
                    <w:rPr>
                      <w:rFonts w:hint="default" w:ascii="Times New Roman" w:hAnsi="Times New Roman" w:eastAsia="宋体" w:cs="Times New Roman"/>
                      <w:color w:val="auto"/>
                      <w:kern w:val="0"/>
                      <w:sz w:val="20"/>
                      <w:szCs w:val="20"/>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实验废液</w:t>
                  </w:r>
                </w:p>
              </w:tc>
              <w:tc>
                <w:tcPr>
                  <w:tcW w:w="1408" w:type="dxa"/>
                  <w:noWrap w:val="0"/>
                  <w:vAlign w:val="center"/>
                </w:tcPr>
                <w:p w14:paraId="1F7B94CD">
                  <w:pPr>
                    <w:widowControl/>
                    <w:jc w:val="center"/>
                    <w:textAlignment w:val="center"/>
                    <w:rPr>
                      <w:rFonts w:hint="default" w:cs="Times New Roman"/>
                      <w:color w:val="auto"/>
                      <w:kern w:val="0"/>
                      <w:szCs w:val="21"/>
                      <w:highlight w:val="none"/>
                      <w:lang w:val="en-US" w:eastAsia="zh-CN" w:bidi="ar"/>
                    </w:rPr>
                  </w:pPr>
                  <w:r>
                    <w:rPr>
                      <w:rFonts w:hint="eastAsia" w:cs="Times New Roman"/>
                      <w:color w:val="auto"/>
                      <w:kern w:val="0"/>
                      <w:szCs w:val="21"/>
                      <w:highlight w:val="none"/>
                      <w:lang w:val="en-US" w:eastAsia="zh-CN" w:bidi="ar"/>
                    </w:rPr>
                    <w:t>0.329t</w:t>
                  </w:r>
                </w:p>
              </w:tc>
              <w:tc>
                <w:tcPr>
                  <w:tcW w:w="1205" w:type="dxa"/>
                  <w:noWrap w:val="0"/>
                  <w:vAlign w:val="center"/>
                </w:tcPr>
                <w:p w14:paraId="46FE3713">
                  <w:pPr>
                    <w:widowControl/>
                    <w:jc w:val="center"/>
                    <w:textAlignment w:val="center"/>
                    <w:rPr>
                      <w:rFonts w:hint="default" w:cs="Times New Roman"/>
                      <w:color w:val="auto"/>
                      <w:kern w:val="0"/>
                      <w:szCs w:val="21"/>
                      <w:highlight w:val="none"/>
                      <w:lang w:val="en-US" w:eastAsia="zh-CN" w:bidi="ar"/>
                    </w:rPr>
                  </w:pPr>
                  <w:r>
                    <w:rPr>
                      <w:rFonts w:hint="eastAsia" w:cs="Times New Roman"/>
                      <w:color w:val="auto"/>
                      <w:kern w:val="0"/>
                      <w:szCs w:val="21"/>
                      <w:highlight w:val="none"/>
                      <w:lang w:val="en-US" w:eastAsia="zh-CN" w:bidi="ar"/>
                    </w:rPr>
                    <w:t>100</w:t>
                  </w:r>
                </w:p>
              </w:tc>
              <w:tc>
                <w:tcPr>
                  <w:tcW w:w="1725" w:type="dxa"/>
                  <w:noWrap w:val="0"/>
                  <w:vAlign w:val="center"/>
                </w:tcPr>
                <w:p w14:paraId="1EE4C9DC">
                  <w:pPr>
                    <w:keepNext w:val="0"/>
                    <w:keepLines w:val="0"/>
                    <w:widowControl/>
                    <w:suppressLineNumbers w:val="0"/>
                    <w:jc w:val="center"/>
                    <w:textAlignment w:val="center"/>
                    <w:rPr>
                      <w:rFonts w:hint="default"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0.00329</w:t>
                  </w:r>
                </w:p>
              </w:tc>
            </w:tr>
            <w:tr w14:paraId="4AB7BF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5552" w:type="dxa"/>
                  <w:gridSpan w:val="4"/>
                  <w:noWrap w:val="0"/>
                  <w:vAlign w:val="center"/>
                </w:tcPr>
                <w:p w14:paraId="3829D312">
                  <w:pPr>
                    <w:widowControl/>
                    <w:jc w:val="center"/>
                    <w:textAlignment w:val="center"/>
                    <w:rPr>
                      <w:rFonts w:hint="default" w:cs="Times New Roman"/>
                      <w:color w:val="auto"/>
                      <w:kern w:val="0"/>
                      <w:szCs w:val="21"/>
                      <w:highlight w:val="none"/>
                      <w:lang w:val="en-US" w:eastAsia="zh-CN" w:bidi="ar"/>
                    </w:rPr>
                  </w:pPr>
                  <w:r>
                    <w:rPr>
                      <w:rFonts w:hint="eastAsia" w:cs="Times New Roman"/>
                      <w:color w:val="auto"/>
                      <w:kern w:val="0"/>
                      <w:szCs w:val="21"/>
                      <w:highlight w:val="none"/>
                      <w:lang w:val="en-US" w:eastAsia="zh-CN" w:bidi="ar"/>
                    </w:rPr>
                    <w:t>合计</w:t>
                  </w:r>
                </w:p>
              </w:tc>
              <w:tc>
                <w:tcPr>
                  <w:tcW w:w="1725" w:type="dxa"/>
                  <w:shd w:val="clear" w:color="auto" w:fill="auto"/>
                  <w:noWrap w:val="0"/>
                  <w:vAlign w:val="center"/>
                </w:tcPr>
                <w:p w14:paraId="72470954">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0.01741345</w:t>
                  </w:r>
                </w:p>
              </w:tc>
            </w:tr>
          </w:tbl>
          <w:p w14:paraId="3D97D638">
            <w:pPr>
              <w:pStyle w:val="14"/>
              <w:shd w:val="clear"/>
              <w:adjustRightInd w:val="0"/>
              <w:snapToGrid w:val="0"/>
              <w:spacing w:before="0"/>
              <w:jc w:val="both"/>
              <w:rPr>
                <w:rFonts w:hint="eastAsia"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注：</w:t>
            </w:r>
            <w:r>
              <w:rPr>
                <w:rFonts w:hint="eastAsia" w:cs="Times New Roman"/>
                <w:color w:val="auto"/>
                <w:sz w:val="21"/>
                <w:szCs w:val="21"/>
                <w:highlight w:val="none"/>
                <w:lang w:val="en-US" w:eastAsia="zh-CN"/>
              </w:rPr>
              <w:t>①</w:t>
            </w:r>
            <w:r>
              <w:rPr>
                <w:rFonts w:hint="default" w:ascii="Times New Roman" w:hAnsi="Times New Roman" w:cs="Times New Roman"/>
                <w:color w:val="auto"/>
                <w:sz w:val="21"/>
                <w:szCs w:val="21"/>
                <w:highlight w:val="none"/>
                <w:lang w:val="en-US" w:eastAsia="zh-CN"/>
              </w:rPr>
              <w:t>根据GB/T11638-2020《乙炔气瓶》及相关充装规范，40L乙炔瓶的最大乙炔充装量按公式mₐ= 0.20×δ×V计算，取填料孔隙率δ=90%，得乙炔mₐ=0.2×0.9×40=7.2kg；40L乙炔瓶丙酮的规定充装量按公式mₐ=0.38×δ×V计算，取填料孔隙率δ=90%，得丙酮mₐ=0.38×0.9×40=13.68kg。本项目乙炔气瓶乙炔最大贮存量按7.2kg，乙炔气瓶丙酮最大贮存量按13.68kg。</w:t>
            </w:r>
            <w:r>
              <w:rPr>
                <w:rFonts w:hint="eastAsia" w:ascii="Times New Roman" w:hAnsi="Times New Roman" w:cs="Times New Roman"/>
                <w:color w:val="auto"/>
                <w:sz w:val="21"/>
                <w:szCs w:val="21"/>
                <w:highlight w:val="none"/>
                <w:lang w:val="en-US" w:eastAsia="zh-CN"/>
              </w:rPr>
              <w:t>原料丙酮最大贮存量为5.4725kg，则项目总丙酮最大贮存量为5.4725+13.68=19.1525kg</w:t>
            </w:r>
            <w:r>
              <w:rPr>
                <w:rFonts w:hint="eastAsia" w:cs="Times New Roman"/>
                <w:color w:val="auto"/>
                <w:sz w:val="21"/>
                <w:szCs w:val="21"/>
                <w:highlight w:val="none"/>
                <w:lang w:val="en-US" w:eastAsia="zh-CN"/>
              </w:rPr>
              <w:t>。</w:t>
            </w:r>
          </w:p>
          <w:p w14:paraId="2E23D206">
            <w:pPr>
              <w:keepNext w:val="0"/>
              <w:keepLines w:val="0"/>
              <w:pageBreakBefore w:val="0"/>
              <w:widowControl/>
              <w:suppressLineNumbers w:val="0"/>
              <w:kinsoku/>
              <w:wordWrap/>
              <w:overflowPunct/>
              <w:topLinePunct w:val="0"/>
              <w:autoSpaceDE/>
              <w:autoSpaceDN/>
              <w:bidi w:val="0"/>
              <w:adjustRightInd/>
              <w:snapToGrid/>
              <w:spacing w:line="360" w:lineRule="auto"/>
              <w:ind w:firstLine="420" w:firstLineChars="200"/>
              <w:jc w:val="left"/>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②</w:t>
            </w:r>
            <w:r>
              <w:rPr>
                <w:rFonts w:hint="default" w:ascii="Times New Roman" w:hAnsi="Times New Roman" w:eastAsia="宋体" w:cs="Times New Roman"/>
                <w:color w:val="auto"/>
                <w:kern w:val="0"/>
                <w:sz w:val="21"/>
                <w:szCs w:val="21"/>
                <w:highlight w:val="none"/>
                <w:lang w:val="en-US" w:eastAsia="zh-CN" w:bidi="ar"/>
              </w:rPr>
              <w:t>实验废液不属于《建设项目环境风险评价技术导则》（HJ169-2018）和《危险化学品重大危险源辨识》（GB18218-2018）中的物质，但对环境具有危害性。故根据其性质，实验废液判定为《建设项目环境风险评价技术导则》（HJ169-2018）附录B.2危害水环境物质（类别1）。</w:t>
            </w:r>
          </w:p>
          <w:p w14:paraId="6EA123FD">
            <w:pPr>
              <w:pStyle w:val="14"/>
              <w:shd w:val="clear"/>
              <w:adjustRightInd w:val="0"/>
              <w:snapToGrid w:val="0"/>
              <w:spacing w:before="0"/>
              <w:jc w:val="both"/>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color w:val="auto"/>
                <w:sz w:val="21"/>
                <w:szCs w:val="21"/>
                <w:highlight w:val="none"/>
                <w:lang w:val="en-US" w:eastAsia="zh-CN"/>
              </w:rPr>
              <w:t>由上表可知，各类物质临界量比值总和</w:t>
            </w:r>
            <w:r>
              <w:rPr>
                <w:rFonts w:hint="default" w:ascii="Times New Roman" w:hAnsi="Times New Roman" w:eastAsia="宋体" w:cs="Times New Roman"/>
                <w:color w:val="auto"/>
                <w:sz w:val="21"/>
                <w:szCs w:val="21"/>
                <w:highlight w:val="none"/>
              </w:rPr>
              <w:t>Q=</w:t>
            </w:r>
            <w:r>
              <w:rPr>
                <w:rFonts w:hint="default" w:ascii="Times New Roman" w:hAnsi="Times New Roman" w:eastAsia="宋体" w:cs="Times New Roman"/>
                <w:i w:val="0"/>
                <w:iCs w:val="0"/>
                <w:color w:val="auto"/>
                <w:kern w:val="0"/>
                <w:sz w:val="21"/>
                <w:szCs w:val="21"/>
                <w:highlight w:val="none"/>
                <w:u w:val="none"/>
                <w:lang w:val="en-US" w:eastAsia="zh-CN" w:bidi="ar"/>
              </w:rPr>
              <w:t>0.01741345</w:t>
            </w:r>
            <w:r>
              <w:rPr>
                <w:rFonts w:hint="default"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rPr>
              <w:t>项目风险Q值＜1。</w:t>
            </w:r>
          </w:p>
          <w:p w14:paraId="0CD69BA7">
            <w:pPr>
              <w:pStyle w:val="63"/>
              <w:keepNext w:val="0"/>
              <w:keepLines w:val="0"/>
              <w:pageBreakBefore w:val="0"/>
              <w:widowControl w:val="0"/>
              <w:numPr>
                <w:ilvl w:val="0"/>
                <w:numId w:val="10"/>
              </w:numPr>
              <w:shd w:val="clear"/>
              <w:kinsoku/>
              <w:wordWrap/>
              <w:overflowPunct/>
              <w:topLinePunct w:val="0"/>
              <w:autoSpaceDE/>
              <w:autoSpaceDN/>
              <w:bidi w:val="0"/>
              <w:adjustRightInd/>
              <w:spacing w:line="360" w:lineRule="auto"/>
              <w:ind w:firstLine="482" w:firstLineChars="200"/>
              <w:jc w:val="both"/>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环境风险识别</w:t>
            </w:r>
          </w:p>
          <w:p w14:paraId="02A29AB5">
            <w:pPr>
              <w:pStyle w:val="4"/>
              <w:pageBreakBefore w:val="0"/>
              <w:widowControl w:val="0"/>
              <w:numPr>
                <w:ilvl w:val="0"/>
                <w:numId w:val="0"/>
              </w:numPr>
              <w:shd w:val="clear"/>
              <w:kinsoku/>
              <w:wordWrap/>
              <w:overflowPunct/>
              <w:topLinePunct w:val="0"/>
              <w:autoSpaceDE/>
              <w:autoSpaceDN/>
              <w:bidi w:val="0"/>
              <w:adjustRightInd/>
              <w:snapToGrid/>
              <w:spacing w:line="360" w:lineRule="auto"/>
              <w:ind w:left="0" w:leftChars="0" w:firstLine="482" w:firstLineChars="200"/>
              <w:jc w:val="both"/>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生产过程风险</w:t>
            </w:r>
            <w:r>
              <w:rPr>
                <w:rFonts w:hint="default" w:ascii="Times New Roman" w:hAnsi="Times New Roman" w:cs="Times New Roman"/>
                <w:b/>
                <w:bCs/>
                <w:color w:val="auto"/>
                <w:sz w:val="24"/>
                <w:szCs w:val="24"/>
                <w:highlight w:val="none"/>
                <w:lang w:val="en-US" w:eastAsia="zh-CN"/>
              </w:rPr>
              <w:t>影响途径</w:t>
            </w:r>
            <w:r>
              <w:rPr>
                <w:rFonts w:hint="default" w:ascii="Times New Roman" w:hAnsi="Times New Roman" w:eastAsia="宋体" w:cs="Times New Roman"/>
                <w:b/>
                <w:bCs/>
                <w:color w:val="auto"/>
                <w:sz w:val="24"/>
                <w:szCs w:val="24"/>
                <w:highlight w:val="none"/>
                <w:lang w:val="en-US" w:eastAsia="zh-CN"/>
              </w:rPr>
              <w:t>：</w:t>
            </w:r>
          </w:p>
          <w:p w14:paraId="17BD229C">
            <w:pPr>
              <w:pageBreakBefore w:val="0"/>
              <w:widowControl w:val="0"/>
              <w:shd w:val="clear"/>
              <w:kinsoku/>
              <w:wordWrap/>
              <w:overflowPunct/>
              <w:topLinePunct w:val="0"/>
              <w:autoSpaceDE/>
              <w:autoSpaceDN/>
              <w:bidi w:val="0"/>
              <w:adjustRightInd/>
              <w:snapToGrid/>
              <w:spacing w:line="360" w:lineRule="auto"/>
              <w:ind w:left="0" w:firstLine="420" w:firstLineChars="20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①液态原辅材料的泄漏对地下水、土壤造成污染，气体扩散对大气造成影响；</w:t>
            </w:r>
          </w:p>
          <w:p w14:paraId="78CEDF41">
            <w:pPr>
              <w:pageBreakBefore w:val="0"/>
              <w:widowControl w:val="0"/>
              <w:shd w:val="clear"/>
              <w:kinsoku/>
              <w:wordWrap/>
              <w:overflowPunct/>
              <w:topLinePunct w:val="0"/>
              <w:autoSpaceDE/>
              <w:autoSpaceDN/>
              <w:bidi w:val="0"/>
              <w:adjustRightInd/>
              <w:snapToGrid/>
              <w:spacing w:line="360" w:lineRule="auto"/>
              <w:ind w:left="0" w:firstLine="420" w:firstLineChars="20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②单位内的危险废物管理不善，出现与一般固体废弃物混装或散落污染区内环境等，造成危险废物对所涉及区域的空气、地表水、土壤及人群健康造成影响；</w:t>
            </w:r>
          </w:p>
          <w:p w14:paraId="3CABEFE8">
            <w:pPr>
              <w:pageBreakBefore w:val="0"/>
              <w:widowControl w:val="0"/>
              <w:shd w:val="clear"/>
              <w:kinsoku/>
              <w:wordWrap/>
              <w:overflowPunct/>
              <w:topLinePunct w:val="0"/>
              <w:autoSpaceDE/>
              <w:autoSpaceDN/>
              <w:bidi w:val="0"/>
              <w:adjustRightInd/>
              <w:snapToGrid/>
              <w:spacing w:line="360" w:lineRule="auto"/>
              <w:ind w:left="0" w:firstLine="420" w:firstLineChars="200"/>
              <w:jc w:val="both"/>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③</w:t>
            </w:r>
            <w:r>
              <w:rPr>
                <w:rFonts w:hint="default" w:ascii="Times New Roman" w:hAnsi="Times New Roman" w:eastAsia="宋体" w:cs="Times New Roman"/>
                <w:color w:val="auto"/>
                <w:sz w:val="21"/>
                <w:szCs w:val="21"/>
                <w:highlight w:val="none"/>
                <w:lang w:val="en-US" w:eastAsia="zh-CN"/>
              </w:rPr>
              <w:t>废气处理设施出现故障或停运，造成废气不达标排放，危害周边区域的空气质量及人群健康的影响；</w:t>
            </w:r>
            <w:r>
              <w:rPr>
                <w:rFonts w:hint="default" w:ascii="Times New Roman" w:hAnsi="Times New Roman" w:cs="Times New Roman"/>
                <w:color w:val="auto"/>
                <w:szCs w:val="21"/>
                <w:highlight w:val="none"/>
              </w:rPr>
              <w:t>废水收集设施管理不当，容器破裂引起</w:t>
            </w:r>
            <w:r>
              <w:rPr>
                <w:rFonts w:hint="default" w:ascii="Times New Roman" w:hAnsi="Times New Roman" w:cs="Times New Roman"/>
                <w:color w:val="auto"/>
                <w:szCs w:val="21"/>
                <w:highlight w:val="none"/>
                <w:lang w:eastAsia="zh-CN"/>
              </w:rPr>
              <w:t>泄漏</w:t>
            </w:r>
            <w:r>
              <w:rPr>
                <w:rFonts w:hint="default" w:ascii="Times New Roman" w:hAnsi="Times New Roman" w:cs="Times New Roman"/>
                <w:color w:val="auto"/>
                <w:szCs w:val="21"/>
                <w:highlight w:val="none"/>
              </w:rPr>
              <w:t>或转移过程操作不规范，导致液体的滴漏可能会对地下水、土壤等造成污染。</w:t>
            </w:r>
          </w:p>
          <w:p w14:paraId="3173143D">
            <w:pPr>
              <w:pageBreakBefore w:val="0"/>
              <w:widowControl w:val="0"/>
              <w:shd w:val="clear"/>
              <w:kinsoku/>
              <w:wordWrap/>
              <w:overflowPunct/>
              <w:topLinePunct w:val="0"/>
              <w:autoSpaceDE/>
              <w:autoSpaceDN/>
              <w:bidi w:val="0"/>
              <w:adjustRightInd/>
              <w:snapToGrid/>
              <w:spacing w:line="360" w:lineRule="auto"/>
              <w:ind w:left="0" w:firstLine="420" w:firstLineChars="200"/>
              <w:jc w:val="both"/>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④</w:t>
            </w:r>
            <w:r>
              <w:rPr>
                <w:rFonts w:hint="default" w:ascii="Times New Roman" w:hAnsi="Times New Roman" w:eastAsia="宋体" w:cs="Times New Roman"/>
                <w:color w:val="auto"/>
                <w:sz w:val="21"/>
                <w:szCs w:val="21"/>
                <w:highlight w:val="none"/>
                <w:lang w:val="en-US" w:eastAsia="zh-CN"/>
              </w:rPr>
              <w:t>由于管理不善导致造成火灾等安全事故，危害工作人员的人身安全，造成巨大的经济损失。</w:t>
            </w:r>
          </w:p>
          <w:p w14:paraId="5F16A4A3">
            <w:pPr>
              <w:pStyle w:val="63"/>
              <w:keepNext w:val="0"/>
              <w:keepLines w:val="0"/>
              <w:pageBreakBefore w:val="0"/>
              <w:widowControl w:val="0"/>
              <w:shd w:val="clear"/>
              <w:kinsoku/>
              <w:wordWrap/>
              <w:overflowPunct/>
              <w:topLinePunct w:val="0"/>
              <w:autoSpaceDE/>
              <w:autoSpaceDN/>
              <w:bidi w:val="0"/>
              <w:adjustRightInd/>
              <w:spacing w:line="360" w:lineRule="auto"/>
              <w:ind w:firstLine="482" w:firstLineChars="200"/>
              <w:jc w:val="both"/>
              <w:textAlignment w:val="auto"/>
              <w:rPr>
                <w:rFonts w:hint="default" w:ascii="Times New Roman" w:hAnsi="Times New Roman" w:eastAsia="宋体" w:cs="Times New Roman"/>
                <w:b/>
                <w:bCs w:val="0"/>
                <w:color w:val="auto"/>
                <w:kern w:val="2"/>
                <w:sz w:val="24"/>
                <w:szCs w:val="24"/>
                <w:highlight w:val="none"/>
                <w:lang w:val="zh-CN" w:eastAsia="zh-CN" w:bidi="ar-SA"/>
              </w:rPr>
            </w:pPr>
            <w:r>
              <w:rPr>
                <w:rFonts w:hint="default" w:ascii="Times New Roman" w:hAnsi="Times New Roman" w:eastAsia="宋体" w:cs="Times New Roman"/>
                <w:b/>
                <w:bCs w:val="0"/>
                <w:color w:val="auto"/>
                <w:kern w:val="2"/>
                <w:sz w:val="24"/>
                <w:szCs w:val="24"/>
                <w:highlight w:val="none"/>
                <w:lang w:val="zh-CN" w:eastAsia="zh-CN" w:bidi="ar-SA"/>
              </w:rPr>
              <w:t>事故防范措施：</w:t>
            </w:r>
          </w:p>
          <w:p w14:paraId="07E58487">
            <w:pPr>
              <w:keepNext w:val="0"/>
              <w:keepLines w:val="0"/>
              <w:pageBreakBefore w:val="0"/>
              <w:widowControl w:val="0"/>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①</w:t>
            </w:r>
            <w:r>
              <w:rPr>
                <w:rFonts w:hint="default" w:ascii="Times New Roman" w:hAnsi="Times New Roman" w:eastAsia="宋体" w:cs="Times New Roman"/>
                <w:color w:val="auto"/>
                <w:sz w:val="21"/>
                <w:szCs w:val="21"/>
                <w:highlight w:val="none"/>
              </w:rPr>
              <w:t>在</w:t>
            </w:r>
            <w:r>
              <w:rPr>
                <w:rFonts w:hint="eastAsia" w:cs="Times New Roman"/>
                <w:color w:val="auto"/>
                <w:sz w:val="21"/>
                <w:szCs w:val="21"/>
                <w:highlight w:val="none"/>
                <w:lang w:val="en-US" w:eastAsia="zh-CN"/>
              </w:rPr>
              <w:t>实验室</w:t>
            </w:r>
            <w:r>
              <w:rPr>
                <w:rFonts w:hint="default" w:ascii="Times New Roman" w:hAnsi="Times New Roman" w:eastAsia="宋体" w:cs="Times New Roman"/>
                <w:color w:val="auto"/>
                <w:sz w:val="21"/>
                <w:szCs w:val="21"/>
                <w:highlight w:val="none"/>
              </w:rPr>
              <w:t>设立警告牌(严禁烟火)；</w:t>
            </w:r>
          </w:p>
          <w:p w14:paraId="083B5B89">
            <w:pPr>
              <w:spacing w:line="360" w:lineRule="auto"/>
              <w:ind w:firstLine="420" w:firstLineChars="20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②</w:t>
            </w:r>
            <w:r>
              <w:rPr>
                <w:rFonts w:hint="default" w:ascii="Times New Roman" w:hAnsi="Times New Roman" w:cs="Times New Roman"/>
                <w:color w:val="auto"/>
                <w:szCs w:val="21"/>
                <w:highlight w:val="none"/>
              </w:rPr>
              <w:t>对危废暂存间实行定期的巡检制度，及时发现问题，尽快解决</w:t>
            </w:r>
            <w:r>
              <w:rPr>
                <w:rFonts w:hint="default" w:ascii="Times New Roman" w:hAnsi="Times New Roman" w:eastAsia="宋体" w:cs="Times New Roman"/>
                <w:color w:val="auto"/>
                <w:sz w:val="21"/>
                <w:szCs w:val="21"/>
                <w:highlight w:val="none"/>
              </w:rPr>
              <w:t>；</w:t>
            </w:r>
          </w:p>
          <w:p w14:paraId="0466CA1A">
            <w:pPr>
              <w:keepNext w:val="0"/>
              <w:keepLines w:val="0"/>
              <w:pageBreakBefore w:val="0"/>
              <w:widowControl w:val="0"/>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outlineLvl w:val="9"/>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③</w:t>
            </w:r>
            <w:r>
              <w:rPr>
                <w:rFonts w:hint="default" w:ascii="Times New Roman" w:hAnsi="Times New Roman" w:eastAsia="宋体" w:cs="Times New Roman"/>
                <w:color w:val="auto"/>
                <w:sz w:val="21"/>
                <w:szCs w:val="21"/>
                <w:highlight w:val="none"/>
              </w:rPr>
              <w:t>设置独立的危废间。危废应</w:t>
            </w:r>
            <w:r>
              <w:rPr>
                <w:rFonts w:hint="default" w:ascii="Times New Roman" w:hAnsi="Times New Roman" w:eastAsia="宋体" w:cs="Times New Roman"/>
                <w:color w:val="auto"/>
                <w:sz w:val="21"/>
                <w:szCs w:val="21"/>
                <w:highlight w:val="none"/>
                <w:lang w:eastAsia="zh-CN"/>
              </w:rPr>
              <w:t>设置</w:t>
            </w:r>
            <w:r>
              <w:rPr>
                <w:rFonts w:hint="default" w:ascii="Times New Roman" w:hAnsi="Times New Roman" w:eastAsia="宋体" w:cs="Times New Roman"/>
                <w:color w:val="auto"/>
                <w:sz w:val="21"/>
                <w:szCs w:val="21"/>
                <w:highlight w:val="none"/>
              </w:rPr>
              <w:t>防腐措施，并进行分区，设置危险标志，设置围堰</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严格按照</w:t>
            </w:r>
            <w:r>
              <w:rPr>
                <w:rFonts w:hint="default" w:ascii="Times New Roman" w:hAnsi="Times New Roman" w:eastAsia="宋体" w:cs="Times New Roman"/>
                <w:bCs/>
                <w:color w:val="auto"/>
                <w:sz w:val="21"/>
                <w:szCs w:val="21"/>
                <w:highlight w:val="none"/>
                <w:lang w:val="en-US" w:eastAsia="zh-CN"/>
              </w:rPr>
              <w:t>《危险废物贮存污染控制标准》（GB18597—2023）</w:t>
            </w:r>
            <w:r>
              <w:rPr>
                <w:rFonts w:hint="default" w:ascii="Times New Roman" w:hAnsi="Times New Roman" w:eastAsia="宋体" w:cs="Times New Roman"/>
                <w:color w:val="auto"/>
                <w:sz w:val="21"/>
                <w:szCs w:val="21"/>
                <w:highlight w:val="none"/>
              </w:rPr>
              <w:t>中规定的要求，采取“防渗、防雨、防流失”等措施</w:t>
            </w:r>
            <w:r>
              <w:rPr>
                <w:rFonts w:hint="default" w:ascii="Times New Roman" w:hAnsi="Times New Roman" w:eastAsia="宋体" w:cs="Times New Roman"/>
                <w:color w:val="auto"/>
                <w:sz w:val="21"/>
                <w:szCs w:val="21"/>
                <w:highlight w:val="none"/>
                <w:lang w:eastAsia="zh-CN"/>
              </w:rPr>
              <w:t>。</w:t>
            </w:r>
          </w:p>
          <w:p w14:paraId="188516D5">
            <w:pPr>
              <w:keepNext w:val="0"/>
              <w:keepLines w:val="0"/>
              <w:pageBreakBefore w:val="0"/>
              <w:widowControl/>
              <w:suppressLineNumbers w:val="0"/>
              <w:kinsoku/>
              <w:wordWrap/>
              <w:overflowPunct/>
              <w:topLinePunct w:val="0"/>
              <w:autoSpaceDE/>
              <w:autoSpaceDN/>
              <w:bidi w:val="0"/>
              <w:adjustRightInd/>
              <w:snapToGrid/>
              <w:spacing w:line="360" w:lineRule="auto"/>
              <w:ind w:firstLine="420" w:firstLineChars="200"/>
              <w:jc w:val="left"/>
              <w:textAlignment w:val="auto"/>
              <w:rPr>
                <w:color w:val="auto"/>
                <w:highlight w:val="none"/>
              </w:rPr>
            </w:pPr>
            <w:r>
              <w:rPr>
                <w:rFonts w:hint="default" w:ascii="Times New Roman" w:hAnsi="Times New Roman" w:eastAsia="宋体" w:cs="Times New Roman"/>
                <w:b w:val="0"/>
                <w:bCs w:val="0"/>
                <w:color w:val="auto"/>
                <w:kern w:val="2"/>
                <w:sz w:val="21"/>
                <w:szCs w:val="21"/>
                <w:highlight w:val="none"/>
                <w:lang w:val="en-US" w:eastAsia="zh-CN" w:bidi="ar-SA"/>
              </w:rPr>
              <w:t>④废气治理设施故障后立即停工，对相关故障设施进行维修，正常运行后才重新生产</w:t>
            </w:r>
            <w:r>
              <w:rPr>
                <w:rFonts w:hint="default" w:ascii="Times New Roman" w:hAnsi="Times New Roman" w:cs="Times New Roman"/>
                <w:b w:val="0"/>
                <w:bCs w:val="0"/>
                <w:color w:val="auto"/>
                <w:kern w:val="2"/>
                <w:sz w:val="21"/>
                <w:szCs w:val="21"/>
                <w:highlight w:val="none"/>
                <w:lang w:val="en-US" w:eastAsia="zh-CN" w:bidi="ar-SA"/>
              </w:rPr>
              <w:t>并加强检修</w:t>
            </w:r>
            <w:r>
              <w:rPr>
                <w:rFonts w:hint="default" w:ascii="Times New Roman" w:hAnsi="Times New Roman" w:eastAsia="宋体" w:cs="Times New Roman"/>
                <w:b w:val="0"/>
                <w:bCs w:val="0"/>
                <w:color w:val="auto"/>
                <w:kern w:val="2"/>
                <w:sz w:val="21"/>
                <w:szCs w:val="21"/>
                <w:highlight w:val="none"/>
                <w:lang w:val="en-US" w:eastAsia="zh-CN" w:bidi="ar-SA"/>
              </w:rPr>
              <w:t>；</w:t>
            </w:r>
            <w:r>
              <w:rPr>
                <w:rFonts w:hint="eastAsia" w:ascii="宋体" w:hAnsi="宋体" w:eastAsia="宋体" w:cs="宋体"/>
                <w:color w:val="auto"/>
                <w:kern w:val="0"/>
                <w:sz w:val="20"/>
                <w:szCs w:val="20"/>
                <w:highlight w:val="none"/>
                <w:lang w:val="en-US" w:eastAsia="zh-CN" w:bidi="ar"/>
              </w:rPr>
              <w:t>生产废水经废水暂存区进行储存，废水处理设施周边设置围堰，项目厂区内地面为混凝土硬化地面。</w:t>
            </w:r>
          </w:p>
          <w:p w14:paraId="3D3C482F">
            <w:pPr>
              <w:keepNext w:val="0"/>
              <w:keepLines w:val="0"/>
              <w:pageBreakBefore w:val="0"/>
              <w:widowControl w:val="0"/>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outlineLvl w:val="9"/>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⑤</w:t>
            </w:r>
            <w:r>
              <w:rPr>
                <w:rFonts w:hint="default" w:ascii="Times New Roman" w:hAnsi="Times New Roman" w:eastAsia="宋体" w:cs="Times New Roman"/>
                <w:color w:val="auto"/>
                <w:sz w:val="21"/>
                <w:szCs w:val="21"/>
                <w:highlight w:val="none"/>
              </w:rPr>
              <w:t>对于危险物质的储存，应配备应急的器械和有关用具，如灭火器、沙池、隔板等，并建议在危险物质储存处设置缓坡或地面留有导流槽（或池）</w:t>
            </w:r>
            <w:r>
              <w:rPr>
                <w:rFonts w:hint="default" w:ascii="Times New Roman" w:hAnsi="Times New Roman" w:eastAsia="宋体" w:cs="Times New Roman"/>
                <w:color w:val="auto"/>
                <w:sz w:val="21"/>
                <w:szCs w:val="21"/>
                <w:highlight w:val="none"/>
                <w:lang w:eastAsia="zh-CN"/>
              </w:rPr>
              <w:t>；</w:t>
            </w:r>
          </w:p>
          <w:p w14:paraId="32082DA8">
            <w:pPr>
              <w:keepNext w:val="0"/>
              <w:keepLines w:val="0"/>
              <w:pageBreakBefore w:val="0"/>
              <w:widowControl w:val="0"/>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⑥</w:t>
            </w:r>
            <w:r>
              <w:rPr>
                <w:rFonts w:hint="default" w:ascii="Times New Roman" w:hAnsi="Times New Roman" w:eastAsia="宋体" w:cs="Times New Roman"/>
                <w:color w:val="auto"/>
                <w:sz w:val="21"/>
                <w:szCs w:val="21"/>
                <w:highlight w:val="none"/>
              </w:rPr>
              <w:t>根据火灾危险性等级和防火、防爆要求，区内建筑物的防火等级均应采用国家现行规范要求按二级耐火等级设计，满足建筑防火要求，凡禁火区均设置明显标志牌，安全出口及安全疏散距离应符合《建筑设计防火规范》</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GBJ16-87</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的要求；</w:t>
            </w:r>
          </w:p>
          <w:p w14:paraId="10B416D3">
            <w:pPr>
              <w:pStyle w:val="40"/>
              <w:shd w:val="clear"/>
              <w:spacing w:line="360" w:lineRule="auto"/>
              <w:ind w:firstLine="420" w:firstLineChars="20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⑦</w:t>
            </w:r>
            <w:r>
              <w:rPr>
                <w:rFonts w:hint="eastAsia" w:ascii="Times New Roman" w:cs="Times New Roman"/>
                <w:color w:val="auto"/>
                <w:sz w:val="21"/>
                <w:szCs w:val="21"/>
                <w:highlight w:val="none"/>
                <w:lang w:val="en-US" w:eastAsia="zh-CN"/>
              </w:rPr>
              <w:t>化学品</w:t>
            </w:r>
            <w:r>
              <w:rPr>
                <w:rFonts w:hint="default" w:ascii="Times New Roman" w:hAnsi="Times New Roman" w:eastAsia="宋体" w:cs="Times New Roman"/>
                <w:color w:val="auto"/>
                <w:sz w:val="21"/>
                <w:szCs w:val="21"/>
                <w:highlight w:val="none"/>
                <w:lang w:val="en-US" w:eastAsia="zh-CN"/>
              </w:rPr>
              <w:t>贮存场所采取严格的分区防腐防渗措施，防止因事故消防废水漫流通过下渗污染项目区周围地下水环境，避免对地下水造成环境污染。</w:t>
            </w:r>
          </w:p>
          <w:p w14:paraId="2D84533A">
            <w:pPr>
              <w:shd w:val="clear"/>
              <w:spacing w:line="360" w:lineRule="auto"/>
              <w:ind w:firstLine="420" w:firstLineChars="200"/>
              <w:jc w:val="both"/>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综上所述，根据项目风险分析，本项目潜在的风险</w:t>
            </w:r>
            <w:r>
              <w:rPr>
                <w:rFonts w:hint="default" w:ascii="Times New Roman" w:hAnsi="Times New Roman" w:eastAsia="宋体" w:cs="Times New Roman"/>
                <w:color w:val="auto"/>
                <w:kern w:val="0"/>
                <w:sz w:val="21"/>
                <w:szCs w:val="21"/>
                <w:highlight w:val="none"/>
                <w:lang w:val="en-US" w:eastAsia="zh-CN"/>
              </w:rPr>
              <w:t>主要为</w:t>
            </w:r>
            <w:r>
              <w:rPr>
                <w:rFonts w:hint="default" w:ascii="Times New Roman" w:hAnsi="Times New Roman" w:eastAsia="宋体" w:cs="Times New Roman"/>
                <w:color w:val="auto"/>
                <w:kern w:val="0"/>
                <w:sz w:val="21"/>
                <w:szCs w:val="21"/>
                <w:highlight w:val="none"/>
              </w:rPr>
              <w:t>可燃物质遇明火引发火灾甚至爆炸导致大气、地表水污染</w:t>
            </w:r>
            <w:r>
              <w:rPr>
                <w:rFonts w:hint="default" w:ascii="Times New Roman" w:hAnsi="Times New Roman" w:eastAsia="宋体"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lang w:val="en-US" w:eastAsia="zh-CN"/>
              </w:rPr>
              <w:t>化学品</w:t>
            </w:r>
            <w:r>
              <w:rPr>
                <w:rFonts w:hint="default" w:ascii="Times New Roman" w:hAnsi="Times New Roman" w:eastAsia="宋体" w:cs="Times New Roman"/>
                <w:color w:val="auto"/>
                <w:kern w:val="0"/>
                <w:sz w:val="21"/>
                <w:szCs w:val="21"/>
                <w:highlight w:val="none"/>
              </w:rPr>
              <w:t>和危险废物</w:t>
            </w:r>
            <w:r>
              <w:rPr>
                <w:rFonts w:hint="default" w:ascii="Times New Roman" w:hAnsi="Times New Roman" w:eastAsia="宋体" w:cs="Times New Roman"/>
                <w:color w:val="auto"/>
                <w:kern w:val="0"/>
                <w:sz w:val="21"/>
                <w:szCs w:val="21"/>
                <w:highlight w:val="none"/>
                <w:lang w:eastAsia="zh-CN"/>
              </w:rPr>
              <w:t>泄漏</w:t>
            </w:r>
            <w:r>
              <w:rPr>
                <w:rFonts w:hint="default" w:ascii="Times New Roman" w:hAnsi="Times New Roman" w:eastAsia="宋体" w:cs="Times New Roman"/>
                <w:color w:val="auto"/>
                <w:kern w:val="0"/>
                <w:sz w:val="21"/>
                <w:szCs w:val="21"/>
                <w:highlight w:val="none"/>
              </w:rPr>
              <w:t>导致地下水、土壤</w:t>
            </w:r>
            <w:r>
              <w:rPr>
                <w:rFonts w:hint="default" w:ascii="Times New Roman" w:hAnsi="Times New Roman" w:eastAsia="宋体"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lang w:val="en-US" w:eastAsia="zh-CN"/>
              </w:rPr>
              <w:t>大气</w:t>
            </w:r>
            <w:r>
              <w:rPr>
                <w:rFonts w:hint="default" w:ascii="Times New Roman" w:hAnsi="Times New Roman" w:eastAsia="宋体" w:cs="Times New Roman"/>
                <w:color w:val="auto"/>
                <w:kern w:val="0"/>
                <w:sz w:val="21"/>
                <w:szCs w:val="21"/>
                <w:highlight w:val="none"/>
              </w:rPr>
              <w:t>污染</w:t>
            </w:r>
            <w:r>
              <w:rPr>
                <w:rFonts w:hint="default" w:ascii="Times New Roman" w:hAnsi="Times New Roman" w:eastAsia="宋体"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rPr>
              <w:t>建设单位应按照本报告表，做好各项风险的预防和应急措施，可将环境风险水平控制在较小范围内。</w:t>
            </w:r>
          </w:p>
          <w:p w14:paraId="65C71D6C">
            <w:pPr>
              <w:pStyle w:val="40"/>
              <w:shd w:val="clear"/>
              <w:spacing w:line="360" w:lineRule="auto"/>
              <w:ind w:firstLine="420" w:firstLineChars="200"/>
              <w:jc w:val="both"/>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项目存在的环境风险通过采取加强管理、配备应急器械、设置缓坡或导流槽、定期检查、建立预警信息系统等风险防范措施，</w:t>
            </w:r>
            <w:r>
              <w:rPr>
                <w:rFonts w:hint="default" w:ascii="Times New Roman" w:hAnsi="Times New Roman" w:eastAsia="宋体" w:cs="Times New Roman"/>
                <w:bCs/>
                <w:color w:val="auto"/>
                <w:sz w:val="21"/>
                <w:szCs w:val="21"/>
                <w:highlight w:val="none"/>
              </w:rPr>
              <w:t>可以有效预防和控制环境风险。</w:t>
            </w:r>
            <w:r>
              <w:rPr>
                <w:rFonts w:hint="eastAsia" w:ascii="宋体" w:hAnsi="宋体"/>
                <w:color w:val="auto"/>
                <w:sz w:val="21"/>
                <w:szCs w:val="21"/>
                <w:highlight w:val="none"/>
              </w:rPr>
              <w:t>对于危险物质的储存，应配备应急的器械和有关用具，如灭火器、沙池、隔板等，并建议在</w:t>
            </w:r>
            <w:r>
              <w:rPr>
                <w:rFonts w:hint="eastAsia" w:ascii="宋体" w:hAnsi="宋体"/>
                <w:color w:val="auto"/>
                <w:sz w:val="21"/>
                <w:szCs w:val="21"/>
                <w:highlight w:val="none"/>
                <w:lang w:val="en-US" w:eastAsia="zh-CN"/>
              </w:rPr>
              <w:t>液态化学品</w:t>
            </w:r>
            <w:r>
              <w:rPr>
                <w:rFonts w:hint="eastAsia" w:ascii="宋体" w:hAnsi="宋体"/>
                <w:color w:val="auto"/>
                <w:sz w:val="21"/>
                <w:szCs w:val="21"/>
                <w:highlight w:val="none"/>
              </w:rPr>
              <w:t>物质储存处设置缓坡或地面留有导流槽（或池），以备</w:t>
            </w:r>
            <w:r>
              <w:rPr>
                <w:rFonts w:hint="eastAsia" w:ascii="宋体" w:hAnsi="宋体"/>
                <w:color w:val="auto"/>
                <w:sz w:val="21"/>
                <w:szCs w:val="21"/>
                <w:highlight w:val="none"/>
                <w:lang w:val="en-US" w:eastAsia="zh-CN"/>
              </w:rPr>
              <w:t>液态化学品</w:t>
            </w:r>
            <w:r>
              <w:rPr>
                <w:rFonts w:hint="eastAsia" w:ascii="宋体" w:hAnsi="宋体"/>
                <w:color w:val="auto"/>
                <w:sz w:val="21"/>
                <w:szCs w:val="21"/>
                <w:highlight w:val="none"/>
              </w:rPr>
              <w:t>物质在洒落或泄漏时能临时清理存放，</w:t>
            </w:r>
            <w:r>
              <w:rPr>
                <w:rFonts w:hint="eastAsia" w:ascii="宋体" w:hAnsi="宋体"/>
                <w:color w:val="auto"/>
                <w:sz w:val="21"/>
                <w:szCs w:val="21"/>
                <w:highlight w:val="none"/>
                <w:lang w:val="en-US" w:eastAsia="zh-CN"/>
              </w:rPr>
              <w:t>液态化学品</w:t>
            </w:r>
            <w:r>
              <w:rPr>
                <w:rFonts w:hint="eastAsia" w:ascii="宋体" w:hAnsi="宋体"/>
                <w:color w:val="auto"/>
                <w:sz w:val="21"/>
                <w:szCs w:val="21"/>
                <w:highlight w:val="none"/>
              </w:rPr>
              <w:t>物质的储存应由具有该方面经验的专人进行管理。</w:t>
            </w:r>
            <w:r>
              <w:rPr>
                <w:rFonts w:hint="default" w:ascii="Times New Roman" w:hAnsi="Times New Roman" w:eastAsia="宋体" w:cs="Times New Roman"/>
                <w:color w:val="auto"/>
                <w:sz w:val="21"/>
                <w:szCs w:val="21"/>
                <w:highlight w:val="none"/>
              </w:rPr>
              <w:t>项目厂房进出口均设置缓坡及消防沙袋，项目</w:t>
            </w:r>
            <w:r>
              <w:rPr>
                <w:rFonts w:hint="eastAsia" w:ascii="Times New Roman" w:cs="Times New Roman"/>
                <w:color w:val="auto"/>
                <w:sz w:val="21"/>
                <w:szCs w:val="21"/>
                <w:highlight w:val="none"/>
                <w:lang w:val="en-US" w:eastAsia="zh-CN"/>
              </w:rPr>
              <w:t>发</w:t>
            </w:r>
            <w:r>
              <w:rPr>
                <w:rFonts w:hint="default" w:ascii="Times New Roman" w:hAnsi="Times New Roman" w:eastAsia="宋体" w:cs="Times New Roman"/>
                <w:color w:val="auto"/>
                <w:sz w:val="21"/>
                <w:szCs w:val="21"/>
                <w:highlight w:val="none"/>
              </w:rPr>
              <w:t>生消防事故时，产生的废水均能截留于厂内并设置事故废水收集设备。</w:t>
            </w:r>
          </w:p>
          <w:p w14:paraId="4A3C43F9">
            <w:pPr>
              <w:pStyle w:val="40"/>
              <w:shd w:val="clear"/>
              <w:spacing w:line="360" w:lineRule="auto"/>
              <w:ind w:firstLine="420" w:firstLineChars="200"/>
              <w:jc w:val="both"/>
              <w:rPr>
                <w:rFonts w:hint="default" w:ascii="Times New Roman" w:hAnsi="Times New Roman" w:cs="Times New Roman"/>
                <w:color w:val="auto"/>
                <w:highlight w:val="none"/>
              </w:rPr>
            </w:pPr>
            <w:r>
              <w:rPr>
                <w:rFonts w:hint="default" w:ascii="Times New Roman" w:hAnsi="Times New Roman" w:eastAsia="宋体" w:cs="Times New Roman"/>
                <w:color w:val="auto"/>
                <w:kern w:val="0"/>
                <w:sz w:val="21"/>
                <w:szCs w:val="21"/>
                <w:highlight w:val="none"/>
              </w:rPr>
              <w:t>项目在严格落实环评提出各项措施和要求的前提下，项目风险</w:t>
            </w:r>
            <w:r>
              <w:rPr>
                <w:rFonts w:hint="default" w:ascii="Times New Roman" w:hAnsi="Times New Roman" w:eastAsia="宋体" w:cs="Times New Roman"/>
                <w:color w:val="auto"/>
                <w:kern w:val="0"/>
                <w:sz w:val="21"/>
                <w:szCs w:val="21"/>
                <w:highlight w:val="none"/>
                <w:lang w:val="en-US" w:eastAsia="zh-CN"/>
              </w:rPr>
              <w:t>可控</w:t>
            </w:r>
            <w:r>
              <w:rPr>
                <w:rFonts w:hint="default" w:ascii="Times New Roman" w:hAnsi="Times New Roman" w:eastAsia="宋体" w:cs="Times New Roman"/>
                <w:color w:val="auto"/>
                <w:kern w:val="0"/>
                <w:sz w:val="21"/>
                <w:szCs w:val="21"/>
                <w:highlight w:val="none"/>
              </w:rPr>
              <w:t>，对环境影响不大</w:t>
            </w:r>
            <w:r>
              <w:rPr>
                <w:rFonts w:hint="default" w:ascii="Times New Roman" w:hAnsi="Times New Roman" w:eastAsia="宋体" w:cs="Times New Roman"/>
                <w:color w:val="auto"/>
                <w:sz w:val="21"/>
                <w:szCs w:val="21"/>
                <w:highlight w:val="none"/>
                <w:lang w:val="en-US"/>
              </w:rPr>
              <w:t>。</w:t>
            </w:r>
          </w:p>
        </w:tc>
      </w:tr>
    </w:tbl>
    <w:p w14:paraId="4A3718F8">
      <w:pPr>
        <w:shd w:val="clear"/>
        <w:adjustRightInd w:val="0"/>
        <w:snapToGrid w:val="0"/>
        <w:spacing w:line="360" w:lineRule="auto"/>
        <w:rPr>
          <w:rFonts w:hint="default" w:ascii="Times New Roman" w:hAnsi="Times New Roman" w:eastAsia="宋体" w:cs="Times New Roman"/>
          <w:b/>
          <w:color w:val="auto"/>
          <w:kern w:val="0"/>
          <w:sz w:val="28"/>
          <w:szCs w:val="28"/>
          <w:highlight w:val="none"/>
        </w:rPr>
        <w:sectPr>
          <w:pgSz w:w="11907" w:h="16840"/>
          <w:pgMar w:top="1701" w:right="1531" w:bottom="2127" w:left="1531" w:header="851" w:footer="851" w:gutter="0"/>
          <w:pgNumType w:fmt="decimal"/>
          <w:cols w:space="720" w:num="1"/>
          <w:docGrid w:linePitch="312" w:charSpace="0"/>
        </w:sectPr>
      </w:pPr>
    </w:p>
    <w:p w14:paraId="136BE751">
      <w:pPr>
        <w:pStyle w:val="3"/>
        <w:shd w:val="clear"/>
        <w:bidi w:val="0"/>
        <w:jc w:val="center"/>
        <w:rPr>
          <w:rFonts w:hint="default" w:ascii="Times New Roman" w:hAnsi="Times New Roman" w:eastAsia="宋体" w:cs="Times New Roman"/>
          <w:color w:val="auto"/>
          <w:sz w:val="32"/>
          <w:szCs w:val="32"/>
          <w:highlight w:val="none"/>
        </w:rPr>
      </w:pPr>
      <w:bookmarkStart w:id="9" w:name="_Toc3574"/>
      <w:r>
        <w:rPr>
          <w:rFonts w:hint="default" w:ascii="Times New Roman" w:hAnsi="Times New Roman" w:eastAsia="宋体" w:cs="Times New Roman"/>
          <w:color w:val="auto"/>
          <w:sz w:val="32"/>
          <w:szCs w:val="32"/>
          <w:highlight w:val="none"/>
        </w:rPr>
        <w:t>五、</w:t>
      </w:r>
      <w:bookmarkStart w:id="10" w:name="_Hlk54167917"/>
      <w:r>
        <w:rPr>
          <w:rFonts w:hint="default" w:ascii="Times New Roman" w:hAnsi="Times New Roman" w:eastAsia="宋体" w:cs="Times New Roman"/>
          <w:color w:val="auto"/>
          <w:sz w:val="32"/>
          <w:szCs w:val="32"/>
          <w:highlight w:val="none"/>
        </w:rPr>
        <w:t>环境保护措施监督检查清</w:t>
      </w:r>
      <w:bookmarkEnd w:id="10"/>
      <w:r>
        <w:rPr>
          <w:rFonts w:hint="default" w:ascii="Times New Roman" w:hAnsi="Times New Roman" w:eastAsia="宋体" w:cs="Times New Roman"/>
          <w:color w:val="auto"/>
          <w:sz w:val="32"/>
          <w:szCs w:val="32"/>
          <w:highlight w:val="none"/>
        </w:rPr>
        <w:t>单</w:t>
      </w:r>
      <w:bookmarkEnd w:id="9"/>
    </w:p>
    <w:tbl>
      <w:tblPr>
        <w:tblStyle w:val="33"/>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778"/>
        <w:gridCol w:w="599"/>
        <w:gridCol w:w="1156"/>
        <w:gridCol w:w="1309"/>
        <w:gridCol w:w="1555"/>
        <w:gridCol w:w="2403"/>
        <w:gridCol w:w="52"/>
      </w:tblGrid>
      <w:tr w14:paraId="7279114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tcBorders>
              <w:tl2br w:val="single" w:color="auto" w:sz="4" w:space="0"/>
            </w:tcBorders>
            <w:noWrap w:val="0"/>
            <w:vAlign w:val="top"/>
          </w:tcPr>
          <w:p w14:paraId="7B31436A">
            <w:pPr>
              <w:shd w:val="clear"/>
              <w:adjustRightInd w:val="0"/>
              <w:snapToGrid w:val="0"/>
              <w:spacing w:line="240" w:lineRule="auto"/>
              <w:ind w:firstLine="840"/>
              <w:jc w:val="righ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内容</w:t>
            </w:r>
          </w:p>
          <w:p w14:paraId="45ACF016">
            <w:pPr>
              <w:shd w:val="clear"/>
              <w:adjustRightInd w:val="0"/>
              <w:snapToGrid w:val="0"/>
              <w:spacing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要素</w:t>
            </w:r>
          </w:p>
        </w:tc>
        <w:tc>
          <w:tcPr>
            <w:tcW w:w="1755" w:type="dxa"/>
            <w:gridSpan w:val="2"/>
            <w:noWrap w:val="0"/>
            <w:vAlign w:val="center"/>
          </w:tcPr>
          <w:p w14:paraId="3B8FB5DB">
            <w:pPr>
              <w:shd w:val="clear"/>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排放口(编号、名称)/污染源</w:t>
            </w:r>
          </w:p>
        </w:tc>
        <w:tc>
          <w:tcPr>
            <w:tcW w:w="1309" w:type="dxa"/>
            <w:noWrap w:val="0"/>
            <w:vAlign w:val="center"/>
          </w:tcPr>
          <w:p w14:paraId="1429D4D0">
            <w:pPr>
              <w:shd w:val="clear"/>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污染物项目</w:t>
            </w:r>
          </w:p>
        </w:tc>
        <w:tc>
          <w:tcPr>
            <w:tcW w:w="1555" w:type="dxa"/>
            <w:noWrap w:val="0"/>
            <w:vAlign w:val="center"/>
          </w:tcPr>
          <w:p w14:paraId="19E2FE27">
            <w:pPr>
              <w:shd w:val="clear"/>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环境保护措施</w:t>
            </w:r>
          </w:p>
        </w:tc>
        <w:tc>
          <w:tcPr>
            <w:tcW w:w="2455" w:type="dxa"/>
            <w:gridSpan w:val="2"/>
            <w:noWrap w:val="0"/>
            <w:vAlign w:val="center"/>
          </w:tcPr>
          <w:p w14:paraId="7D1677D1">
            <w:pPr>
              <w:shd w:val="clear"/>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执行标准</w:t>
            </w:r>
          </w:p>
        </w:tc>
      </w:tr>
      <w:tr w14:paraId="15AEFC9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1778" w:type="dxa"/>
            <w:vMerge w:val="restart"/>
            <w:noWrap w:val="0"/>
            <w:vAlign w:val="center"/>
          </w:tcPr>
          <w:p w14:paraId="6905B8A6">
            <w:pPr>
              <w:shd w:val="clear"/>
              <w:adjustRightInd w:val="0"/>
              <w:snapToGrid w:val="0"/>
              <w:spacing w:line="360" w:lineRule="auto"/>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大气</w:t>
            </w:r>
          </w:p>
        </w:tc>
        <w:tc>
          <w:tcPr>
            <w:tcW w:w="599" w:type="dxa"/>
            <w:vMerge w:val="restart"/>
            <w:noWrap w:val="0"/>
            <w:vAlign w:val="center"/>
          </w:tcPr>
          <w:p w14:paraId="79CF7663">
            <w:pPr>
              <w:shd w:val="clear"/>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G1</w:t>
            </w:r>
          </w:p>
        </w:tc>
        <w:tc>
          <w:tcPr>
            <w:tcW w:w="1156" w:type="dxa"/>
            <w:vMerge w:val="restart"/>
            <w:noWrap w:val="0"/>
            <w:vAlign w:val="center"/>
          </w:tcPr>
          <w:p w14:paraId="22B5C41D">
            <w:pPr>
              <w:shd w:val="clear"/>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酸雾废气</w:t>
            </w:r>
          </w:p>
        </w:tc>
        <w:tc>
          <w:tcPr>
            <w:tcW w:w="1309" w:type="dxa"/>
            <w:noWrap w:val="0"/>
            <w:vAlign w:val="center"/>
          </w:tcPr>
          <w:p w14:paraId="1D3809C0">
            <w:pPr>
              <w:shd w:val="clear"/>
              <w:jc w:val="center"/>
              <w:rPr>
                <w:rFonts w:hint="default" w:ascii="Times New Roman" w:hAnsi="Times New Roman" w:eastAsia="宋体" w:cs="Times New Roman"/>
                <w:color w:val="auto"/>
                <w:sz w:val="21"/>
                <w:szCs w:val="21"/>
                <w:highlight w:val="none"/>
              </w:rPr>
            </w:pPr>
            <w:r>
              <w:rPr>
                <w:rFonts w:hint="eastAsia" w:ascii="Times New Roman" w:hAnsi="Times New Roman" w:eastAsia="宋体"/>
                <w:color w:val="auto"/>
                <w:kern w:val="0"/>
                <w:szCs w:val="21"/>
                <w:highlight w:val="none"/>
                <w:lang w:val="en-US" w:eastAsia="zh-CN"/>
              </w:rPr>
              <w:t>硫化氢</w:t>
            </w:r>
          </w:p>
        </w:tc>
        <w:tc>
          <w:tcPr>
            <w:tcW w:w="1555" w:type="dxa"/>
            <w:vMerge w:val="restart"/>
            <w:noWrap w:val="0"/>
            <w:vAlign w:val="center"/>
          </w:tcPr>
          <w:p w14:paraId="0F3F9A39">
            <w:pPr>
              <w:keepNext w:val="0"/>
              <w:keepLines w:val="0"/>
              <w:pageBreakBefore w:val="0"/>
              <w:shd w:val="clear"/>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通风柜收集后，经碱液喷淋塔处理后通过G1排气筒排放</w:t>
            </w:r>
          </w:p>
        </w:tc>
        <w:tc>
          <w:tcPr>
            <w:tcW w:w="2455" w:type="dxa"/>
            <w:gridSpan w:val="2"/>
            <w:vMerge w:val="restart"/>
            <w:noWrap w:val="0"/>
            <w:vAlign w:val="center"/>
          </w:tcPr>
          <w:p w14:paraId="7C605428">
            <w:pPr>
              <w:pStyle w:val="62"/>
              <w:shd w:val="clear"/>
              <w:spacing w:line="240" w:lineRule="auto"/>
              <w:jc w:val="both"/>
              <w:rPr>
                <w:rFonts w:hint="default" w:ascii="Times New Roman" w:hAnsi="Times New Roman" w:eastAsia="宋体" w:cs="Times New Roman"/>
                <w:color w:val="auto"/>
                <w:sz w:val="21"/>
                <w:szCs w:val="21"/>
                <w:highlight w:val="none"/>
              </w:rPr>
            </w:pPr>
            <w:r>
              <w:rPr>
                <w:rFonts w:hint="default" w:ascii="Times New Roman" w:hAnsi="Times New Roman" w:cs="Times New Roman"/>
                <w:bCs/>
                <w:color w:val="auto"/>
                <w:szCs w:val="21"/>
                <w:highlight w:val="none"/>
              </w:rPr>
              <w:t>广东省地方标准《大气污染物排放限值》（DB44/27-2001）第二时段二级标准</w:t>
            </w:r>
          </w:p>
        </w:tc>
      </w:tr>
      <w:tr w14:paraId="7954BD3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7" w:hRule="atLeast"/>
          <w:jc w:val="center"/>
        </w:trPr>
        <w:tc>
          <w:tcPr>
            <w:tcW w:w="1778" w:type="dxa"/>
            <w:vMerge w:val="continue"/>
            <w:noWrap w:val="0"/>
            <w:vAlign w:val="center"/>
          </w:tcPr>
          <w:p w14:paraId="39B034CD">
            <w:pPr>
              <w:shd w:val="clear"/>
              <w:adjustRightInd w:val="0"/>
              <w:snapToGrid w:val="0"/>
              <w:spacing w:line="360" w:lineRule="auto"/>
              <w:jc w:val="center"/>
              <w:rPr>
                <w:rFonts w:hint="default" w:ascii="Times New Roman" w:hAnsi="Times New Roman" w:eastAsia="宋体" w:cs="Times New Roman"/>
                <w:color w:val="auto"/>
                <w:sz w:val="21"/>
                <w:szCs w:val="21"/>
                <w:highlight w:val="none"/>
              </w:rPr>
            </w:pPr>
          </w:p>
        </w:tc>
        <w:tc>
          <w:tcPr>
            <w:tcW w:w="599" w:type="dxa"/>
            <w:vMerge w:val="continue"/>
            <w:noWrap w:val="0"/>
            <w:vAlign w:val="center"/>
          </w:tcPr>
          <w:p w14:paraId="7534EBC6">
            <w:pPr>
              <w:shd w:val="clear"/>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1156" w:type="dxa"/>
            <w:vMerge w:val="continue"/>
            <w:noWrap w:val="0"/>
            <w:vAlign w:val="center"/>
          </w:tcPr>
          <w:p w14:paraId="18D8381F">
            <w:pPr>
              <w:shd w:val="clear"/>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1309" w:type="dxa"/>
            <w:noWrap w:val="0"/>
            <w:vAlign w:val="center"/>
          </w:tcPr>
          <w:p w14:paraId="2D51A3C0">
            <w:pPr>
              <w:shd w:val="clear"/>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氯化氢</w:t>
            </w:r>
          </w:p>
        </w:tc>
        <w:tc>
          <w:tcPr>
            <w:tcW w:w="1555" w:type="dxa"/>
            <w:vMerge w:val="continue"/>
            <w:noWrap w:val="0"/>
            <w:vAlign w:val="center"/>
          </w:tcPr>
          <w:p w14:paraId="08A5D5F9">
            <w:pPr>
              <w:keepNext w:val="0"/>
              <w:keepLines w:val="0"/>
              <w:pageBreakBefore w:val="0"/>
              <w:shd w:val="clear"/>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2455" w:type="dxa"/>
            <w:gridSpan w:val="2"/>
            <w:vMerge w:val="continue"/>
            <w:noWrap w:val="0"/>
            <w:vAlign w:val="center"/>
          </w:tcPr>
          <w:p w14:paraId="5950C3DD">
            <w:pPr>
              <w:pStyle w:val="62"/>
              <w:shd w:val="clear"/>
              <w:spacing w:line="240" w:lineRule="auto"/>
              <w:jc w:val="both"/>
              <w:rPr>
                <w:rFonts w:hint="default" w:ascii="Times New Roman" w:hAnsi="Times New Roman" w:eastAsia="宋体" w:cs="Times New Roman"/>
                <w:color w:val="auto"/>
                <w:sz w:val="21"/>
                <w:szCs w:val="21"/>
                <w:highlight w:val="none"/>
              </w:rPr>
            </w:pPr>
          </w:p>
        </w:tc>
      </w:tr>
      <w:tr w14:paraId="638D888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3" w:hRule="atLeast"/>
          <w:jc w:val="center"/>
        </w:trPr>
        <w:tc>
          <w:tcPr>
            <w:tcW w:w="1778" w:type="dxa"/>
            <w:vMerge w:val="continue"/>
            <w:noWrap w:val="0"/>
            <w:vAlign w:val="center"/>
          </w:tcPr>
          <w:p w14:paraId="33B74E1E">
            <w:pPr>
              <w:shd w:val="clear"/>
              <w:adjustRightInd w:val="0"/>
              <w:snapToGrid w:val="0"/>
              <w:spacing w:line="360" w:lineRule="auto"/>
              <w:jc w:val="center"/>
              <w:rPr>
                <w:rFonts w:hint="default" w:ascii="Times New Roman" w:hAnsi="Times New Roman" w:eastAsia="宋体" w:cs="Times New Roman"/>
                <w:color w:val="auto"/>
                <w:sz w:val="21"/>
                <w:szCs w:val="21"/>
                <w:highlight w:val="none"/>
              </w:rPr>
            </w:pPr>
          </w:p>
        </w:tc>
        <w:tc>
          <w:tcPr>
            <w:tcW w:w="599" w:type="dxa"/>
            <w:vMerge w:val="continue"/>
            <w:noWrap w:val="0"/>
            <w:vAlign w:val="center"/>
          </w:tcPr>
          <w:p w14:paraId="5BF4A17C">
            <w:pPr>
              <w:shd w:val="clear"/>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1156" w:type="dxa"/>
            <w:vMerge w:val="continue"/>
            <w:noWrap w:val="0"/>
            <w:vAlign w:val="center"/>
          </w:tcPr>
          <w:p w14:paraId="655AD9EE">
            <w:pPr>
              <w:shd w:val="clear"/>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1309" w:type="dxa"/>
            <w:noWrap w:val="0"/>
            <w:vAlign w:val="center"/>
          </w:tcPr>
          <w:p w14:paraId="21CE2AB8">
            <w:pPr>
              <w:keepNext w:val="0"/>
              <w:keepLines w:val="0"/>
              <w:widowControl/>
              <w:suppressLineNumbers w:val="0"/>
              <w:shd w:val="clear"/>
              <w:spacing w:line="240" w:lineRule="auto"/>
              <w:jc w:val="center"/>
              <w:textAlignment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氮氧化物</w:t>
            </w:r>
          </w:p>
        </w:tc>
        <w:tc>
          <w:tcPr>
            <w:tcW w:w="1555" w:type="dxa"/>
            <w:vMerge w:val="continue"/>
            <w:noWrap w:val="0"/>
            <w:vAlign w:val="center"/>
          </w:tcPr>
          <w:p w14:paraId="10F329B3">
            <w:pPr>
              <w:keepNext w:val="0"/>
              <w:keepLines w:val="0"/>
              <w:pageBreakBefore w:val="0"/>
              <w:shd w:val="clear"/>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2455" w:type="dxa"/>
            <w:gridSpan w:val="2"/>
            <w:vMerge w:val="continue"/>
            <w:noWrap w:val="0"/>
            <w:vAlign w:val="center"/>
          </w:tcPr>
          <w:p w14:paraId="59E3552E">
            <w:pPr>
              <w:pStyle w:val="62"/>
              <w:shd w:val="clear"/>
              <w:spacing w:line="240" w:lineRule="auto"/>
              <w:jc w:val="both"/>
              <w:rPr>
                <w:rFonts w:hint="default" w:ascii="Times New Roman" w:hAnsi="Times New Roman" w:eastAsia="宋体" w:cs="Times New Roman"/>
                <w:color w:val="auto"/>
                <w:sz w:val="21"/>
                <w:szCs w:val="21"/>
                <w:highlight w:val="none"/>
              </w:rPr>
            </w:pPr>
          </w:p>
        </w:tc>
      </w:tr>
      <w:tr w14:paraId="35644D4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2" w:hRule="atLeast"/>
          <w:jc w:val="center"/>
        </w:trPr>
        <w:tc>
          <w:tcPr>
            <w:tcW w:w="1778" w:type="dxa"/>
            <w:vMerge w:val="continue"/>
            <w:noWrap w:val="0"/>
            <w:vAlign w:val="center"/>
          </w:tcPr>
          <w:p w14:paraId="3B49F363">
            <w:pPr>
              <w:shd w:val="clear"/>
              <w:adjustRightInd w:val="0"/>
              <w:snapToGrid w:val="0"/>
              <w:spacing w:line="360" w:lineRule="auto"/>
              <w:jc w:val="center"/>
              <w:rPr>
                <w:rFonts w:hint="default" w:ascii="Times New Roman" w:hAnsi="Times New Roman" w:eastAsia="宋体" w:cs="Times New Roman"/>
                <w:color w:val="auto"/>
                <w:sz w:val="21"/>
                <w:szCs w:val="21"/>
                <w:highlight w:val="none"/>
              </w:rPr>
            </w:pPr>
          </w:p>
        </w:tc>
        <w:tc>
          <w:tcPr>
            <w:tcW w:w="599" w:type="dxa"/>
            <w:vMerge w:val="restart"/>
            <w:noWrap w:val="0"/>
            <w:vAlign w:val="center"/>
          </w:tcPr>
          <w:p w14:paraId="77423769">
            <w:pPr>
              <w:shd w:val="clear"/>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G2</w:t>
            </w:r>
          </w:p>
        </w:tc>
        <w:tc>
          <w:tcPr>
            <w:tcW w:w="1156" w:type="dxa"/>
            <w:vMerge w:val="restart"/>
            <w:noWrap w:val="0"/>
            <w:vAlign w:val="center"/>
          </w:tcPr>
          <w:p w14:paraId="1F447DA0">
            <w:pPr>
              <w:shd w:val="clear"/>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有机废气、粉尘废气</w:t>
            </w:r>
          </w:p>
        </w:tc>
        <w:tc>
          <w:tcPr>
            <w:tcW w:w="1309" w:type="dxa"/>
            <w:noWrap w:val="0"/>
            <w:vAlign w:val="center"/>
          </w:tcPr>
          <w:p w14:paraId="679141B0">
            <w:pPr>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color w:val="auto"/>
                <w:kern w:val="0"/>
                <w:sz w:val="21"/>
                <w:szCs w:val="21"/>
                <w:highlight w:val="none"/>
                <w:lang w:val="en-US" w:eastAsia="zh-CN" w:bidi="ar-SA"/>
              </w:rPr>
              <w:t>颗粒物</w:t>
            </w:r>
          </w:p>
        </w:tc>
        <w:tc>
          <w:tcPr>
            <w:tcW w:w="1555" w:type="dxa"/>
            <w:vMerge w:val="restart"/>
            <w:noWrap w:val="0"/>
            <w:vAlign w:val="center"/>
          </w:tcPr>
          <w:p w14:paraId="6AB315A7">
            <w:pPr>
              <w:keepNext w:val="0"/>
              <w:keepLines w:val="0"/>
              <w:pageBreakBefore w:val="0"/>
              <w:shd w:val="clear"/>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密闭车间+通风柜收集后汇入</w:t>
            </w:r>
            <w:r>
              <w:rPr>
                <w:rFonts w:hint="eastAsia" w:cs="Times New Roman"/>
                <w:color w:val="auto"/>
                <w:sz w:val="21"/>
                <w:szCs w:val="21"/>
                <w:highlight w:val="none"/>
                <w:lang w:val="en-US" w:eastAsia="zh-CN"/>
              </w:rPr>
              <w:t>单</w:t>
            </w:r>
            <w:r>
              <w:rPr>
                <w:rFonts w:hint="default" w:ascii="Times New Roman" w:hAnsi="Times New Roman" w:eastAsia="宋体" w:cs="Times New Roman"/>
                <w:color w:val="auto"/>
                <w:sz w:val="21"/>
                <w:szCs w:val="21"/>
                <w:highlight w:val="none"/>
                <w:lang w:val="en-US" w:eastAsia="zh-CN"/>
              </w:rPr>
              <w:t>级活性炭吸附装置进行处理后经G2排气筒排放。</w:t>
            </w:r>
          </w:p>
        </w:tc>
        <w:tc>
          <w:tcPr>
            <w:tcW w:w="2455" w:type="dxa"/>
            <w:gridSpan w:val="2"/>
            <w:vMerge w:val="restart"/>
            <w:noWrap w:val="0"/>
            <w:vAlign w:val="center"/>
          </w:tcPr>
          <w:p w14:paraId="4B3960A9">
            <w:pPr>
              <w:pStyle w:val="62"/>
              <w:shd w:val="clear"/>
              <w:spacing w:line="240" w:lineRule="auto"/>
              <w:jc w:val="both"/>
              <w:rPr>
                <w:rFonts w:hint="default" w:ascii="Times New Roman" w:hAnsi="Times New Roman" w:eastAsia="宋体" w:cs="Times New Roman"/>
                <w:color w:val="auto"/>
                <w:sz w:val="21"/>
                <w:szCs w:val="21"/>
                <w:highlight w:val="none"/>
              </w:rPr>
            </w:pPr>
            <w:r>
              <w:rPr>
                <w:rFonts w:hint="default" w:ascii="Times New Roman" w:hAnsi="Times New Roman" w:cs="Times New Roman"/>
                <w:bCs/>
                <w:color w:val="auto"/>
                <w:szCs w:val="21"/>
                <w:highlight w:val="none"/>
              </w:rPr>
              <w:t>广东省地方标准《大气污染物排放限值》（DB44/27-2001）第二时段二级标准</w:t>
            </w:r>
          </w:p>
        </w:tc>
      </w:tr>
      <w:tr w14:paraId="515C327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7" w:hRule="atLeast"/>
          <w:jc w:val="center"/>
        </w:trPr>
        <w:tc>
          <w:tcPr>
            <w:tcW w:w="1778" w:type="dxa"/>
            <w:vMerge w:val="continue"/>
            <w:noWrap w:val="0"/>
            <w:vAlign w:val="center"/>
          </w:tcPr>
          <w:p w14:paraId="73ED3021">
            <w:pPr>
              <w:shd w:val="clear"/>
              <w:adjustRightInd w:val="0"/>
              <w:snapToGrid w:val="0"/>
              <w:spacing w:line="360" w:lineRule="auto"/>
              <w:jc w:val="center"/>
              <w:rPr>
                <w:rFonts w:hint="default" w:ascii="Times New Roman" w:hAnsi="Times New Roman" w:eastAsia="宋体" w:cs="Times New Roman"/>
                <w:color w:val="auto"/>
                <w:sz w:val="21"/>
                <w:szCs w:val="21"/>
                <w:highlight w:val="none"/>
              </w:rPr>
            </w:pPr>
          </w:p>
        </w:tc>
        <w:tc>
          <w:tcPr>
            <w:tcW w:w="599" w:type="dxa"/>
            <w:vMerge w:val="continue"/>
            <w:noWrap w:val="0"/>
            <w:vAlign w:val="center"/>
          </w:tcPr>
          <w:p w14:paraId="5493C67A">
            <w:pPr>
              <w:shd w:val="clear"/>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1156" w:type="dxa"/>
            <w:vMerge w:val="continue"/>
            <w:noWrap w:val="0"/>
            <w:vAlign w:val="center"/>
          </w:tcPr>
          <w:p w14:paraId="0AF3AD2A">
            <w:pPr>
              <w:shd w:val="clear"/>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1309" w:type="dxa"/>
            <w:noWrap w:val="0"/>
            <w:vAlign w:val="center"/>
          </w:tcPr>
          <w:p w14:paraId="71722A22">
            <w:pPr>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color w:val="auto"/>
                <w:kern w:val="0"/>
                <w:sz w:val="21"/>
                <w:szCs w:val="21"/>
                <w:highlight w:val="none"/>
                <w:lang w:val="en-US" w:eastAsia="zh-CN" w:bidi="ar-SA"/>
              </w:rPr>
              <w:t>甲醇</w:t>
            </w:r>
          </w:p>
        </w:tc>
        <w:tc>
          <w:tcPr>
            <w:tcW w:w="1555" w:type="dxa"/>
            <w:vMerge w:val="continue"/>
            <w:noWrap w:val="0"/>
            <w:vAlign w:val="center"/>
          </w:tcPr>
          <w:p w14:paraId="7F89E7F9">
            <w:pPr>
              <w:keepNext w:val="0"/>
              <w:keepLines w:val="0"/>
              <w:pageBreakBefore w:val="0"/>
              <w:shd w:val="clear"/>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2455" w:type="dxa"/>
            <w:gridSpan w:val="2"/>
            <w:vMerge w:val="continue"/>
            <w:noWrap w:val="0"/>
            <w:vAlign w:val="center"/>
          </w:tcPr>
          <w:p w14:paraId="7AC7AC51">
            <w:pPr>
              <w:pStyle w:val="62"/>
              <w:shd w:val="clear"/>
              <w:spacing w:line="240" w:lineRule="auto"/>
              <w:jc w:val="both"/>
              <w:rPr>
                <w:rFonts w:hint="default" w:ascii="Times New Roman" w:hAnsi="Times New Roman" w:eastAsia="宋体" w:cs="Times New Roman"/>
                <w:color w:val="auto"/>
                <w:sz w:val="21"/>
                <w:szCs w:val="21"/>
                <w:highlight w:val="none"/>
              </w:rPr>
            </w:pPr>
          </w:p>
        </w:tc>
      </w:tr>
      <w:tr w14:paraId="038E93A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3" w:hRule="atLeast"/>
          <w:jc w:val="center"/>
        </w:trPr>
        <w:tc>
          <w:tcPr>
            <w:tcW w:w="1778" w:type="dxa"/>
            <w:vMerge w:val="continue"/>
            <w:noWrap w:val="0"/>
            <w:vAlign w:val="center"/>
          </w:tcPr>
          <w:p w14:paraId="0DA14D2E">
            <w:pPr>
              <w:shd w:val="clear"/>
              <w:adjustRightInd w:val="0"/>
              <w:snapToGrid w:val="0"/>
              <w:spacing w:line="360" w:lineRule="auto"/>
              <w:jc w:val="center"/>
              <w:rPr>
                <w:rFonts w:hint="default" w:ascii="Times New Roman" w:hAnsi="Times New Roman" w:eastAsia="宋体" w:cs="Times New Roman"/>
                <w:color w:val="auto"/>
                <w:sz w:val="21"/>
                <w:szCs w:val="21"/>
                <w:highlight w:val="none"/>
              </w:rPr>
            </w:pPr>
          </w:p>
        </w:tc>
        <w:tc>
          <w:tcPr>
            <w:tcW w:w="599" w:type="dxa"/>
            <w:vMerge w:val="continue"/>
            <w:noWrap w:val="0"/>
            <w:vAlign w:val="center"/>
          </w:tcPr>
          <w:p w14:paraId="1A4D5CA9">
            <w:pPr>
              <w:shd w:val="clear"/>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1156" w:type="dxa"/>
            <w:vMerge w:val="continue"/>
            <w:noWrap w:val="0"/>
            <w:vAlign w:val="center"/>
          </w:tcPr>
          <w:p w14:paraId="29C7C1E3">
            <w:pPr>
              <w:shd w:val="clear"/>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1309" w:type="dxa"/>
            <w:noWrap w:val="0"/>
            <w:vAlign w:val="center"/>
          </w:tcPr>
          <w:p w14:paraId="4B2A9AF7">
            <w:pPr>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color w:val="auto"/>
                <w:kern w:val="0"/>
                <w:sz w:val="21"/>
                <w:szCs w:val="21"/>
                <w:highlight w:val="none"/>
                <w:lang w:val="en-US" w:eastAsia="zh-CN" w:bidi="ar-SA"/>
              </w:rPr>
              <w:t>TVOC</w:t>
            </w:r>
          </w:p>
        </w:tc>
        <w:tc>
          <w:tcPr>
            <w:tcW w:w="1555" w:type="dxa"/>
            <w:vMerge w:val="continue"/>
            <w:noWrap w:val="0"/>
            <w:vAlign w:val="center"/>
          </w:tcPr>
          <w:p w14:paraId="1DADE0AC">
            <w:pPr>
              <w:keepNext w:val="0"/>
              <w:keepLines w:val="0"/>
              <w:pageBreakBefore w:val="0"/>
              <w:shd w:val="clear"/>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2455" w:type="dxa"/>
            <w:gridSpan w:val="2"/>
            <w:vMerge w:val="restart"/>
            <w:noWrap w:val="0"/>
            <w:vAlign w:val="center"/>
          </w:tcPr>
          <w:p w14:paraId="4FD70D45">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szCs w:val="21"/>
                <w:highlight w:val="none"/>
                <w:lang w:val="en-US" w:eastAsia="zh-CN"/>
              </w:rPr>
              <w:t>广东省地方标准《固定污染源挥发性有机物综合排放标准》（DB44/2367-2022）表1挥发性有机物排放限值</w:t>
            </w:r>
          </w:p>
        </w:tc>
      </w:tr>
      <w:tr w14:paraId="04D1C79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3" w:hRule="atLeast"/>
          <w:jc w:val="center"/>
        </w:trPr>
        <w:tc>
          <w:tcPr>
            <w:tcW w:w="1778" w:type="dxa"/>
            <w:vMerge w:val="continue"/>
            <w:noWrap w:val="0"/>
            <w:vAlign w:val="center"/>
          </w:tcPr>
          <w:p w14:paraId="4C805F08">
            <w:pPr>
              <w:shd w:val="clear"/>
              <w:adjustRightInd w:val="0"/>
              <w:snapToGrid w:val="0"/>
              <w:spacing w:line="360" w:lineRule="auto"/>
              <w:jc w:val="center"/>
              <w:rPr>
                <w:rFonts w:hint="default" w:ascii="Times New Roman" w:hAnsi="Times New Roman" w:eastAsia="宋体" w:cs="Times New Roman"/>
                <w:color w:val="auto"/>
                <w:sz w:val="21"/>
                <w:szCs w:val="21"/>
                <w:highlight w:val="none"/>
              </w:rPr>
            </w:pPr>
          </w:p>
        </w:tc>
        <w:tc>
          <w:tcPr>
            <w:tcW w:w="599" w:type="dxa"/>
            <w:vMerge w:val="continue"/>
            <w:noWrap w:val="0"/>
            <w:vAlign w:val="center"/>
          </w:tcPr>
          <w:p w14:paraId="55C309BD">
            <w:pPr>
              <w:shd w:val="clear"/>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1156" w:type="dxa"/>
            <w:vMerge w:val="continue"/>
            <w:noWrap w:val="0"/>
            <w:vAlign w:val="center"/>
          </w:tcPr>
          <w:p w14:paraId="4785E498">
            <w:pPr>
              <w:shd w:val="clear"/>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1309" w:type="dxa"/>
            <w:noWrap w:val="0"/>
            <w:vAlign w:val="center"/>
          </w:tcPr>
          <w:p w14:paraId="49F17E5C">
            <w:pPr>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color w:val="auto"/>
                <w:kern w:val="0"/>
                <w:sz w:val="21"/>
                <w:szCs w:val="21"/>
                <w:highlight w:val="none"/>
                <w:lang w:val="en-US" w:eastAsia="zh-CN" w:bidi="ar-SA"/>
              </w:rPr>
              <w:t>非甲烷总烃</w:t>
            </w:r>
          </w:p>
        </w:tc>
        <w:tc>
          <w:tcPr>
            <w:tcW w:w="1555" w:type="dxa"/>
            <w:vMerge w:val="continue"/>
            <w:noWrap w:val="0"/>
            <w:vAlign w:val="center"/>
          </w:tcPr>
          <w:p w14:paraId="19AE7D3B">
            <w:pPr>
              <w:keepNext w:val="0"/>
              <w:keepLines w:val="0"/>
              <w:pageBreakBefore w:val="0"/>
              <w:shd w:val="clear"/>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2455" w:type="dxa"/>
            <w:gridSpan w:val="2"/>
            <w:vMerge w:val="continue"/>
            <w:noWrap w:val="0"/>
            <w:vAlign w:val="center"/>
          </w:tcPr>
          <w:p w14:paraId="656F7750">
            <w:pPr>
              <w:pStyle w:val="62"/>
              <w:shd w:val="clear"/>
              <w:spacing w:line="240" w:lineRule="auto"/>
              <w:jc w:val="both"/>
              <w:rPr>
                <w:rFonts w:hint="default" w:ascii="Times New Roman" w:hAnsi="Times New Roman" w:eastAsia="宋体" w:cs="Times New Roman"/>
                <w:color w:val="auto"/>
                <w:sz w:val="21"/>
                <w:szCs w:val="21"/>
                <w:highlight w:val="none"/>
              </w:rPr>
            </w:pPr>
          </w:p>
        </w:tc>
      </w:tr>
      <w:tr w14:paraId="537A80D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49" w:hRule="atLeast"/>
          <w:jc w:val="center"/>
        </w:trPr>
        <w:tc>
          <w:tcPr>
            <w:tcW w:w="1778" w:type="dxa"/>
            <w:vMerge w:val="continue"/>
            <w:noWrap w:val="0"/>
            <w:vAlign w:val="center"/>
          </w:tcPr>
          <w:p w14:paraId="4B80A605">
            <w:pPr>
              <w:shd w:val="clear"/>
              <w:adjustRightInd w:val="0"/>
              <w:snapToGrid w:val="0"/>
              <w:spacing w:line="360" w:lineRule="auto"/>
              <w:jc w:val="center"/>
              <w:rPr>
                <w:rFonts w:hint="default" w:ascii="Times New Roman" w:hAnsi="Times New Roman" w:eastAsia="宋体" w:cs="Times New Roman"/>
                <w:color w:val="auto"/>
                <w:sz w:val="21"/>
                <w:szCs w:val="21"/>
                <w:highlight w:val="none"/>
              </w:rPr>
            </w:pPr>
          </w:p>
        </w:tc>
        <w:tc>
          <w:tcPr>
            <w:tcW w:w="599" w:type="dxa"/>
            <w:vMerge w:val="continue"/>
            <w:noWrap w:val="0"/>
            <w:vAlign w:val="center"/>
          </w:tcPr>
          <w:p w14:paraId="27D295D2">
            <w:pPr>
              <w:shd w:val="clear"/>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1156" w:type="dxa"/>
            <w:vMerge w:val="continue"/>
            <w:noWrap w:val="0"/>
            <w:vAlign w:val="center"/>
          </w:tcPr>
          <w:p w14:paraId="13E269EC">
            <w:pPr>
              <w:shd w:val="clear"/>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1309" w:type="dxa"/>
            <w:noWrap w:val="0"/>
            <w:vAlign w:val="center"/>
          </w:tcPr>
          <w:p w14:paraId="7EE9FFF1">
            <w:pPr>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color w:val="auto"/>
                <w:kern w:val="0"/>
                <w:sz w:val="21"/>
                <w:szCs w:val="21"/>
                <w:highlight w:val="none"/>
                <w:lang w:val="en-US" w:eastAsia="zh-CN" w:bidi="ar-SA"/>
              </w:rPr>
              <w:t>苯系物（甲苯）</w:t>
            </w:r>
          </w:p>
        </w:tc>
        <w:tc>
          <w:tcPr>
            <w:tcW w:w="1555" w:type="dxa"/>
            <w:vMerge w:val="continue"/>
            <w:noWrap w:val="0"/>
            <w:vAlign w:val="center"/>
          </w:tcPr>
          <w:p w14:paraId="4287597D">
            <w:pPr>
              <w:keepNext w:val="0"/>
              <w:keepLines w:val="0"/>
              <w:pageBreakBefore w:val="0"/>
              <w:shd w:val="clear"/>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2455" w:type="dxa"/>
            <w:gridSpan w:val="2"/>
            <w:vMerge w:val="continue"/>
            <w:noWrap w:val="0"/>
            <w:vAlign w:val="center"/>
          </w:tcPr>
          <w:p w14:paraId="6E67811D">
            <w:pPr>
              <w:pStyle w:val="62"/>
              <w:shd w:val="clear"/>
              <w:spacing w:line="240" w:lineRule="auto"/>
              <w:jc w:val="both"/>
              <w:rPr>
                <w:rFonts w:hint="default" w:ascii="Times New Roman" w:hAnsi="Times New Roman" w:eastAsia="宋体" w:cs="Times New Roman"/>
                <w:color w:val="auto"/>
                <w:sz w:val="21"/>
                <w:szCs w:val="21"/>
                <w:highlight w:val="none"/>
              </w:rPr>
            </w:pPr>
          </w:p>
        </w:tc>
      </w:tr>
      <w:tr w14:paraId="4C4B284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3" w:hRule="atLeast"/>
          <w:jc w:val="center"/>
        </w:trPr>
        <w:tc>
          <w:tcPr>
            <w:tcW w:w="1778" w:type="dxa"/>
            <w:vMerge w:val="continue"/>
            <w:noWrap w:val="0"/>
            <w:vAlign w:val="center"/>
          </w:tcPr>
          <w:p w14:paraId="750BDB4F">
            <w:pPr>
              <w:shd w:val="clear"/>
              <w:adjustRightInd w:val="0"/>
              <w:snapToGrid w:val="0"/>
              <w:spacing w:line="360" w:lineRule="auto"/>
              <w:jc w:val="center"/>
              <w:rPr>
                <w:rFonts w:hint="default" w:ascii="Times New Roman" w:hAnsi="Times New Roman" w:eastAsia="宋体" w:cs="Times New Roman"/>
                <w:color w:val="auto"/>
                <w:sz w:val="21"/>
                <w:szCs w:val="21"/>
                <w:highlight w:val="none"/>
              </w:rPr>
            </w:pPr>
          </w:p>
        </w:tc>
        <w:tc>
          <w:tcPr>
            <w:tcW w:w="599" w:type="dxa"/>
            <w:vMerge w:val="continue"/>
            <w:noWrap w:val="0"/>
            <w:vAlign w:val="center"/>
          </w:tcPr>
          <w:p w14:paraId="7B25D4A3">
            <w:pPr>
              <w:shd w:val="clear"/>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1156" w:type="dxa"/>
            <w:vMerge w:val="continue"/>
            <w:noWrap w:val="0"/>
            <w:vAlign w:val="center"/>
          </w:tcPr>
          <w:p w14:paraId="42FFB41A">
            <w:pPr>
              <w:shd w:val="clear"/>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1309" w:type="dxa"/>
            <w:noWrap w:val="0"/>
            <w:vAlign w:val="center"/>
          </w:tcPr>
          <w:p w14:paraId="5384D9B0">
            <w:pPr>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color w:val="auto"/>
                <w:kern w:val="0"/>
                <w:sz w:val="21"/>
                <w:szCs w:val="21"/>
                <w:highlight w:val="none"/>
                <w:lang w:val="en-US" w:eastAsia="zh-CN" w:bidi="ar-SA"/>
              </w:rPr>
              <w:t>氨</w:t>
            </w:r>
          </w:p>
        </w:tc>
        <w:tc>
          <w:tcPr>
            <w:tcW w:w="1555" w:type="dxa"/>
            <w:vMerge w:val="continue"/>
            <w:noWrap w:val="0"/>
            <w:vAlign w:val="center"/>
          </w:tcPr>
          <w:p w14:paraId="098C3871">
            <w:pPr>
              <w:keepNext w:val="0"/>
              <w:keepLines w:val="0"/>
              <w:pageBreakBefore w:val="0"/>
              <w:shd w:val="clear"/>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2455" w:type="dxa"/>
            <w:gridSpan w:val="2"/>
            <w:vMerge w:val="restart"/>
            <w:noWrap w:val="0"/>
            <w:vAlign w:val="center"/>
          </w:tcPr>
          <w:p w14:paraId="05BDFFD7">
            <w:pPr>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color w:val="auto"/>
                <w:kern w:val="0"/>
                <w:szCs w:val="21"/>
                <w:highlight w:val="none"/>
                <w:lang w:bidi="ar"/>
              </w:rPr>
              <w:t>《恶臭污染物排放标准》（GB14554-93）中表2恶臭污染物排放标准值</w:t>
            </w:r>
          </w:p>
        </w:tc>
      </w:tr>
      <w:tr w14:paraId="3255068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3" w:hRule="atLeast"/>
          <w:jc w:val="center"/>
        </w:trPr>
        <w:tc>
          <w:tcPr>
            <w:tcW w:w="1778" w:type="dxa"/>
            <w:vMerge w:val="continue"/>
            <w:noWrap w:val="0"/>
            <w:vAlign w:val="center"/>
          </w:tcPr>
          <w:p w14:paraId="5F30C488">
            <w:pPr>
              <w:shd w:val="clear"/>
              <w:adjustRightInd w:val="0"/>
              <w:snapToGrid w:val="0"/>
              <w:spacing w:line="360" w:lineRule="auto"/>
              <w:jc w:val="center"/>
              <w:rPr>
                <w:rFonts w:hint="default" w:ascii="Times New Roman" w:hAnsi="Times New Roman" w:eastAsia="宋体" w:cs="Times New Roman"/>
                <w:color w:val="auto"/>
                <w:sz w:val="21"/>
                <w:szCs w:val="21"/>
                <w:highlight w:val="none"/>
              </w:rPr>
            </w:pPr>
          </w:p>
        </w:tc>
        <w:tc>
          <w:tcPr>
            <w:tcW w:w="599" w:type="dxa"/>
            <w:vMerge w:val="continue"/>
            <w:noWrap w:val="0"/>
            <w:vAlign w:val="center"/>
          </w:tcPr>
          <w:p w14:paraId="0AD548E3">
            <w:pPr>
              <w:shd w:val="clear"/>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1156" w:type="dxa"/>
            <w:vMerge w:val="continue"/>
            <w:noWrap w:val="0"/>
            <w:vAlign w:val="center"/>
          </w:tcPr>
          <w:p w14:paraId="240AF772">
            <w:pPr>
              <w:shd w:val="clear"/>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1309" w:type="dxa"/>
            <w:noWrap w:val="0"/>
            <w:vAlign w:val="center"/>
          </w:tcPr>
          <w:p w14:paraId="35BBA7FA">
            <w:pPr>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color w:val="auto"/>
                <w:kern w:val="0"/>
                <w:sz w:val="21"/>
                <w:szCs w:val="21"/>
                <w:highlight w:val="none"/>
                <w:lang w:val="en-US" w:eastAsia="zh-CN" w:bidi="ar-SA"/>
              </w:rPr>
              <w:t>臭气浓度</w:t>
            </w:r>
          </w:p>
        </w:tc>
        <w:tc>
          <w:tcPr>
            <w:tcW w:w="1555" w:type="dxa"/>
            <w:vMerge w:val="continue"/>
            <w:noWrap w:val="0"/>
            <w:vAlign w:val="center"/>
          </w:tcPr>
          <w:p w14:paraId="10C10D0E">
            <w:pPr>
              <w:keepNext w:val="0"/>
              <w:keepLines w:val="0"/>
              <w:pageBreakBefore w:val="0"/>
              <w:shd w:val="clear"/>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2455" w:type="dxa"/>
            <w:gridSpan w:val="2"/>
            <w:vMerge w:val="continue"/>
            <w:noWrap w:val="0"/>
            <w:vAlign w:val="center"/>
          </w:tcPr>
          <w:p w14:paraId="6F042C96">
            <w:pPr>
              <w:pStyle w:val="62"/>
              <w:shd w:val="clear"/>
              <w:spacing w:line="240" w:lineRule="auto"/>
              <w:jc w:val="both"/>
              <w:rPr>
                <w:rFonts w:hint="default" w:ascii="Times New Roman" w:hAnsi="Times New Roman" w:eastAsia="宋体" w:cs="Times New Roman"/>
                <w:color w:val="auto"/>
                <w:sz w:val="21"/>
                <w:szCs w:val="21"/>
                <w:highlight w:val="none"/>
              </w:rPr>
            </w:pPr>
          </w:p>
        </w:tc>
      </w:tr>
      <w:tr w14:paraId="71ABDDA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1778" w:type="dxa"/>
            <w:vMerge w:val="continue"/>
            <w:noWrap w:val="0"/>
            <w:vAlign w:val="center"/>
          </w:tcPr>
          <w:p w14:paraId="64E5C579">
            <w:pPr>
              <w:shd w:val="clear"/>
              <w:adjustRightInd w:val="0"/>
              <w:snapToGrid w:val="0"/>
              <w:spacing w:line="360" w:lineRule="auto"/>
              <w:jc w:val="center"/>
              <w:rPr>
                <w:rFonts w:hint="default" w:ascii="Times New Roman" w:hAnsi="Times New Roman" w:eastAsia="宋体" w:cs="Times New Roman"/>
                <w:color w:val="auto"/>
                <w:sz w:val="21"/>
                <w:szCs w:val="21"/>
                <w:highlight w:val="none"/>
              </w:rPr>
            </w:pPr>
          </w:p>
        </w:tc>
        <w:tc>
          <w:tcPr>
            <w:tcW w:w="1755" w:type="dxa"/>
            <w:gridSpan w:val="2"/>
            <w:vMerge w:val="restart"/>
            <w:noWrap w:val="0"/>
            <w:vAlign w:val="center"/>
          </w:tcPr>
          <w:p w14:paraId="1ADF3A6D">
            <w:pPr>
              <w:shd w:val="clear"/>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厂界无组织废气</w:t>
            </w:r>
          </w:p>
        </w:tc>
        <w:tc>
          <w:tcPr>
            <w:tcW w:w="1309" w:type="dxa"/>
            <w:noWrap w:val="0"/>
            <w:vAlign w:val="center"/>
          </w:tcPr>
          <w:p w14:paraId="3B0D7E49">
            <w:pPr>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kern w:val="0"/>
                <w:sz w:val="21"/>
                <w:szCs w:val="21"/>
                <w:highlight w:val="none"/>
                <w:lang w:val="en-US" w:eastAsia="zh-CN" w:bidi="ar-SA"/>
              </w:rPr>
              <w:t>非甲烷总烃</w:t>
            </w:r>
          </w:p>
        </w:tc>
        <w:tc>
          <w:tcPr>
            <w:tcW w:w="1555" w:type="dxa"/>
            <w:vMerge w:val="restart"/>
            <w:noWrap w:val="0"/>
            <w:vAlign w:val="center"/>
          </w:tcPr>
          <w:p w14:paraId="132923DB">
            <w:pPr>
              <w:shd w:val="clear"/>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无组织排放</w:t>
            </w:r>
          </w:p>
        </w:tc>
        <w:tc>
          <w:tcPr>
            <w:tcW w:w="2455" w:type="dxa"/>
            <w:gridSpan w:val="2"/>
            <w:vMerge w:val="restart"/>
            <w:noWrap w:val="0"/>
            <w:vAlign w:val="center"/>
          </w:tcPr>
          <w:p w14:paraId="56C4203C">
            <w:pPr>
              <w:pStyle w:val="62"/>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highlight w:val="none"/>
              </w:rPr>
              <w:t>广东省地方标准《大气污染物排放限值》（DB44/27-2001）</w:t>
            </w:r>
            <w:r>
              <w:rPr>
                <w:rFonts w:hint="default" w:ascii="Times New Roman" w:hAnsi="Times New Roman" w:cs="Times New Roman"/>
                <w:color w:val="auto"/>
                <w:highlight w:val="none"/>
                <w:lang w:eastAsia="zh-CN"/>
              </w:rPr>
              <w:t>第二时段无组织排放监控浓度限值</w:t>
            </w:r>
          </w:p>
        </w:tc>
      </w:tr>
      <w:tr w14:paraId="6987411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7" w:hRule="atLeast"/>
          <w:jc w:val="center"/>
        </w:trPr>
        <w:tc>
          <w:tcPr>
            <w:tcW w:w="1778" w:type="dxa"/>
            <w:vMerge w:val="continue"/>
            <w:noWrap w:val="0"/>
            <w:vAlign w:val="center"/>
          </w:tcPr>
          <w:p w14:paraId="40BE0C5D">
            <w:pPr>
              <w:shd w:val="clear"/>
              <w:adjustRightInd w:val="0"/>
              <w:snapToGrid w:val="0"/>
              <w:spacing w:line="360" w:lineRule="auto"/>
              <w:jc w:val="center"/>
              <w:rPr>
                <w:rFonts w:hint="default" w:ascii="Times New Roman" w:hAnsi="Times New Roman" w:eastAsia="宋体" w:cs="Times New Roman"/>
                <w:color w:val="auto"/>
                <w:sz w:val="21"/>
                <w:szCs w:val="21"/>
                <w:highlight w:val="none"/>
              </w:rPr>
            </w:pPr>
          </w:p>
        </w:tc>
        <w:tc>
          <w:tcPr>
            <w:tcW w:w="1755" w:type="dxa"/>
            <w:gridSpan w:val="2"/>
            <w:vMerge w:val="continue"/>
            <w:noWrap w:val="0"/>
            <w:vAlign w:val="center"/>
          </w:tcPr>
          <w:p w14:paraId="51E6B7F0">
            <w:pPr>
              <w:shd w:val="clear"/>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1309" w:type="dxa"/>
            <w:noWrap w:val="0"/>
            <w:vAlign w:val="center"/>
          </w:tcPr>
          <w:p w14:paraId="03210F2E">
            <w:pPr>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kern w:val="0"/>
                <w:sz w:val="21"/>
                <w:szCs w:val="21"/>
                <w:highlight w:val="none"/>
                <w:lang w:val="en-US" w:eastAsia="zh-CN" w:bidi="ar-SA"/>
              </w:rPr>
              <w:t>其中：</w:t>
            </w:r>
            <w:r>
              <w:rPr>
                <w:rFonts w:hint="default" w:ascii="Times New Roman" w:hAnsi="Times New Roman" w:eastAsia="宋体" w:cs="Times New Roman"/>
                <w:color w:val="auto"/>
                <w:kern w:val="0"/>
                <w:sz w:val="21"/>
                <w:szCs w:val="21"/>
                <w:highlight w:val="none"/>
                <w:lang w:val="en-US" w:eastAsia="zh-CN" w:bidi="ar-SA"/>
              </w:rPr>
              <w:t>甲醇</w:t>
            </w:r>
          </w:p>
        </w:tc>
        <w:tc>
          <w:tcPr>
            <w:tcW w:w="1555" w:type="dxa"/>
            <w:vMerge w:val="continue"/>
            <w:noWrap w:val="0"/>
            <w:vAlign w:val="center"/>
          </w:tcPr>
          <w:p w14:paraId="1225C042">
            <w:pPr>
              <w:shd w:val="clear"/>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2455" w:type="dxa"/>
            <w:gridSpan w:val="2"/>
            <w:vMerge w:val="continue"/>
            <w:noWrap w:val="0"/>
            <w:vAlign w:val="center"/>
          </w:tcPr>
          <w:p w14:paraId="362D56C6">
            <w:pPr>
              <w:shd w:val="clear"/>
              <w:adjustRightInd w:val="0"/>
              <w:snapToGrid w:val="0"/>
              <w:spacing w:line="240" w:lineRule="auto"/>
              <w:jc w:val="both"/>
              <w:rPr>
                <w:rFonts w:hint="default" w:ascii="Times New Roman" w:hAnsi="Times New Roman" w:eastAsia="宋体" w:cs="Times New Roman"/>
                <w:color w:val="auto"/>
                <w:sz w:val="21"/>
                <w:szCs w:val="21"/>
                <w:highlight w:val="none"/>
                <w:lang w:val="en-US" w:eastAsia="zh-CN"/>
              </w:rPr>
            </w:pPr>
          </w:p>
        </w:tc>
      </w:tr>
      <w:tr w14:paraId="5A5E968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7" w:hRule="atLeast"/>
          <w:jc w:val="center"/>
        </w:trPr>
        <w:tc>
          <w:tcPr>
            <w:tcW w:w="1778" w:type="dxa"/>
            <w:vMerge w:val="continue"/>
            <w:noWrap w:val="0"/>
            <w:vAlign w:val="center"/>
          </w:tcPr>
          <w:p w14:paraId="05F415D7">
            <w:pPr>
              <w:shd w:val="clear"/>
              <w:adjustRightInd w:val="0"/>
              <w:snapToGrid w:val="0"/>
              <w:spacing w:line="360" w:lineRule="auto"/>
              <w:jc w:val="center"/>
              <w:rPr>
                <w:rFonts w:hint="default" w:ascii="Times New Roman" w:hAnsi="Times New Roman" w:eastAsia="宋体" w:cs="Times New Roman"/>
                <w:color w:val="auto"/>
                <w:sz w:val="21"/>
                <w:szCs w:val="21"/>
                <w:highlight w:val="none"/>
              </w:rPr>
            </w:pPr>
          </w:p>
        </w:tc>
        <w:tc>
          <w:tcPr>
            <w:tcW w:w="1755" w:type="dxa"/>
            <w:gridSpan w:val="2"/>
            <w:vMerge w:val="continue"/>
            <w:noWrap w:val="0"/>
            <w:vAlign w:val="center"/>
          </w:tcPr>
          <w:p w14:paraId="1E809E53">
            <w:pPr>
              <w:shd w:val="clear"/>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1309" w:type="dxa"/>
            <w:noWrap w:val="0"/>
            <w:vAlign w:val="center"/>
          </w:tcPr>
          <w:p w14:paraId="0EA3D78D">
            <w:pPr>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kern w:val="0"/>
                <w:sz w:val="21"/>
                <w:szCs w:val="21"/>
                <w:highlight w:val="none"/>
                <w:lang w:val="en-US" w:eastAsia="zh-CN" w:bidi="ar-SA"/>
              </w:rPr>
              <w:t>其中：甲苯</w:t>
            </w:r>
          </w:p>
        </w:tc>
        <w:tc>
          <w:tcPr>
            <w:tcW w:w="1555" w:type="dxa"/>
            <w:vMerge w:val="continue"/>
            <w:noWrap w:val="0"/>
            <w:vAlign w:val="center"/>
          </w:tcPr>
          <w:p w14:paraId="0705155F">
            <w:pPr>
              <w:shd w:val="clear"/>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2455" w:type="dxa"/>
            <w:gridSpan w:val="2"/>
            <w:vMerge w:val="continue"/>
            <w:noWrap w:val="0"/>
            <w:vAlign w:val="center"/>
          </w:tcPr>
          <w:p w14:paraId="0934AD46">
            <w:pPr>
              <w:shd w:val="clear"/>
              <w:adjustRightInd w:val="0"/>
              <w:snapToGrid w:val="0"/>
              <w:spacing w:line="240" w:lineRule="auto"/>
              <w:jc w:val="both"/>
              <w:rPr>
                <w:rFonts w:hint="default" w:ascii="Times New Roman" w:hAnsi="Times New Roman" w:eastAsia="宋体" w:cs="Times New Roman"/>
                <w:color w:val="auto"/>
                <w:sz w:val="21"/>
                <w:szCs w:val="21"/>
                <w:highlight w:val="none"/>
                <w:lang w:val="en-US" w:eastAsia="zh-CN"/>
              </w:rPr>
            </w:pPr>
          </w:p>
        </w:tc>
      </w:tr>
      <w:tr w14:paraId="57D6061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7" w:hRule="atLeast"/>
          <w:jc w:val="center"/>
        </w:trPr>
        <w:tc>
          <w:tcPr>
            <w:tcW w:w="1778" w:type="dxa"/>
            <w:vMerge w:val="continue"/>
            <w:noWrap w:val="0"/>
            <w:vAlign w:val="center"/>
          </w:tcPr>
          <w:p w14:paraId="1A5BD05C">
            <w:pPr>
              <w:shd w:val="clear"/>
              <w:adjustRightInd w:val="0"/>
              <w:snapToGrid w:val="0"/>
              <w:spacing w:line="360" w:lineRule="auto"/>
              <w:jc w:val="center"/>
              <w:rPr>
                <w:rFonts w:hint="default" w:ascii="Times New Roman" w:hAnsi="Times New Roman" w:eastAsia="宋体" w:cs="Times New Roman"/>
                <w:color w:val="auto"/>
                <w:sz w:val="21"/>
                <w:szCs w:val="21"/>
                <w:highlight w:val="none"/>
              </w:rPr>
            </w:pPr>
          </w:p>
        </w:tc>
        <w:tc>
          <w:tcPr>
            <w:tcW w:w="1755" w:type="dxa"/>
            <w:gridSpan w:val="2"/>
            <w:vMerge w:val="continue"/>
            <w:noWrap w:val="0"/>
            <w:vAlign w:val="center"/>
          </w:tcPr>
          <w:p w14:paraId="68DF1536">
            <w:pPr>
              <w:shd w:val="clear"/>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1309" w:type="dxa"/>
            <w:noWrap w:val="0"/>
            <w:vAlign w:val="center"/>
          </w:tcPr>
          <w:p w14:paraId="2D871BDF">
            <w:pPr>
              <w:jc w:val="center"/>
              <w:rPr>
                <w:rFonts w:hint="eastAsia"/>
                <w:color w:val="auto"/>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bidi="ar-SA"/>
              </w:rPr>
              <w:t>硫酸雾</w:t>
            </w:r>
          </w:p>
        </w:tc>
        <w:tc>
          <w:tcPr>
            <w:tcW w:w="1555" w:type="dxa"/>
            <w:vMerge w:val="continue"/>
            <w:noWrap w:val="0"/>
            <w:vAlign w:val="center"/>
          </w:tcPr>
          <w:p w14:paraId="04F64288">
            <w:pPr>
              <w:shd w:val="clear"/>
              <w:jc w:val="center"/>
              <w:rPr>
                <w:rFonts w:hint="default" w:ascii="Times New Roman" w:hAnsi="Times New Roman" w:eastAsia="宋体" w:cs="Times New Roman"/>
                <w:color w:val="auto"/>
                <w:sz w:val="21"/>
                <w:szCs w:val="21"/>
                <w:highlight w:val="none"/>
                <w:lang w:val="en-US" w:eastAsia="zh-CN"/>
              </w:rPr>
            </w:pPr>
          </w:p>
        </w:tc>
        <w:tc>
          <w:tcPr>
            <w:tcW w:w="2455" w:type="dxa"/>
            <w:gridSpan w:val="2"/>
            <w:vMerge w:val="continue"/>
            <w:noWrap w:val="0"/>
            <w:vAlign w:val="center"/>
          </w:tcPr>
          <w:p w14:paraId="5CBDF030">
            <w:pPr>
              <w:pStyle w:val="62"/>
              <w:shd w:val="clear"/>
              <w:rPr>
                <w:rFonts w:hint="default" w:ascii="Times New Roman" w:hAnsi="Times New Roman" w:eastAsia="宋体" w:cs="Times New Roman"/>
                <w:color w:val="auto"/>
                <w:highlight w:val="none"/>
              </w:rPr>
            </w:pPr>
          </w:p>
        </w:tc>
      </w:tr>
      <w:tr w14:paraId="41FC3A4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7" w:hRule="atLeast"/>
          <w:jc w:val="center"/>
        </w:trPr>
        <w:tc>
          <w:tcPr>
            <w:tcW w:w="1778" w:type="dxa"/>
            <w:vMerge w:val="continue"/>
            <w:noWrap w:val="0"/>
            <w:vAlign w:val="center"/>
          </w:tcPr>
          <w:p w14:paraId="182536CD">
            <w:pPr>
              <w:shd w:val="clear"/>
              <w:adjustRightInd w:val="0"/>
              <w:snapToGrid w:val="0"/>
              <w:spacing w:line="360" w:lineRule="auto"/>
              <w:jc w:val="center"/>
              <w:rPr>
                <w:rFonts w:hint="default" w:ascii="Times New Roman" w:hAnsi="Times New Roman" w:eastAsia="宋体" w:cs="Times New Roman"/>
                <w:color w:val="auto"/>
                <w:sz w:val="21"/>
                <w:szCs w:val="21"/>
                <w:highlight w:val="none"/>
              </w:rPr>
            </w:pPr>
          </w:p>
        </w:tc>
        <w:tc>
          <w:tcPr>
            <w:tcW w:w="1755" w:type="dxa"/>
            <w:gridSpan w:val="2"/>
            <w:vMerge w:val="continue"/>
            <w:noWrap w:val="0"/>
            <w:vAlign w:val="center"/>
          </w:tcPr>
          <w:p w14:paraId="3FF779BB">
            <w:pPr>
              <w:shd w:val="clear"/>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1309" w:type="dxa"/>
            <w:noWrap w:val="0"/>
            <w:vAlign w:val="center"/>
          </w:tcPr>
          <w:p w14:paraId="5AE66817">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bidi="ar-SA"/>
              </w:rPr>
              <w:t>氯化氢</w:t>
            </w:r>
          </w:p>
        </w:tc>
        <w:tc>
          <w:tcPr>
            <w:tcW w:w="1555" w:type="dxa"/>
            <w:vMerge w:val="continue"/>
            <w:noWrap w:val="0"/>
            <w:vAlign w:val="center"/>
          </w:tcPr>
          <w:p w14:paraId="31FC4509">
            <w:pPr>
              <w:shd w:val="clear"/>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2455" w:type="dxa"/>
            <w:gridSpan w:val="2"/>
            <w:vMerge w:val="continue"/>
            <w:noWrap w:val="0"/>
            <w:vAlign w:val="center"/>
          </w:tcPr>
          <w:p w14:paraId="39E6F569">
            <w:pPr>
              <w:shd w:val="clear"/>
              <w:adjustRightInd w:val="0"/>
              <w:snapToGrid w:val="0"/>
              <w:spacing w:line="240" w:lineRule="auto"/>
              <w:jc w:val="center"/>
              <w:rPr>
                <w:rFonts w:hint="default" w:ascii="Times New Roman" w:hAnsi="Times New Roman" w:eastAsia="宋体" w:cs="Times New Roman"/>
                <w:color w:val="auto"/>
                <w:sz w:val="21"/>
                <w:szCs w:val="21"/>
                <w:highlight w:val="none"/>
              </w:rPr>
            </w:pPr>
          </w:p>
        </w:tc>
      </w:tr>
      <w:tr w14:paraId="6F08468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7" w:hRule="atLeast"/>
          <w:jc w:val="center"/>
        </w:trPr>
        <w:tc>
          <w:tcPr>
            <w:tcW w:w="1778" w:type="dxa"/>
            <w:vMerge w:val="continue"/>
            <w:noWrap w:val="0"/>
            <w:vAlign w:val="center"/>
          </w:tcPr>
          <w:p w14:paraId="0B5D8575">
            <w:pPr>
              <w:shd w:val="clear"/>
              <w:adjustRightInd w:val="0"/>
              <w:snapToGrid w:val="0"/>
              <w:spacing w:line="360" w:lineRule="auto"/>
              <w:jc w:val="center"/>
              <w:rPr>
                <w:rFonts w:hint="default" w:ascii="Times New Roman" w:hAnsi="Times New Roman" w:eastAsia="宋体" w:cs="Times New Roman"/>
                <w:color w:val="auto"/>
                <w:sz w:val="21"/>
                <w:szCs w:val="21"/>
                <w:highlight w:val="none"/>
              </w:rPr>
            </w:pPr>
          </w:p>
        </w:tc>
        <w:tc>
          <w:tcPr>
            <w:tcW w:w="1755" w:type="dxa"/>
            <w:gridSpan w:val="2"/>
            <w:vMerge w:val="continue"/>
            <w:noWrap w:val="0"/>
            <w:vAlign w:val="center"/>
          </w:tcPr>
          <w:p w14:paraId="0486071D">
            <w:pPr>
              <w:shd w:val="clear"/>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1309" w:type="dxa"/>
            <w:noWrap w:val="0"/>
            <w:vAlign w:val="center"/>
          </w:tcPr>
          <w:p w14:paraId="75AB8B75">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bidi="ar-SA"/>
              </w:rPr>
              <w:t>颗粒物</w:t>
            </w:r>
          </w:p>
        </w:tc>
        <w:tc>
          <w:tcPr>
            <w:tcW w:w="1555" w:type="dxa"/>
            <w:vMerge w:val="continue"/>
            <w:noWrap w:val="0"/>
            <w:vAlign w:val="center"/>
          </w:tcPr>
          <w:p w14:paraId="37AC4D54">
            <w:pPr>
              <w:shd w:val="clear"/>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2455" w:type="dxa"/>
            <w:gridSpan w:val="2"/>
            <w:vMerge w:val="continue"/>
            <w:noWrap w:val="0"/>
            <w:vAlign w:val="center"/>
          </w:tcPr>
          <w:p w14:paraId="556E0B9E">
            <w:pPr>
              <w:shd w:val="clear"/>
              <w:adjustRightInd w:val="0"/>
              <w:snapToGrid w:val="0"/>
              <w:spacing w:line="240" w:lineRule="auto"/>
              <w:jc w:val="both"/>
              <w:rPr>
                <w:rFonts w:hint="default" w:ascii="Times New Roman" w:hAnsi="Times New Roman" w:eastAsia="宋体" w:cs="Times New Roman"/>
                <w:color w:val="auto"/>
                <w:sz w:val="21"/>
                <w:szCs w:val="21"/>
                <w:highlight w:val="none"/>
                <w:lang w:val="en-US" w:eastAsia="zh-CN"/>
              </w:rPr>
            </w:pPr>
          </w:p>
        </w:tc>
      </w:tr>
      <w:tr w14:paraId="3FECAB7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7" w:hRule="atLeast"/>
          <w:jc w:val="center"/>
        </w:trPr>
        <w:tc>
          <w:tcPr>
            <w:tcW w:w="1778" w:type="dxa"/>
            <w:vMerge w:val="continue"/>
            <w:noWrap w:val="0"/>
            <w:vAlign w:val="center"/>
          </w:tcPr>
          <w:p w14:paraId="7971BBBC">
            <w:pPr>
              <w:shd w:val="clear"/>
              <w:adjustRightInd w:val="0"/>
              <w:snapToGrid w:val="0"/>
              <w:spacing w:line="360" w:lineRule="auto"/>
              <w:jc w:val="center"/>
              <w:rPr>
                <w:rFonts w:hint="default" w:ascii="Times New Roman" w:hAnsi="Times New Roman" w:eastAsia="宋体" w:cs="Times New Roman"/>
                <w:color w:val="auto"/>
                <w:sz w:val="21"/>
                <w:szCs w:val="21"/>
                <w:highlight w:val="none"/>
              </w:rPr>
            </w:pPr>
          </w:p>
        </w:tc>
        <w:tc>
          <w:tcPr>
            <w:tcW w:w="1755" w:type="dxa"/>
            <w:gridSpan w:val="2"/>
            <w:vMerge w:val="continue"/>
            <w:noWrap w:val="0"/>
            <w:vAlign w:val="center"/>
          </w:tcPr>
          <w:p w14:paraId="00E55D0A">
            <w:pPr>
              <w:shd w:val="clear"/>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1309" w:type="dxa"/>
            <w:noWrap w:val="0"/>
            <w:vAlign w:val="center"/>
          </w:tcPr>
          <w:p w14:paraId="56F850F6">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bidi="ar-SA"/>
              </w:rPr>
              <w:t>氮氧化物</w:t>
            </w:r>
          </w:p>
        </w:tc>
        <w:tc>
          <w:tcPr>
            <w:tcW w:w="1555" w:type="dxa"/>
            <w:vMerge w:val="continue"/>
            <w:noWrap w:val="0"/>
            <w:vAlign w:val="center"/>
          </w:tcPr>
          <w:p w14:paraId="32149256">
            <w:pPr>
              <w:shd w:val="clear"/>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2455" w:type="dxa"/>
            <w:gridSpan w:val="2"/>
            <w:vMerge w:val="continue"/>
            <w:noWrap w:val="0"/>
            <w:vAlign w:val="center"/>
          </w:tcPr>
          <w:p w14:paraId="0A7CC62C">
            <w:pPr>
              <w:shd w:val="clear"/>
              <w:adjustRightInd w:val="0"/>
              <w:snapToGrid w:val="0"/>
              <w:spacing w:line="240" w:lineRule="auto"/>
              <w:jc w:val="both"/>
              <w:rPr>
                <w:rFonts w:hint="default" w:ascii="Times New Roman" w:hAnsi="Times New Roman" w:eastAsia="宋体" w:cs="Times New Roman"/>
                <w:color w:val="auto"/>
                <w:sz w:val="21"/>
                <w:szCs w:val="21"/>
                <w:highlight w:val="none"/>
                <w:lang w:val="en-US" w:eastAsia="zh-CN"/>
              </w:rPr>
            </w:pPr>
          </w:p>
        </w:tc>
      </w:tr>
      <w:tr w14:paraId="13DAFC7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7" w:hRule="atLeast"/>
          <w:jc w:val="center"/>
        </w:trPr>
        <w:tc>
          <w:tcPr>
            <w:tcW w:w="1778" w:type="dxa"/>
            <w:vMerge w:val="continue"/>
            <w:noWrap w:val="0"/>
            <w:vAlign w:val="center"/>
          </w:tcPr>
          <w:p w14:paraId="4E50701B">
            <w:pPr>
              <w:shd w:val="clear"/>
              <w:adjustRightInd w:val="0"/>
              <w:snapToGrid w:val="0"/>
              <w:spacing w:line="360" w:lineRule="auto"/>
              <w:jc w:val="center"/>
              <w:rPr>
                <w:rFonts w:hint="default" w:ascii="Times New Roman" w:hAnsi="Times New Roman" w:eastAsia="宋体" w:cs="Times New Roman"/>
                <w:color w:val="auto"/>
                <w:sz w:val="21"/>
                <w:szCs w:val="21"/>
                <w:highlight w:val="none"/>
              </w:rPr>
            </w:pPr>
          </w:p>
        </w:tc>
        <w:tc>
          <w:tcPr>
            <w:tcW w:w="1755" w:type="dxa"/>
            <w:gridSpan w:val="2"/>
            <w:vMerge w:val="continue"/>
            <w:noWrap w:val="0"/>
            <w:vAlign w:val="center"/>
          </w:tcPr>
          <w:p w14:paraId="06E28941">
            <w:pPr>
              <w:shd w:val="clear"/>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1309" w:type="dxa"/>
            <w:noWrap w:val="0"/>
            <w:vAlign w:val="center"/>
          </w:tcPr>
          <w:p w14:paraId="0A150E72">
            <w:pPr>
              <w:jc w:val="center"/>
              <w:rPr>
                <w:rFonts w:hint="eastAsia"/>
                <w:color w:val="auto"/>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bidi="ar-SA"/>
              </w:rPr>
              <w:t>氨</w:t>
            </w:r>
          </w:p>
        </w:tc>
        <w:tc>
          <w:tcPr>
            <w:tcW w:w="1555" w:type="dxa"/>
            <w:vMerge w:val="continue"/>
            <w:noWrap w:val="0"/>
            <w:vAlign w:val="center"/>
          </w:tcPr>
          <w:p w14:paraId="5F8D627B">
            <w:pPr>
              <w:shd w:val="clear"/>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2455" w:type="dxa"/>
            <w:gridSpan w:val="2"/>
            <w:vMerge w:val="restart"/>
            <w:noWrap w:val="0"/>
            <w:vAlign w:val="center"/>
          </w:tcPr>
          <w:p w14:paraId="0778C5A3">
            <w:pPr>
              <w:pStyle w:val="62"/>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highlight w:val="none"/>
                <w:lang w:bidi="ar"/>
              </w:rPr>
              <w:t>《恶臭污染物排放标准》（GB14554-93）中表1恶臭污染物厂界标准值</w:t>
            </w:r>
          </w:p>
        </w:tc>
      </w:tr>
      <w:tr w14:paraId="6EB93FE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Merge w:val="continue"/>
            <w:noWrap w:val="0"/>
            <w:vAlign w:val="center"/>
          </w:tcPr>
          <w:p w14:paraId="7B6A3512">
            <w:pPr>
              <w:shd w:val="clear"/>
              <w:adjustRightInd w:val="0"/>
              <w:snapToGrid w:val="0"/>
              <w:spacing w:line="360" w:lineRule="auto"/>
              <w:jc w:val="center"/>
              <w:rPr>
                <w:rFonts w:hint="default" w:ascii="Times New Roman" w:hAnsi="Times New Roman" w:eastAsia="宋体" w:cs="Times New Roman"/>
                <w:color w:val="auto"/>
                <w:sz w:val="21"/>
                <w:szCs w:val="21"/>
                <w:highlight w:val="none"/>
              </w:rPr>
            </w:pPr>
          </w:p>
        </w:tc>
        <w:tc>
          <w:tcPr>
            <w:tcW w:w="1755" w:type="dxa"/>
            <w:gridSpan w:val="2"/>
            <w:vMerge w:val="continue"/>
            <w:noWrap w:val="0"/>
            <w:vAlign w:val="center"/>
          </w:tcPr>
          <w:p w14:paraId="3634C866">
            <w:pPr>
              <w:shd w:val="clear"/>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1309" w:type="dxa"/>
            <w:noWrap w:val="0"/>
            <w:vAlign w:val="center"/>
          </w:tcPr>
          <w:p w14:paraId="67A39B81">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SA"/>
              </w:rPr>
              <w:t>臭气浓度</w:t>
            </w:r>
          </w:p>
        </w:tc>
        <w:tc>
          <w:tcPr>
            <w:tcW w:w="1555" w:type="dxa"/>
            <w:vMerge w:val="continue"/>
            <w:noWrap w:val="0"/>
            <w:vAlign w:val="center"/>
          </w:tcPr>
          <w:p w14:paraId="03B16E5B">
            <w:pPr>
              <w:shd w:val="clear"/>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2455" w:type="dxa"/>
            <w:gridSpan w:val="2"/>
            <w:vMerge w:val="continue"/>
            <w:noWrap w:val="0"/>
            <w:vAlign w:val="center"/>
          </w:tcPr>
          <w:p w14:paraId="5B43D195">
            <w:pPr>
              <w:shd w:val="clear"/>
              <w:adjustRightInd w:val="0"/>
              <w:snapToGrid w:val="0"/>
              <w:spacing w:line="240" w:lineRule="auto"/>
              <w:jc w:val="center"/>
              <w:rPr>
                <w:rFonts w:hint="default" w:ascii="Times New Roman" w:hAnsi="Times New Roman" w:eastAsia="宋体" w:cs="Times New Roman"/>
                <w:color w:val="auto"/>
                <w:sz w:val="21"/>
                <w:szCs w:val="21"/>
                <w:highlight w:val="none"/>
              </w:rPr>
            </w:pPr>
          </w:p>
        </w:tc>
      </w:tr>
      <w:tr w14:paraId="3DB929B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67" w:hRule="atLeast"/>
          <w:jc w:val="center"/>
        </w:trPr>
        <w:tc>
          <w:tcPr>
            <w:tcW w:w="1778" w:type="dxa"/>
            <w:vMerge w:val="continue"/>
            <w:noWrap w:val="0"/>
            <w:vAlign w:val="center"/>
          </w:tcPr>
          <w:p w14:paraId="78ACD9EB">
            <w:pPr>
              <w:shd w:val="clear"/>
              <w:adjustRightInd w:val="0"/>
              <w:snapToGrid w:val="0"/>
              <w:spacing w:line="360" w:lineRule="auto"/>
              <w:jc w:val="center"/>
              <w:rPr>
                <w:rFonts w:hint="default" w:ascii="Times New Roman" w:hAnsi="Times New Roman" w:eastAsia="宋体" w:cs="Times New Roman"/>
                <w:color w:val="auto"/>
                <w:sz w:val="21"/>
                <w:szCs w:val="21"/>
                <w:highlight w:val="none"/>
              </w:rPr>
            </w:pPr>
          </w:p>
        </w:tc>
        <w:tc>
          <w:tcPr>
            <w:tcW w:w="1755" w:type="dxa"/>
            <w:gridSpan w:val="2"/>
            <w:vMerge w:val="restart"/>
            <w:noWrap w:val="0"/>
            <w:vAlign w:val="center"/>
          </w:tcPr>
          <w:p w14:paraId="52DF231B">
            <w:pPr>
              <w:shd w:val="clear"/>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厂区内无组织</w:t>
            </w:r>
          </w:p>
          <w:p w14:paraId="1A6A59AA">
            <w:pPr>
              <w:shd w:val="clear"/>
              <w:adjustRightInd w:val="0"/>
              <w:snapToGrid w:val="0"/>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废气</w:t>
            </w:r>
          </w:p>
        </w:tc>
        <w:tc>
          <w:tcPr>
            <w:tcW w:w="1309" w:type="dxa"/>
            <w:vMerge w:val="restart"/>
            <w:noWrap w:val="0"/>
            <w:vAlign w:val="center"/>
          </w:tcPr>
          <w:p w14:paraId="05046AC5">
            <w:pPr>
              <w:shd w:val="clea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非甲烷总烃</w:t>
            </w:r>
          </w:p>
        </w:tc>
        <w:tc>
          <w:tcPr>
            <w:tcW w:w="1555" w:type="dxa"/>
            <w:noWrap w:val="0"/>
            <w:vAlign w:val="center"/>
          </w:tcPr>
          <w:p w14:paraId="69B5A19C">
            <w:pPr>
              <w:pStyle w:val="62"/>
              <w:shd w:val="clear"/>
              <w:spacing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6</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rPr>
              <w:t>监控点处1h平均浓度值</w:t>
            </w:r>
            <w:r>
              <w:rPr>
                <w:rFonts w:hint="default" w:ascii="Times New Roman" w:hAnsi="Times New Roman" w:eastAsia="宋体" w:cs="Times New Roman"/>
                <w:color w:val="auto"/>
                <w:sz w:val="21"/>
                <w:szCs w:val="21"/>
                <w:highlight w:val="none"/>
              </w:rPr>
              <w:t>）</w:t>
            </w:r>
          </w:p>
        </w:tc>
        <w:tc>
          <w:tcPr>
            <w:tcW w:w="2455" w:type="dxa"/>
            <w:gridSpan w:val="2"/>
            <w:vMerge w:val="restart"/>
            <w:noWrap w:val="0"/>
            <w:vAlign w:val="center"/>
          </w:tcPr>
          <w:p w14:paraId="1CD92450">
            <w:pPr>
              <w:pStyle w:val="62"/>
              <w:shd w:val="clear"/>
              <w:spacing w:line="240" w:lineRule="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广东省</w:t>
            </w:r>
            <w:r>
              <w:rPr>
                <w:rFonts w:hint="default" w:ascii="Times New Roman" w:hAnsi="Times New Roman" w:eastAsia="宋体" w:cs="Times New Roman"/>
                <w:color w:val="auto"/>
                <w:sz w:val="21"/>
                <w:szCs w:val="21"/>
                <w:highlight w:val="none"/>
                <w:vertAlign w:val="baseline"/>
                <w:lang w:val="en-US" w:eastAsia="zh-CN"/>
              </w:rPr>
              <w:t>《固定污染源挥发性有机物综合排放标准》（DB44/2367-2022）表3厂区内VOCs无组织排放限值</w:t>
            </w:r>
          </w:p>
        </w:tc>
      </w:tr>
      <w:tr w14:paraId="24A84B9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Merge w:val="continue"/>
            <w:noWrap w:val="0"/>
            <w:vAlign w:val="center"/>
          </w:tcPr>
          <w:p w14:paraId="6763C04A">
            <w:pPr>
              <w:shd w:val="clear"/>
              <w:adjustRightInd w:val="0"/>
              <w:snapToGrid w:val="0"/>
              <w:spacing w:line="360" w:lineRule="auto"/>
              <w:jc w:val="center"/>
              <w:rPr>
                <w:rFonts w:hint="default" w:ascii="Times New Roman" w:hAnsi="Times New Roman" w:eastAsia="宋体" w:cs="Times New Roman"/>
                <w:color w:val="auto"/>
                <w:sz w:val="21"/>
                <w:szCs w:val="21"/>
                <w:highlight w:val="none"/>
              </w:rPr>
            </w:pPr>
          </w:p>
        </w:tc>
        <w:tc>
          <w:tcPr>
            <w:tcW w:w="1755" w:type="dxa"/>
            <w:gridSpan w:val="2"/>
            <w:vMerge w:val="continue"/>
            <w:noWrap w:val="0"/>
            <w:vAlign w:val="center"/>
          </w:tcPr>
          <w:p w14:paraId="6BA63934">
            <w:pPr>
              <w:shd w:val="clear"/>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1309" w:type="dxa"/>
            <w:vMerge w:val="continue"/>
            <w:noWrap w:val="0"/>
            <w:vAlign w:val="center"/>
          </w:tcPr>
          <w:p w14:paraId="0958C96E">
            <w:pPr>
              <w:pStyle w:val="62"/>
              <w:shd w:val="clear"/>
              <w:spacing w:line="240" w:lineRule="auto"/>
              <w:rPr>
                <w:rFonts w:hint="default" w:ascii="Times New Roman" w:hAnsi="Times New Roman" w:eastAsia="宋体" w:cs="Times New Roman"/>
                <w:color w:val="auto"/>
                <w:sz w:val="21"/>
                <w:szCs w:val="21"/>
                <w:highlight w:val="none"/>
              </w:rPr>
            </w:pPr>
          </w:p>
        </w:tc>
        <w:tc>
          <w:tcPr>
            <w:tcW w:w="1555" w:type="dxa"/>
            <w:noWrap w:val="0"/>
            <w:vAlign w:val="center"/>
          </w:tcPr>
          <w:p w14:paraId="14E08AAC">
            <w:pPr>
              <w:pStyle w:val="62"/>
              <w:shd w:val="clear"/>
              <w:spacing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lang w:val="en-US"/>
              </w:rPr>
              <w:t>0（监控点处任意一点的浓度值）</w:t>
            </w:r>
          </w:p>
        </w:tc>
        <w:tc>
          <w:tcPr>
            <w:tcW w:w="2455" w:type="dxa"/>
            <w:gridSpan w:val="2"/>
            <w:vMerge w:val="continue"/>
            <w:noWrap w:val="0"/>
            <w:vAlign w:val="center"/>
          </w:tcPr>
          <w:p w14:paraId="37C527B8">
            <w:pPr>
              <w:shd w:val="clear"/>
              <w:adjustRightInd w:val="0"/>
              <w:snapToGrid w:val="0"/>
              <w:spacing w:line="240" w:lineRule="auto"/>
              <w:jc w:val="center"/>
              <w:rPr>
                <w:rFonts w:hint="default" w:ascii="Times New Roman" w:hAnsi="Times New Roman" w:eastAsia="宋体" w:cs="Times New Roman"/>
                <w:color w:val="auto"/>
                <w:sz w:val="21"/>
                <w:szCs w:val="21"/>
                <w:highlight w:val="none"/>
              </w:rPr>
            </w:pPr>
          </w:p>
        </w:tc>
      </w:tr>
      <w:tr w14:paraId="7BB5A2B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Merge w:val="restart"/>
            <w:noWrap w:val="0"/>
            <w:vAlign w:val="center"/>
          </w:tcPr>
          <w:p w14:paraId="2F258E7F">
            <w:pPr>
              <w:shd w:val="clear"/>
              <w:adjustRightInd w:val="0"/>
              <w:snapToGrid w:val="0"/>
              <w:spacing w:line="36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地表水环境</w:t>
            </w:r>
          </w:p>
        </w:tc>
        <w:tc>
          <w:tcPr>
            <w:tcW w:w="1755" w:type="dxa"/>
            <w:gridSpan w:val="2"/>
            <w:vMerge w:val="restart"/>
            <w:noWrap w:val="0"/>
            <w:vAlign w:val="center"/>
          </w:tcPr>
          <w:p w14:paraId="6405249B">
            <w:pPr>
              <w:shd w:val="clear"/>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生活污水</w:t>
            </w:r>
          </w:p>
        </w:tc>
        <w:tc>
          <w:tcPr>
            <w:tcW w:w="1309" w:type="dxa"/>
            <w:noWrap w:val="0"/>
            <w:vAlign w:val="center"/>
          </w:tcPr>
          <w:p w14:paraId="4573DD77">
            <w:pPr>
              <w:shd w:val="clea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sz w:val="21"/>
                <w:szCs w:val="21"/>
                <w:highlight w:val="none"/>
              </w:rPr>
              <w:t>pH值</w:t>
            </w:r>
          </w:p>
        </w:tc>
        <w:tc>
          <w:tcPr>
            <w:tcW w:w="1555" w:type="dxa"/>
            <w:vMerge w:val="restart"/>
            <w:noWrap w:val="0"/>
            <w:vAlign w:val="center"/>
          </w:tcPr>
          <w:p w14:paraId="6DD7C64B">
            <w:pPr>
              <w:shd w:val="clea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经三级化粪池预处理后进入</w:t>
            </w:r>
            <w:r>
              <w:rPr>
                <w:rFonts w:hint="eastAsia" w:cs="Times New Roman"/>
                <w:color w:val="auto"/>
                <w:sz w:val="21"/>
                <w:szCs w:val="21"/>
                <w:highlight w:val="none"/>
                <w:lang w:val="zh-CN" w:eastAsia="zh-CN"/>
              </w:rPr>
              <w:t>中山市珍家山污水处理有限公司</w:t>
            </w:r>
          </w:p>
        </w:tc>
        <w:tc>
          <w:tcPr>
            <w:tcW w:w="2455" w:type="dxa"/>
            <w:gridSpan w:val="2"/>
            <w:vMerge w:val="restart"/>
            <w:noWrap w:val="0"/>
            <w:vAlign w:val="center"/>
          </w:tcPr>
          <w:p w14:paraId="211882AF">
            <w:pPr>
              <w:shd w:val="clea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广东省《水污染物排放限值》(DB44/26－2001)第二时段三级标准</w:t>
            </w:r>
          </w:p>
        </w:tc>
      </w:tr>
      <w:tr w14:paraId="5EDF23C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Merge w:val="continue"/>
            <w:noWrap w:val="0"/>
            <w:vAlign w:val="center"/>
          </w:tcPr>
          <w:p w14:paraId="6DB72D7F">
            <w:pPr>
              <w:shd w:val="clear"/>
              <w:adjustRightInd w:val="0"/>
              <w:snapToGrid w:val="0"/>
              <w:spacing w:line="360" w:lineRule="auto"/>
              <w:jc w:val="center"/>
              <w:rPr>
                <w:rFonts w:hint="default" w:ascii="Times New Roman" w:hAnsi="Times New Roman" w:eastAsia="宋体" w:cs="Times New Roman"/>
                <w:color w:val="auto"/>
                <w:sz w:val="21"/>
                <w:szCs w:val="21"/>
                <w:highlight w:val="none"/>
              </w:rPr>
            </w:pPr>
          </w:p>
        </w:tc>
        <w:tc>
          <w:tcPr>
            <w:tcW w:w="1755" w:type="dxa"/>
            <w:gridSpan w:val="2"/>
            <w:vMerge w:val="continue"/>
            <w:noWrap w:val="0"/>
            <w:vAlign w:val="center"/>
          </w:tcPr>
          <w:p w14:paraId="7F219628">
            <w:pPr>
              <w:shd w:val="clear"/>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1309" w:type="dxa"/>
            <w:noWrap w:val="0"/>
            <w:vAlign w:val="center"/>
          </w:tcPr>
          <w:p w14:paraId="6FD8CB61">
            <w:pPr>
              <w:shd w:val="clea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sz w:val="21"/>
                <w:szCs w:val="21"/>
                <w:highlight w:val="none"/>
              </w:rPr>
              <w:t>COD</w:t>
            </w:r>
            <w:r>
              <w:rPr>
                <w:rFonts w:hint="default" w:ascii="Times New Roman" w:hAnsi="Times New Roman" w:eastAsia="宋体" w:cs="Times New Roman"/>
                <w:bCs/>
                <w:color w:val="auto"/>
                <w:sz w:val="21"/>
                <w:szCs w:val="21"/>
                <w:highlight w:val="none"/>
                <w:vertAlign w:val="subscript"/>
              </w:rPr>
              <w:t>cr</w:t>
            </w:r>
          </w:p>
        </w:tc>
        <w:tc>
          <w:tcPr>
            <w:tcW w:w="1555" w:type="dxa"/>
            <w:vMerge w:val="continue"/>
            <w:noWrap w:val="0"/>
            <w:vAlign w:val="center"/>
          </w:tcPr>
          <w:p w14:paraId="6DCED56F">
            <w:pPr>
              <w:shd w:val="clear"/>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2455" w:type="dxa"/>
            <w:gridSpan w:val="2"/>
            <w:vMerge w:val="continue"/>
            <w:noWrap w:val="0"/>
            <w:vAlign w:val="center"/>
          </w:tcPr>
          <w:p w14:paraId="584760A9">
            <w:pPr>
              <w:shd w:val="clear"/>
              <w:adjustRightInd w:val="0"/>
              <w:snapToGrid w:val="0"/>
              <w:spacing w:line="240" w:lineRule="auto"/>
              <w:jc w:val="center"/>
              <w:rPr>
                <w:rFonts w:hint="default" w:ascii="Times New Roman" w:hAnsi="Times New Roman" w:eastAsia="宋体" w:cs="Times New Roman"/>
                <w:color w:val="auto"/>
                <w:sz w:val="21"/>
                <w:szCs w:val="21"/>
                <w:highlight w:val="none"/>
              </w:rPr>
            </w:pPr>
          </w:p>
        </w:tc>
      </w:tr>
      <w:tr w14:paraId="5DC7976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Merge w:val="continue"/>
            <w:noWrap w:val="0"/>
            <w:vAlign w:val="center"/>
          </w:tcPr>
          <w:p w14:paraId="0B207D40">
            <w:pPr>
              <w:shd w:val="clear"/>
              <w:adjustRightInd w:val="0"/>
              <w:snapToGrid w:val="0"/>
              <w:spacing w:line="360" w:lineRule="auto"/>
              <w:jc w:val="center"/>
              <w:rPr>
                <w:rFonts w:hint="default" w:ascii="Times New Roman" w:hAnsi="Times New Roman" w:eastAsia="宋体" w:cs="Times New Roman"/>
                <w:color w:val="auto"/>
                <w:sz w:val="21"/>
                <w:szCs w:val="21"/>
                <w:highlight w:val="none"/>
              </w:rPr>
            </w:pPr>
          </w:p>
        </w:tc>
        <w:tc>
          <w:tcPr>
            <w:tcW w:w="1755" w:type="dxa"/>
            <w:gridSpan w:val="2"/>
            <w:vMerge w:val="continue"/>
            <w:noWrap w:val="0"/>
            <w:vAlign w:val="center"/>
          </w:tcPr>
          <w:p w14:paraId="60984E21">
            <w:pPr>
              <w:shd w:val="clear"/>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1309" w:type="dxa"/>
            <w:noWrap w:val="0"/>
            <w:vAlign w:val="center"/>
          </w:tcPr>
          <w:p w14:paraId="12FD15AE">
            <w:pPr>
              <w:shd w:val="clea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sz w:val="21"/>
                <w:szCs w:val="21"/>
                <w:highlight w:val="none"/>
              </w:rPr>
              <w:t>BOD</w:t>
            </w:r>
            <w:r>
              <w:rPr>
                <w:rFonts w:hint="default" w:ascii="Times New Roman" w:hAnsi="Times New Roman" w:eastAsia="宋体" w:cs="Times New Roman"/>
                <w:bCs/>
                <w:color w:val="auto"/>
                <w:sz w:val="21"/>
                <w:szCs w:val="21"/>
                <w:highlight w:val="none"/>
                <w:vertAlign w:val="subscript"/>
              </w:rPr>
              <w:t>5</w:t>
            </w:r>
          </w:p>
        </w:tc>
        <w:tc>
          <w:tcPr>
            <w:tcW w:w="1555" w:type="dxa"/>
            <w:vMerge w:val="continue"/>
            <w:noWrap w:val="0"/>
            <w:vAlign w:val="center"/>
          </w:tcPr>
          <w:p w14:paraId="64867CC1">
            <w:pPr>
              <w:shd w:val="clear"/>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2455" w:type="dxa"/>
            <w:gridSpan w:val="2"/>
            <w:vMerge w:val="continue"/>
            <w:noWrap w:val="0"/>
            <w:vAlign w:val="center"/>
          </w:tcPr>
          <w:p w14:paraId="1BB4A9BB">
            <w:pPr>
              <w:shd w:val="clear"/>
              <w:adjustRightInd w:val="0"/>
              <w:snapToGrid w:val="0"/>
              <w:spacing w:line="240" w:lineRule="auto"/>
              <w:jc w:val="center"/>
              <w:rPr>
                <w:rFonts w:hint="default" w:ascii="Times New Roman" w:hAnsi="Times New Roman" w:eastAsia="宋体" w:cs="Times New Roman"/>
                <w:color w:val="auto"/>
                <w:sz w:val="21"/>
                <w:szCs w:val="21"/>
                <w:highlight w:val="none"/>
              </w:rPr>
            </w:pPr>
          </w:p>
        </w:tc>
      </w:tr>
      <w:tr w14:paraId="17F9F79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Merge w:val="continue"/>
            <w:noWrap w:val="0"/>
            <w:vAlign w:val="center"/>
          </w:tcPr>
          <w:p w14:paraId="6D82DE41">
            <w:pPr>
              <w:shd w:val="clear"/>
              <w:adjustRightInd w:val="0"/>
              <w:snapToGrid w:val="0"/>
              <w:spacing w:line="360" w:lineRule="auto"/>
              <w:jc w:val="center"/>
              <w:rPr>
                <w:rFonts w:hint="default" w:ascii="Times New Roman" w:hAnsi="Times New Roman" w:eastAsia="宋体" w:cs="Times New Roman"/>
                <w:color w:val="auto"/>
                <w:sz w:val="21"/>
                <w:szCs w:val="21"/>
                <w:highlight w:val="none"/>
              </w:rPr>
            </w:pPr>
          </w:p>
        </w:tc>
        <w:tc>
          <w:tcPr>
            <w:tcW w:w="1755" w:type="dxa"/>
            <w:gridSpan w:val="2"/>
            <w:vMerge w:val="continue"/>
            <w:noWrap w:val="0"/>
            <w:vAlign w:val="center"/>
          </w:tcPr>
          <w:p w14:paraId="4ED4AFAF">
            <w:pPr>
              <w:shd w:val="clear"/>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1309" w:type="dxa"/>
            <w:noWrap w:val="0"/>
            <w:vAlign w:val="center"/>
          </w:tcPr>
          <w:p w14:paraId="09989665">
            <w:pPr>
              <w:shd w:val="clea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sz w:val="21"/>
                <w:szCs w:val="21"/>
                <w:highlight w:val="none"/>
              </w:rPr>
              <w:t>SS</w:t>
            </w:r>
          </w:p>
        </w:tc>
        <w:tc>
          <w:tcPr>
            <w:tcW w:w="1555" w:type="dxa"/>
            <w:vMerge w:val="continue"/>
            <w:noWrap w:val="0"/>
            <w:vAlign w:val="center"/>
          </w:tcPr>
          <w:p w14:paraId="02E30849">
            <w:pPr>
              <w:shd w:val="clear"/>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2455" w:type="dxa"/>
            <w:gridSpan w:val="2"/>
            <w:vMerge w:val="continue"/>
            <w:noWrap w:val="0"/>
            <w:vAlign w:val="center"/>
          </w:tcPr>
          <w:p w14:paraId="3926843C">
            <w:pPr>
              <w:shd w:val="clear"/>
              <w:adjustRightInd w:val="0"/>
              <w:snapToGrid w:val="0"/>
              <w:spacing w:line="240" w:lineRule="auto"/>
              <w:jc w:val="center"/>
              <w:rPr>
                <w:rFonts w:hint="default" w:ascii="Times New Roman" w:hAnsi="Times New Roman" w:eastAsia="宋体" w:cs="Times New Roman"/>
                <w:color w:val="auto"/>
                <w:sz w:val="21"/>
                <w:szCs w:val="21"/>
                <w:highlight w:val="none"/>
              </w:rPr>
            </w:pPr>
          </w:p>
        </w:tc>
      </w:tr>
      <w:tr w14:paraId="49AF402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88" w:hRule="atLeast"/>
          <w:jc w:val="center"/>
        </w:trPr>
        <w:tc>
          <w:tcPr>
            <w:tcW w:w="1778" w:type="dxa"/>
            <w:vMerge w:val="continue"/>
            <w:noWrap w:val="0"/>
            <w:vAlign w:val="center"/>
          </w:tcPr>
          <w:p w14:paraId="1242FFE7">
            <w:pPr>
              <w:shd w:val="clear"/>
              <w:adjustRightInd w:val="0"/>
              <w:snapToGrid w:val="0"/>
              <w:spacing w:line="360" w:lineRule="auto"/>
              <w:jc w:val="center"/>
              <w:rPr>
                <w:rFonts w:hint="default" w:ascii="Times New Roman" w:hAnsi="Times New Roman" w:eastAsia="宋体" w:cs="Times New Roman"/>
                <w:color w:val="auto"/>
                <w:sz w:val="21"/>
                <w:szCs w:val="21"/>
                <w:highlight w:val="none"/>
              </w:rPr>
            </w:pPr>
          </w:p>
        </w:tc>
        <w:tc>
          <w:tcPr>
            <w:tcW w:w="1755" w:type="dxa"/>
            <w:gridSpan w:val="2"/>
            <w:vMerge w:val="continue"/>
            <w:noWrap w:val="0"/>
            <w:vAlign w:val="center"/>
          </w:tcPr>
          <w:p w14:paraId="03FD475C">
            <w:pPr>
              <w:shd w:val="clear"/>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1309" w:type="dxa"/>
            <w:noWrap w:val="0"/>
            <w:vAlign w:val="center"/>
          </w:tcPr>
          <w:p w14:paraId="754D3B33">
            <w:pPr>
              <w:shd w:val="clea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sz w:val="21"/>
                <w:szCs w:val="21"/>
                <w:highlight w:val="none"/>
              </w:rPr>
              <w:t>NH</w:t>
            </w:r>
            <w:r>
              <w:rPr>
                <w:rFonts w:hint="default" w:ascii="Times New Roman" w:hAnsi="Times New Roman" w:eastAsia="宋体" w:cs="Times New Roman"/>
                <w:bCs/>
                <w:color w:val="auto"/>
                <w:sz w:val="21"/>
                <w:szCs w:val="21"/>
                <w:highlight w:val="none"/>
                <w:vertAlign w:val="subscript"/>
              </w:rPr>
              <w:t>3</w:t>
            </w:r>
            <w:r>
              <w:rPr>
                <w:rFonts w:hint="default" w:ascii="Times New Roman" w:hAnsi="Times New Roman" w:eastAsia="宋体" w:cs="Times New Roman"/>
                <w:bCs/>
                <w:color w:val="auto"/>
                <w:sz w:val="21"/>
                <w:szCs w:val="21"/>
                <w:highlight w:val="none"/>
              </w:rPr>
              <w:t>-N</w:t>
            </w:r>
          </w:p>
        </w:tc>
        <w:tc>
          <w:tcPr>
            <w:tcW w:w="1555" w:type="dxa"/>
            <w:vMerge w:val="continue"/>
            <w:noWrap w:val="0"/>
            <w:vAlign w:val="center"/>
          </w:tcPr>
          <w:p w14:paraId="35934F5A">
            <w:pPr>
              <w:shd w:val="clear"/>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2455" w:type="dxa"/>
            <w:gridSpan w:val="2"/>
            <w:vMerge w:val="continue"/>
            <w:noWrap w:val="0"/>
            <w:vAlign w:val="center"/>
          </w:tcPr>
          <w:p w14:paraId="17A7C53E">
            <w:pPr>
              <w:shd w:val="clear"/>
              <w:adjustRightInd w:val="0"/>
              <w:snapToGrid w:val="0"/>
              <w:spacing w:line="240" w:lineRule="auto"/>
              <w:jc w:val="center"/>
              <w:rPr>
                <w:rFonts w:hint="default" w:ascii="Times New Roman" w:hAnsi="Times New Roman" w:eastAsia="宋体" w:cs="Times New Roman"/>
                <w:color w:val="auto"/>
                <w:sz w:val="21"/>
                <w:szCs w:val="21"/>
                <w:highlight w:val="none"/>
              </w:rPr>
            </w:pPr>
          </w:p>
        </w:tc>
      </w:tr>
      <w:tr w14:paraId="4F631CF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88" w:hRule="atLeast"/>
          <w:jc w:val="center"/>
        </w:trPr>
        <w:tc>
          <w:tcPr>
            <w:tcW w:w="1778" w:type="dxa"/>
            <w:vMerge w:val="continue"/>
            <w:noWrap w:val="0"/>
            <w:vAlign w:val="center"/>
          </w:tcPr>
          <w:p w14:paraId="23CB086B">
            <w:pPr>
              <w:shd w:val="clear"/>
              <w:adjustRightInd w:val="0"/>
              <w:snapToGrid w:val="0"/>
              <w:spacing w:line="360" w:lineRule="auto"/>
              <w:jc w:val="center"/>
              <w:rPr>
                <w:rFonts w:hint="default" w:ascii="Times New Roman" w:hAnsi="Times New Roman" w:eastAsia="宋体" w:cs="Times New Roman"/>
                <w:color w:val="auto"/>
                <w:sz w:val="21"/>
                <w:szCs w:val="21"/>
                <w:highlight w:val="none"/>
              </w:rPr>
            </w:pPr>
          </w:p>
        </w:tc>
        <w:tc>
          <w:tcPr>
            <w:tcW w:w="1755" w:type="dxa"/>
            <w:gridSpan w:val="2"/>
            <w:vMerge w:val="restart"/>
            <w:noWrap w:val="0"/>
            <w:vAlign w:val="center"/>
          </w:tcPr>
          <w:p w14:paraId="389AF32D">
            <w:pPr>
              <w:shd w:val="clear"/>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生产废水</w:t>
            </w:r>
          </w:p>
        </w:tc>
        <w:tc>
          <w:tcPr>
            <w:tcW w:w="1309" w:type="dxa"/>
            <w:noWrap w:val="0"/>
            <w:vAlign w:val="center"/>
          </w:tcPr>
          <w:p w14:paraId="6A7433F8">
            <w:pPr>
              <w:shd w:val="clear"/>
              <w:spacing w:line="240" w:lineRule="auto"/>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pH值</w:t>
            </w:r>
          </w:p>
        </w:tc>
        <w:tc>
          <w:tcPr>
            <w:tcW w:w="1555" w:type="dxa"/>
            <w:vMerge w:val="restart"/>
            <w:noWrap w:val="0"/>
            <w:vAlign w:val="center"/>
          </w:tcPr>
          <w:p w14:paraId="4CCB4F51">
            <w:pPr>
              <w:shd w:val="clear"/>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color w:val="auto"/>
                <w:szCs w:val="21"/>
                <w:highlight w:val="none"/>
              </w:rPr>
              <w:t>交由有废水处理能力的单位转移处理</w:t>
            </w:r>
          </w:p>
        </w:tc>
        <w:tc>
          <w:tcPr>
            <w:tcW w:w="2455" w:type="dxa"/>
            <w:gridSpan w:val="2"/>
            <w:vMerge w:val="restart"/>
            <w:noWrap w:val="0"/>
            <w:vAlign w:val="center"/>
          </w:tcPr>
          <w:p w14:paraId="1AE6A92A">
            <w:pPr>
              <w:shd w:val="clear"/>
              <w:adjustRightInd w:val="0"/>
              <w:snapToGrid w:val="0"/>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r>
      <w:tr w14:paraId="58E4EA6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88" w:hRule="atLeast"/>
          <w:jc w:val="center"/>
        </w:trPr>
        <w:tc>
          <w:tcPr>
            <w:tcW w:w="1778" w:type="dxa"/>
            <w:vMerge w:val="continue"/>
            <w:noWrap w:val="0"/>
            <w:vAlign w:val="center"/>
          </w:tcPr>
          <w:p w14:paraId="694F76AA">
            <w:pPr>
              <w:shd w:val="clear"/>
              <w:adjustRightInd w:val="0"/>
              <w:snapToGrid w:val="0"/>
              <w:spacing w:line="360" w:lineRule="auto"/>
              <w:jc w:val="center"/>
              <w:rPr>
                <w:rFonts w:hint="default" w:ascii="Times New Roman" w:hAnsi="Times New Roman" w:eastAsia="宋体" w:cs="Times New Roman"/>
                <w:color w:val="auto"/>
                <w:sz w:val="21"/>
                <w:szCs w:val="21"/>
                <w:highlight w:val="none"/>
              </w:rPr>
            </w:pPr>
          </w:p>
        </w:tc>
        <w:tc>
          <w:tcPr>
            <w:tcW w:w="1755" w:type="dxa"/>
            <w:gridSpan w:val="2"/>
            <w:vMerge w:val="continue"/>
            <w:noWrap w:val="0"/>
            <w:vAlign w:val="center"/>
          </w:tcPr>
          <w:p w14:paraId="0C4D9D5F">
            <w:pPr>
              <w:shd w:val="clear"/>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1309" w:type="dxa"/>
            <w:noWrap w:val="0"/>
            <w:vAlign w:val="center"/>
          </w:tcPr>
          <w:p w14:paraId="69A7D4F9">
            <w:pPr>
              <w:shd w:val="clear"/>
              <w:spacing w:line="240" w:lineRule="auto"/>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COD</w:t>
            </w:r>
            <w:r>
              <w:rPr>
                <w:rFonts w:hint="default" w:ascii="Times New Roman" w:hAnsi="Times New Roman" w:eastAsia="宋体" w:cs="Times New Roman"/>
                <w:bCs/>
                <w:color w:val="auto"/>
                <w:sz w:val="21"/>
                <w:szCs w:val="21"/>
                <w:highlight w:val="none"/>
                <w:vertAlign w:val="subscript"/>
              </w:rPr>
              <w:t>cr</w:t>
            </w:r>
          </w:p>
        </w:tc>
        <w:tc>
          <w:tcPr>
            <w:tcW w:w="1555" w:type="dxa"/>
            <w:vMerge w:val="continue"/>
            <w:noWrap w:val="0"/>
            <w:vAlign w:val="center"/>
          </w:tcPr>
          <w:p w14:paraId="50E76864">
            <w:pPr>
              <w:shd w:val="clear"/>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2455" w:type="dxa"/>
            <w:gridSpan w:val="2"/>
            <w:vMerge w:val="continue"/>
            <w:noWrap w:val="0"/>
            <w:vAlign w:val="center"/>
          </w:tcPr>
          <w:p w14:paraId="1B5FD457">
            <w:pPr>
              <w:shd w:val="clear"/>
              <w:adjustRightInd w:val="0"/>
              <w:snapToGrid w:val="0"/>
              <w:spacing w:line="240" w:lineRule="auto"/>
              <w:jc w:val="center"/>
              <w:rPr>
                <w:rFonts w:hint="default" w:ascii="Times New Roman" w:hAnsi="Times New Roman" w:eastAsia="宋体" w:cs="Times New Roman"/>
                <w:color w:val="auto"/>
                <w:sz w:val="21"/>
                <w:szCs w:val="21"/>
                <w:highlight w:val="none"/>
              </w:rPr>
            </w:pPr>
          </w:p>
        </w:tc>
      </w:tr>
      <w:tr w14:paraId="479E5E4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88" w:hRule="atLeast"/>
          <w:jc w:val="center"/>
        </w:trPr>
        <w:tc>
          <w:tcPr>
            <w:tcW w:w="1778" w:type="dxa"/>
            <w:vMerge w:val="continue"/>
            <w:noWrap w:val="0"/>
            <w:vAlign w:val="center"/>
          </w:tcPr>
          <w:p w14:paraId="114277FB">
            <w:pPr>
              <w:shd w:val="clear"/>
              <w:adjustRightInd w:val="0"/>
              <w:snapToGrid w:val="0"/>
              <w:spacing w:line="360" w:lineRule="auto"/>
              <w:jc w:val="center"/>
              <w:rPr>
                <w:rFonts w:hint="default" w:ascii="Times New Roman" w:hAnsi="Times New Roman" w:eastAsia="宋体" w:cs="Times New Roman"/>
                <w:color w:val="auto"/>
                <w:sz w:val="21"/>
                <w:szCs w:val="21"/>
                <w:highlight w:val="none"/>
              </w:rPr>
            </w:pPr>
          </w:p>
        </w:tc>
        <w:tc>
          <w:tcPr>
            <w:tcW w:w="1755" w:type="dxa"/>
            <w:gridSpan w:val="2"/>
            <w:vMerge w:val="continue"/>
            <w:noWrap w:val="0"/>
            <w:vAlign w:val="center"/>
          </w:tcPr>
          <w:p w14:paraId="06384265">
            <w:pPr>
              <w:shd w:val="clear"/>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1309" w:type="dxa"/>
            <w:noWrap w:val="0"/>
            <w:vAlign w:val="center"/>
          </w:tcPr>
          <w:p w14:paraId="7085BBFB">
            <w:pPr>
              <w:shd w:val="clear"/>
              <w:spacing w:line="240" w:lineRule="auto"/>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BOD</w:t>
            </w:r>
            <w:r>
              <w:rPr>
                <w:rFonts w:hint="default" w:ascii="Times New Roman" w:hAnsi="Times New Roman" w:eastAsia="宋体" w:cs="Times New Roman"/>
                <w:bCs/>
                <w:color w:val="auto"/>
                <w:sz w:val="21"/>
                <w:szCs w:val="21"/>
                <w:highlight w:val="none"/>
                <w:vertAlign w:val="subscript"/>
              </w:rPr>
              <w:t>5</w:t>
            </w:r>
          </w:p>
        </w:tc>
        <w:tc>
          <w:tcPr>
            <w:tcW w:w="1555" w:type="dxa"/>
            <w:vMerge w:val="continue"/>
            <w:noWrap w:val="0"/>
            <w:vAlign w:val="center"/>
          </w:tcPr>
          <w:p w14:paraId="6B7FCF8F">
            <w:pPr>
              <w:shd w:val="clear"/>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2455" w:type="dxa"/>
            <w:gridSpan w:val="2"/>
            <w:vMerge w:val="continue"/>
            <w:noWrap w:val="0"/>
            <w:vAlign w:val="center"/>
          </w:tcPr>
          <w:p w14:paraId="2C4FBCFD">
            <w:pPr>
              <w:shd w:val="clear"/>
              <w:adjustRightInd w:val="0"/>
              <w:snapToGrid w:val="0"/>
              <w:spacing w:line="240" w:lineRule="auto"/>
              <w:jc w:val="center"/>
              <w:rPr>
                <w:rFonts w:hint="default" w:ascii="Times New Roman" w:hAnsi="Times New Roman" w:eastAsia="宋体" w:cs="Times New Roman"/>
                <w:color w:val="auto"/>
                <w:sz w:val="21"/>
                <w:szCs w:val="21"/>
                <w:highlight w:val="none"/>
              </w:rPr>
            </w:pPr>
          </w:p>
        </w:tc>
      </w:tr>
      <w:tr w14:paraId="2019E60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88" w:hRule="atLeast"/>
          <w:jc w:val="center"/>
        </w:trPr>
        <w:tc>
          <w:tcPr>
            <w:tcW w:w="1778" w:type="dxa"/>
            <w:vMerge w:val="continue"/>
            <w:noWrap w:val="0"/>
            <w:vAlign w:val="center"/>
          </w:tcPr>
          <w:p w14:paraId="78B6936D">
            <w:pPr>
              <w:shd w:val="clear"/>
              <w:adjustRightInd w:val="0"/>
              <w:snapToGrid w:val="0"/>
              <w:spacing w:line="360" w:lineRule="auto"/>
              <w:jc w:val="center"/>
              <w:rPr>
                <w:rFonts w:hint="default" w:ascii="Times New Roman" w:hAnsi="Times New Roman" w:eastAsia="宋体" w:cs="Times New Roman"/>
                <w:color w:val="auto"/>
                <w:sz w:val="21"/>
                <w:szCs w:val="21"/>
                <w:highlight w:val="none"/>
              </w:rPr>
            </w:pPr>
          </w:p>
        </w:tc>
        <w:tc>
          <w:tcPr>
            <w:tcW w:w="1755" w:type="dxa"/>
            <w:gridSpan w:val="2"/>
            <w:vMerge w:val="continue"/>
            <w:noWrap w:val="0"/>
            <w:vAlign w:val="center"/>
          </w:tcPr>
          <w:p w14:paraId="00E64B5E">
            <w:pPr>
              <w:shd w:val="clear"/>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1309" w:type="dxa"/>
            <w:noWrap w:val="0"/>
            <w:vAlign w:val="center"/>
          </w:tcPr>
          <w:p w14:paraId="7918B838">
            <w:pPr>
              <w:shd w:val="clear"/>
              <w:spacing w:line="240" w:lineRule="auto"/>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SS</w:t>
            </w:r>
          </w:p>
        </w:tc>
        <w:tc>
          <w:tcPr>
            <w:tcW w:w="1555" w:type="dxa"/>
            <w:vMerge w:val="continue"/>
            <w:noWrap w:val="0"/>
            <w:vAlign w:val="center"/>
          </w:tcPr>
          <w:p w14:paraId="64B88EAE">
            <w:pPr>
              <w:shd w:val="clear"/>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2455" w:type="dxa"/>
            <w:gridSpan w:val="2"/>
            <w:vMerge w:val="continue"/>
            <w:noWrap w:val="0"/>
            <w:vAlign w:val="center"/>
          </w:tcPr>
          <w:p w14:paraId="1C180304">
            <w:pPr>
              <w:shd w:val="clear"/>
              <w:adjustRightInd w:val="0"/>
              <w:snapToGrid w:val="0"/>
              <w:spacing w:line="240" w:lineRule="auto"/>
              <w:jc w:val="center"/>
              <w:rPr>
                <w:rFonts w:hint="default" w:ascii="Times New Roman" w:hAnsi="Times New Roman" w:eastAsia="宋体" w:cs="Times New Roman"/>
                <w:color w:val="auto"/>
                <w:sz w:val="21"/>
                <w:szCs w:val="21"/>
                <w:highlight w:val="none"/>
              </w:rPr>
            </w:pPr>
          </w:p>
        </w:tc>
      </w:tr>
      <w:tr w14:paraId="16075FE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88" w:hRule="atLeast"/>
          <w:jc w:val="center"/>
        </w:trPr>
        <w:tc>
          <w:tcPr>
            <w:tcW w:w="1778" w:type="dxa"/>
            <w:vMerge w:val="continue"/>
            <w:noWrap w:val="0"/>
            <w:vAlign w:val="center"/>
          </w:tcPr>
          <w:p w14:paraId="3E2D572F">
            <w:pPr>
              <w:shd w:val="clear"/>
              <w:adjustRightInd w:val="0"/>
              <w:snapToGrid w:val="0"/>
              <w:spacing w:line="360" w:lineRule="auto"/>
              <w:jc w:val="center"/>
              <w:rPr>
                <w:rFonts w:hint="default" w:ascii="Times New Roman" w:hAnsi="Times New Roman" w:eastAsia="宋体" w:cs="Times New Roman"/>
                <w:color w:val="auto"/>
                <w:sz w:val="21"/>
                <w:szCs w:val="21"/>
                <w:highlight w:val="none"/>
              </w:rPr>
            </w:pPr>
          </w:p>
        </w:tc>
        <w:tc>
          <w:tcPr>
            <w:tcW w:w="1755" w:type="dxa"/>
            <w:gridSpan w:val="2"/>
            <w:vMerge w:val="continue"/>
            <w:noWrap w:val="0"/>
            <w:vAlign w:val="center"/>
          </w:tcPr>
          <w:p w14:paraId="548D162A">
            <w:pPr>
              <w:shd w:val="clear"/>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1309" w:type="dxa"/>
            <w:noWrap w:val="0"/>
            <w:vAlign w:val="center"/>
          </w:tcPr>
          <w:p w14:paraId="7879F49B">
            <w:pPr>
              <w:shd w:val="clear"/>
              <w:spacing w:line="240" w:lineRule="auto"/>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NH</w:t>
            </w:r>
            <w:r>
              <w:rPr>
                <w:rFonts w:hint="default" w:ascii="Times New Roman" w:hAnsi="Times New Roman" w:eastAsia="宋体" w:cs="Times New Roman"/>
                <w:bCs/>
                <w:color w:val="auto"/>
                <w:sz w:val="21"/>
                <w:szCs w:val="21"/>
                <w:highlight w:val="none"/>
                <w:vertAlign w:val="subscript"/>
              </w:rPr>
              <w:t>3</w:t>
            </w:r>
            <w:r>
              <w:rPr>
                <w:rFonts w:hint="default" w:ascii="Times New Roman" w:hAnsi="Times New Roman" w:eastAsia="宋体" w:cs="Times New Roman"/>
                <w:bCs/>
                <w:color w:val="auto"/>
                <w:sz w:val="21"/>
                <w:szCs w:val="21"/>
                <w:highlight w:val="none"/>
              </w:rPr>
              <w:t>-N</w:t>
            </w:r>
          </w:p>
        </w:tc>
        <w:tc>
          <w:tcPr>
            <w:tcW w:w="1555" w:type="dxa"/>
            <w:vMerge w:val="continue"/>
            <w:noWrap w:val="0"/>
            <w:vAlign w:val="center"/>
          </w:tcPr>
          <w:p w14:paraId="438C097E">
            <w:pPr>
              <w:shd w:val="clear"/>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2455" w:type="dxa"/>
            <w:gridSpan w:val="2"/>
            <w:vMerge w:val="continue"/>
            <w:noWrap w:val="0"/>
            <w:vAlign w:val="center"/>
          </w:tcPr>
          <w:p w14:paraId="7C089A0C">
            <w:pPr>
              <w:shd w:val="clear"/>
              <w:adjustRightInd w:val="0"/>
              <w:snapToGrid w:val="0"/>
              <w:spacing w:line="240" w:lineRule="auto"/>
              <w:jc w:val="center"/>
              <w:rPr>
                <w:rFonts w:hint="default" w:ascii="Times New Roman" w:hAnsi="Times New Roman" w:eastAsia="宋体" w:cs="Times New Roman"/>
                <w:color w:val="auto"/>
                <w:sz w:val="21"/>
                <w:szCs w:val="21"/>
                <w:highlight w:val="none"/>
              </w:rPr>
            </w:pPr>
          </w:p>
        </w:tc>
      </w:tr>
      <w:tr w14:paraId="61B7E9B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88" w:hRule="atLeast"/>
          <w:jc w:val="center"/>
        </w:trPr>
        <w:tc>
          <w:tcPr>
            <w:tcW w:w="1778" w:type="dxa"/>
            <w:vMerge w:val="continue"/>
            <w:noWrap w:val="0"/>
            <w:vAlign w:val="center"/>
          </w:tcPr>
          <w:p w14:paraId="45B8B72E">
            <w:pPr>
              <w:shd w:val="clear"/>
              <w:adjustRightInd w:val="0"/>
              <w:snapToGrid w:val="0"/>
              <w:spacing w:line="360" w:lineRule="auto"/>
              <w:jc w:val="center"/>
              <w:rPr>
                <w:rFonts w:hint="default" w:ascii="Times New Roman" w:hAnsi="Times New Roman" w:eastAsia="宋体" w:cs="Times New Roman"/>
                <w:color w:val="auto"/>
                <w:sz w:val="21"/>
                <w:szCs w:val="21"/>
                <w:highlight w:val="none"/>
              </w:rPr>
            </w:pPr>
          </w:p>
        </w:tc>
        <w:tc>
          <w:tcPr>
            <w:tcW w:w="1755" w:type="dxa"/>
            <w:gridSpan w:val="2"/>
            <w:vMerge w:val="continue"/>
            <w:noWrap w:val="0"/>
            <w:vAlign w:val="center"/>
          </w:tcPr>
          <w:p w14:paraId="293290BA">
            <w:pPr>
              <w:shd w:val="clear"/>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1309" w:type="dxa"/>
            <w:noWrap w:val="0"/>
            <w:vAlign w:val="center"/>
          </w:tcPr>
          <w:p w14:paraId="5987C713">
            <w:pPr>
              <w:shd w:val="clear"/>
              <w:spacing w:line="240" w:lineRule="auto"/>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总铜</w:t>
            </w:r>
          </w:p>
        </w:tc>
        <w:tc>
          <w:tcPr>
            <w:tcW w:w="1555" w:type="dxa"/>
            <w:vMerge w:val="continue"/>
            <w:noWrap w:val="0"/>
            <w:vAlign w:val="center"/>
          </w:tcPr>
          <w:p w14:paraId="521D8F7C">
            <w:pPr>
              <w:shd w:val="clear"/>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2455" w:type="dxa"/>
            <w:gridSpan w:val="2"/>
            <w:vMerge w:val="continue"/>
            <w:noWrap w:val="0"/>
            <w:vAlign w:val="center"/>
          </w:tcPr>
          <w:p w14:paraId="304927BC">
            <w:pPr>
              <w:shd w:val="clear"/>
              <w:adjustRightInd w:val="0"/>
              <w:snapToGrid w:val="0"/>
              <w:spacing w:line="240" w:lineRule="auto"/>
              <w:jc w:val="center"/>
              <w:rPr>
                <w:rFonts w:hint="default" w:ascii="Times New Roman" w:hAnsi="Times New Roman" w:eastAsia="宋体" w:cs="Times New Roman"/>
                <w:color w:val="auto"/>
                <w:sz w:val="21"/>
                <w:szCs w:val="21"/>
                <w:highlight w:val="none"/>
              </w:rPr>
            </w:pPr>
          </w:p>
        </w:tc>
      </w:tr>
      <w:tr w14:paraId="7B89C1E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88" w:hRule="atLeast"/>
          <w:jc w:val="center"/>
        </w:trPr>
        <w:tc>
          <w:tcPr>
            <w:tcW w:w="1778" w:type="dxa"/>
            <w:vMerge w:val="continue"/>
            <w:noWrap w:val="0"/>
            <w:vAlign w:val="center"/>
          </w:tcPr>
          <w:p w14:paraId="65FED6E9">
            <w:pPr>
              <w:shd w:val="clear"/>
              <w:adjustRightInd w:val="0"/>
              <w:snapToGrid w:val="0"/>
              <w:spacing w:line="360" w:lineRule="auto"/>
              <w:jc w:val="center"/>
              <w:rPr>
                <w:rFonts w:hint="default" w:ascii="Times New Roman" w:hAnsi="Times New Roman" w:eastAsia="宋体" w:cs="Times New Roman"/>
                <w:color w:val="auto"/>
                <w:sz w:val="21"/>
                <w:szCs w:val="21"/>
                <w:highlight w:val="none"/>
              </w:rPr>
            </w:pPr>
          </w:p>
        </w:tc>
        <w:tc>
          <w:tcPr>
            <w:tcW w:w="1755" w:type="dxa"/>
            <w:gridSpan w:val="2"/>
            <w:vMerge w:val="continue"/>
            <w:noWrap w:val="0"/>
            <w:vAlign w:val="center"/>
          </w:tcPr>
          <w:p w14:paraId="018B841E">
            <w:pPr>
              <w:shd w:val="clear"/>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1309" w:type="dxa"/>
            <w:noWrap w:val="0"/>
            <w:vAlign w:val="center"/>
          </w:tcPr>
          <w:p w14:paraId="3AC34EDC">
            <w:pPr>
              <w:shd w:val="clear"/>
              <w:spacing w:line="240" w:lineRule="auto"/>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磷酸盐</w:t>
            </w:r>
          </w:p>
        </w:tc>
        <w:tc>
          <w:tcPr>
            <w:tcW w:w="1555" w:type="dxa"/>
            <w:vMerge w:val="continue"/>
            <w:noWrap w:val="0"/>
            <w:vAlign w:val="center"/>
          </w:tcPr>
          <w:p w14:paraId="0E72BC3D">
            <w:pPr>
              <w:shd w:val="clear"/>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2455" w:type="dxa"/>
            <w:gridSpan w:val="2"/>
            <w:vMerge w:val="continue"/>
            <w:noWrap w:val="0"/>
            <w:vAlign w:val="center"/>
          </w:tcPr>
          <w:p w14:paraId="5A170C52">
            <w:pPr>
              <w:shd w:val="clear"/>
              <w:adjustRightInd w:val="0"/>
              <w:snapToGrid w:val="0"/>
              <w:spacing w:line="240" w:lineRule="auto"/>
              <w:jc w:val="center"/>
              <w:rPr>
                <w:rFonts w:hint="default" w:ascii="Times New Roman" w:hAnsi="Times New Roman" w:eastAsia="宋体" w:cs="Times New Roman"/>
                <w:color w:val="auto"/>
                <w:sz w:val="21"/>
                <w:szCs w:val="21"/>
                <w:highlight w:val="none"/>
              </w:rPr>
            </w:pPr>
          </w:p>
        </w:tc>
      </w:tr>
      <w:tr w14:paraId="7379DCB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70" w:hRule="atLeast"/>
          <w:jc w:val="center"/>
        </w:trPr>
        <w:tc>
          <w:tcPr>
            <w:tcW w:w="1778" w:type="dxa"/>
            <w:noWrap w:val="0"/>
            <w:vAlign w:val="center"/>
          </w:tcPr>
          <w:p w14:paraId="30A3A0C5">
            <w:pPr>
              <w:shd w:val="clear"/>
              <w:adjustRightInd w:val="0"/>
              <w:snapToGrid w:val="0"/>
              <w:spacing w:line="36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声环境</w:t>
            </w:r>
          </w:p>
        </w:tc>
        <w:tc>
          <w:tcPr>
            <w:tcW w:w="1755" w:type="dxa"/>
            <w:gridSpan w:val="2"/>
            <w:noWrap w:val="0"/>
            <w:vAlign w:val="center"/>
          </w:tcPr>
          <w:p w14:paraId="56C88F97">
            <w:pPr>
              <w:shd w:val="clear"/>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生产设备</w:t>
            </w:r>
          </w:p>
        </w:tc>
        <w:tc>
          <w:tcPr>
            <w:tcW w:w="1309" w:type="dxa"/>
            <w:noWrap w:val="0"/>
            <w:vAlign w:val="center"/>
          </w:tcPr>
          <w:p w14:paraId="3215EC51">
            <w:pPr>
              <w:pStyle w:val="74"/>
              <w:keepNext w:val="0"/>
              <w:keepLines w:val="0"/>
              <w:pageBreakBefore w:val="0"/>
              <w:widowControl w:val="0"/>
              <w:shd w:val="clear"/>
              <w:kinsoku/>
              <w:wordWrap/>
              <w:overflowPunct/>
              <w:topLinePunct w:val="0"/>
              <w:autoSpaceDE/>
              <w:autoSpaceDN/>
              <w:bidi w:val="0"/>
              <w:adjustRightInd/>
              <w:snapToGrid/>
              <w:spacing w:line="240" w:lineRule="auto"/>
              <w:ind w:right="0" w:rightChars="0"/>
              <w:jc w:val="center"/>
              <w:textAlignment w:val="auto"/>
              <w:rPr>
                <w:rFonts w:hint="default" w:ascii="Times New Roman" w:hAnsi="Times New Roman" w:eastAsia="宋体" w:cs="Times New Roman"/>
                <w:color w:val="auto"/>
                <w:spacing w:val="-44"/>
                <w:sz w:val="21"/>
                <w:szCs w:val="21"/>
                <w:highlight w:val="none"/>
                <w:lang w:eastAsia="zh-CN"/>
              </w:rPr>
            </w:pPr>
            <w:r>
              <w:rPr>
                <w:rFonts w:hint="default" w:ascii="Times New Roman" w:hAnsi="Times New Roman" w:eastAsia="宋体" w:cs="Times New Roman"/>
                <w:color w:val="auto"/>
                <w:spacing w:val="6"/>
                <w:sz w:val="21"/>
                <w:szCs w:val="21"/>
                <w:highlight w:val="none"/>
              </w:rPr>
              <w:t>等效连续</w:t>
            </w:r>
          </w:p>
          <w:p w14:paraId="318CE04C">
            <w:pPr>
              <w:shd w:val="clear"/>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6"/>
                <w:sz w:val="21"/>
                <w:szCs w:val="21"/>
                <w:highlight w:val="none"/>
              </w:rPr>
              <w:t>A</w:t>
            </w:r>
            <w:r>
              <w:rPr>
                <w:rFonts w:hint="default" w:ascii="Times New Roman" w:hAnsi="Times New Roman" w:eastAsia="宋体" w:cs="Times New Roman"/>
                <w:color w:val="auto"/>
                <w:spacing w:val="2"/>
                <w:sz w:val="21"/>
                <w:szCs w:val="21"/>
                <w:highlight w:val="none"/>
              </w:rPr>
              <w:t>声级</w:t>
            </w:r>
          </w:p>
        </w:tc>
        <w:tc>
          <w:tcPr>
            <w:tcW w:w="1555" w:type="dxa"/>
            <w:noWrap w:val="0"/>
            <w:vAlign w:val="center"/>
          </w:tcPr>
          <w:p w14:paraId="26F2BF06">
            <w:pPr>
              <w:pStyle w:val="74"/>
              <w:shd w:val="clear"/>
              <w:spacing w:before="177" w:line="240" w:lineRule="auto"/>
              <w:ind w:right="73" w:rightChars="0"/>
              <w:jc w:val="both"/>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5"/>
                <w:sz w:val="21"/>
                <w:szCs w:val="21"/>
                <w:highlight w:val="none"/>
              </w:rPr>
              <w:t>优先选用低噪声设备、</w:t>
            </w:r>
            <w:r>
              <w:rPr>
                <w:rFonts w:hint="default" w:ascii="Times New Roman" w:hAnsi="Times New Roman" w:eastAsia="宋体" w:cs="Times New Roman"/>
                <w:color w:val="auto"/>
                <w:spacing w:val="2"/>
                <w:sz w:val="21"/>
                <w:szCs w:val="21"/>
                <w:highlight w:val="none"/>
              </w:rPr>
              <w:t>加强设备维护保养、墙</w:t>
            </w:r>
            <w:r>
              <w:rPr>
                <w:rFonts w:hint="default" w:ascii="Times New Roman" w:hAnsi="Times New Roman" w:eastAsia="宋体" w:cs="Times New Roman"/>
                <w:color w:val="auto"/>
                <w:spacing w:val="17"/>
                <w:sz w:val="21"/>
                <w:szCs w:val="21"/>
                <w:highlight w:val="none"/>
              </w:rPr>
              <w:t>体隔声、减</w:t>
            </w:r>
            <w:r>
              <w:rPr>
                <w:rFonts w:hint="eastAsia" w:ascii="Times New Roman" w:hAnsi="Times New Roman" w:cs="Times New Roman"/>
                <w:color w:val="auto"/>
                <w:spacing w:val="17"/>
                <w:sz w:val="21"/>
                <w:szCs w:val="21"/>
                <w:highlight w:val="none"/>
                <w:lang w:val="en-US" w:eastAsia="zh-CN"/>
              </w:rPr>
              <w:t>振</w:t>
            </w:r>
            <w:r>
              <w:rPr>
                <w:rFonts w:hint="default" w:ascii="Times New Roman" w:hAnsi="Times New Roman" w:eastAsia="宋体" w:cs="Times New Roman"/>
                <w:color w:val="auto"/>
                <w:spacing w:val="17"/>
                <w:sz w:val="21"/>
                <w:szCs w:val="21"/>
                <w:highlight w:val="none"/>
              </w:rPr>
              <w:t>基础等</w:t>
            </w:r>
          </w:p>
        </w:tc>
        <w:tc>
          <w:tcPr>
            <w:tcW w:w="2455" w:type="dxa"/>
            <w:gridSpan w:val="2"/>
            <w:noWrap w:val="0"/>
            <w:vAlign w:val="center"/>
          </w:tcPr>
          <w:p w14:paraId="3BA4E240">
            <w:pPr>
              <w:pStyle w:val="74"/>
              <w:shd w:val="clear"/>
              <w:spacing w:before="45"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8"/>
                <w:sz w:val="21"/>
                <w:szCs w:val="21"/>
                <w:highlight w:val="none"/>
                <w:lang w:val="en-US" w:eastAsia="zh-CN"/>
              </w:rPr>
              <w:t>厂界执行《工业企业厂界环境噪声排放标准》（GB12348-2008）3类标准。</w:t>
            </w:r>
            <w:r>
              <w:rPr>
                <w:rFonts w:hint="default" w:ascii="Times New Roman" w:hAnsi="Times New Roman" w:cs="Times New Roman"/>
                <w:color w:val="auto"/>
                <w:spacing w:val="8"/>
                <w:sz w:val="21"/>
                <w:szCs w:val="21"/>
                <w:highlight w:val="none"/>
                <w:lang w:val="en-US" w:eastAsia="zh-CN"/>
              </w:rPr>
              <w:t>（</w:t>
            </w:r>
            <w:r>
              <w:rPr>
                <w:rFonts w:hint="default" w:ascii="Times New Roman" w:hAnsi="Times New Roman" w:eastAsia="宋体" w:cs="Times New Roman"/>
                <w:bCs/>
                <w:color w:val="auto"/>
                <w:sz w:val="21"/>
                <w:szCs w:val="21"/>
                <w:highlight w:val="none"/>
              </w:rPr>
              <w:t>昼间噪声限值</w:t>
            </w:r>
            <w:r>
              <w:rPr>
                <w:rFonts w:hint="default" w:ascii="Times New Roman" w:hAnsi="Times New Roman" w:eastAsia="宋体" w:cs="Times New Roman"/>
                <w:bCs/>
                <w:color w:val="auto"/>
                <w:sz w:val="21"/>
                <w:szCs w:val="21"/>
                <w:highlight w:val="none"/>
                <w:lang w:val="en-US" w:eastAsia="zh-CN"/>
              </w:rPr>
              <w:t>65</w:t>
            </w:r>
            <w:r>
              <w:rPr>
                <w:rFonts w:hint="default" w:ascii="Times New Roman" w:hAnsi="Times New Roman" w:eastAsia="宋体" w:cs="Times New Roman"/>
                <w:bCs/>
                <w:color w:val="auto"/>
                <w:sz w:val="21"/>
                <w:szCs w:val="21"/>
                <w:highlight w:val="none"/>
              </w:rPr>
              <w:t>dB(A)</w:t>
            </w:r>
            <w:r>
              <w:rPr>
                <w:rFonts w:hint="default" w:ascii="Times New Roman" w:hAnsi="Times New Roman" w:cs="Times New Roman"/>
                <w:bCs/>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夜间</w:t>
            </w:r>
            <w:r>
              <w:rPr>
                <w:rFonts w:hint="eastAsia" w:ascii="Times New Roman" w:hAnsi="Times New Roman" w:cs="Times New Roman"/>
                <w:color w:val="auto"/>
                <w:sz w:val="21"/>
                <w:szCs w:val="21"/>
                <w:highlight w:val="none"/>
                <w:lang w:val="en-US" w:eastAsia="zh-CN"/>
              </w:rPr>
              <w:t>不生产</w:t>
            </w:r>
            <w:r>
              <w:rPr>
                <w:rFonts w:hint="default" w:ascii="Times New Roman" w:hAnsi="Times New Roman" w:cs="Times New Roman"/>
                <w:color w:val="auto"/>
                <w:spacing w:val="8"/>
                <w:sz w:val="21"/>
                <w:szCs w:val="21"/>
                <w:highlight w:val="none"/>
                <w:lang w:val="en-US" w:eastAsia="zh-CN"/>
              </w:rPr>
              <w:t>）</w:t>
            </w:r>
          </w:p>
        </w:tc>
      </w:tr>
      <w:tr w14:paraId="1769EFD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20" w:hRule="atLeast"/>
          <w:jc w:val="center"/>
        </w:trPr>
        <w:tc>
          <w:tcPr>
            <w:tcW w:w="1778" w:type="dxa"/>
            <w:vMerge w:val="restart"/>
            <w:noWrap w:val="0"/>
            <w:vAlign w:val="center"/>
          </w:tcPr>
          <w:p w14:paraId="000696DD">
            <w:pPr>
              <w:shd w:val="clear"/>
              <w:adjustRightInd w:val="0"/>
              <w:snapToGrid w:val="0"/>
              <w:spacing w:line="36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固体废物</w:t>
            </w:r>
          </w:p>
        </w:tc>
        <w:tc>
          <w:tcPr>
            <w:tcW w:w="1755" w:type="dxa"/>
            <w:gridSpan w:val="2"/>
            <w:noWrap w:val="0"/>
            <w:vAlign w:val="center"/>
          </w:tcPr>
          <w:p w14:paraId="47EF7D33">
            <w:pPr>
              <w:shd w:val="clear"/>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员工生活</w:t>
            </w:r>
          </w:p>
        </w:tc>
        <w:tc>
          <w:tcPr>
            <w:tcW w:w="1309" w:type="dxa"/>
            <w:noWrap w:val="0"/>
            <w:vAlign w:val="center"/>
          </w:tcPr>
          <w:p w14:paraId="69871BC4">
            <w:pPr>
              <w:shd w:val="clear"/>
              <w:spacing w:line="240" w:lineRule="auto"/>
              <w:ind w:firstLine="32"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生活垃圾</w:t>
            </w:r>
          </w:p>
        </w:tc>
        <w:tc>
          <w:tcPr>
            <w:tcW w:w="1555" w:type="dxa"/>
            <w:noWrap w:val="0"/>
            <w:vAlign w:val="center"/>
          </w:tcPr>
          <w:p w14:paraId="4C5C6B79">
            <w:pPr>
              <w:pStyle w:val="74"/>
              <w:shd w:val="clear"/>
              <w:spacing w:before="177" w:line="240" w:lineRule="auto"/>
              <w:ind w:right="73" w:rightChars="0"/>
              <w:jc w:val="both"/>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交环卫部门统一清运</w:t>
            </w:r>
          </w:p>
        </w:tc>
        <w:tc>
          <w:tcPr>
            <w:tcW w:w="2455" w:type="dxa"/>
            <w:gridSpan w:val="2"/>
            <w:vMerge w:val="restart"/>
            <w:noWrap w:val="0"/>
            <w:vAlign w:val="center"/>
          </w:tcPr>
          <w:p w14:paraId="04B1C9A1">
            <w:pPr>
              <w:shd w:val="clear"/>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8"/>
                <w:sz w:val="21"/>
                <w:szCs w:val="21"/>
                <w:highlight w:val="none"/>
                <w:lang w:val="en-US" w:eastAsia="zh-CN"/>
              </w:rPr>
              <w:t>符合环保要求</w:t>
            </w:r>
          </w:p>
        </w:tc>
      </w:tr>
      <w:tr w14:paraId="2EFAC03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31" w:hRule="atLeast"/>
          <w:jc w:val="center"/>
        </w:trPr>
        <w:tc>
          <w:tcPr>
            <w:tcW w:w="1778" w:type="dxa"/>
            <w:vMerge w:val="continue"/>
            <w:noWrap w:val="0"/>
            <w:vAlign w:val="center"/>
          </w:tcPr>
          <w:p w14:paraId="6198029A">
            <w:pPr>
              <w:shd w:val="clear"/>
              <w:adjustRightInd w:val="0"/>
              <w:snapToGrid w:val="0"/>
              <w:spacing w:line="360" w:lineRule="auto"/>
              <w:jc w:val="center"/>
              <w:rPr>
                <w:rFonts w:hint="default" w:ascii="Times New Roman" w:hAnsi="Times New Roman" w:eastAsia="宋体" w:cs="Times New Roman"/>
                <w:color w:val="auto"/>
                <w:sz w:val="21"/>
                <w:szCs w:val="21"/>
                <w:highlight w:val="none"/>
              </w:rPr>
            </w:pPr>
          </w:p>
        </w:tc>
        <w:tc>
          <w:tcPr>
            <w:tcW w:w="1755" w:type="dxa"/>
            <w:gridSpan w:val="2"/>
            <w:vMerge w:val="restart"/>
            <w:noWrap w:val="0"/>
            <w:vAlign w:val="center"/>
          </w:tcPr>
          <w:p w14:paraId="11B0377E">
            <w:pPr>
              <w:shd w:val="clear"/>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一般固体废物</w:t>
            </w:r>
          </w:p>
        </w:tc>
        <w:tc>
          <w:tcPr>
            <w:tcW w:w="1309" w:type="dxa"/>
            <w:noWrap w:val="0"/>
            <w:vAlign w:val="center"/>
          </w:tcPr>
          <w:p w14:paraId="3AF1AF7B">
            <w:pPr>
              <w:keepNext w:val="0"/>
              <w:keepLines w:val="0"/>
              <w:pageBreakBefore w:val="0"/>
              <w:shd w:val="clear"/>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rPr>
            </w:pPr>
            <w:r>
              <w:rPr>
                <w:rFonts w:hint="eastAsia" w:cs="Times New Roman"/>
                <w:color w:val="auto"/>
                <w:sz w:val="21"/>
                <w:szCs w:val="21"/>
                <w:highlight w:val="none"/>
                <w:lang w:val="en-US" w:eastAsia="zh-CN"/>
              </w:rPr>
              <w:t>废反渗透膜</w:t>
            </w:r>
          </w:p>
        </w:tc>
        <w:tc>
          <w:tcPr>
            <w:tcW w:w="1555" w:type="dxa"/>
            <w:vMerge w:val="restart"/>
            <w:noWrap w:val="0"/>
            <w:vAlign w:val="center"/>
          </w:tcPr>
          <w:p w14:paraId="7BDFEFFF">
            <w:pPr>
              <w:pStyle w:val="74"/>
              <w:shd w:val="clear"/>
              <w:spacing w:before="177" w:line="240" w:lineRule="auto"/>
              <w:ind w:right="73" w:rightChars="0"/>
              <w:jc w:val="both"/>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交</w:t>
            </w:r>
            <w:r>
              <w:rPr>
                <w:rFonts w:hint="default" w:ascii="Times New Roman" w:hAnsi="Times New Roman" w:eastAsia="宋体" w:cs="Times New Roman"/>
                <w:color w:val="auto"/>
                <w:sz w:val="21"/>
                <w:szCs w:val="21"/>
                <w:highlight w:val="none"/>
                <w:lang w:val="en-US" w:eastAsia="zh-CN"/>
              </w:rPr>
              <w:t>具有</w:t>
            </w:r>
            <w:r>
              <w:rPr>
                <w:rFonts w:hint="default" w:ascii="Times New Roman" w:hAnsi="Times New Roman" w:eastAsia="宋体" w:cs="Times New Roman"/>
                <w:color w:val="auto"/>
                <w:sz w:val="21"/>
                <w:szCs w:val="21"/>
                <w:highlight w:val="none"/>
              </w:rPr>
              <w:t>一般工业固废处理能力的单位处理</w:t>
            </w:r>
          </w:p>
        </w:tc>
        <w:tc>
          <w:tcPr>
            <w:tcW w:w="2455" w:type="dxa"/>
            <w:gridSpan w:val="2"/>
            <w:vMerge w:val="continue"/>
            <w:noWrap w:val="0"/>
            <w:vAlign w:val="center"/>
          </w:tcPr>
          <w:p w14:paraId="6464B009">
            <w:pPr>
              <w:shd w:val="clear"/>
              <w:adjustRightInd w:val="0"/>
              <w:snapToGrid w:val="0"/>
              <w:spacing w:line="360" w:lineRule="auto"/>
              <w:jc w:val="center"/>
              <w:rPr>
                <w:rFonts w:hint="default" w:ascii="Times New Roman" w:hAnsi="Times New Roman" w:eastAsia="宋体" w:cs="Times New Roman"/>
                <w:color w:val="auto"/>
                <w:sz w:val="21"/>
                <w:szCs w:val="21"/>
                <w:highlight w:val="none"/>
              </w:rPr>
            </w:pPr>
          </w:p>
        </w:tc>
      </w:tr>
      <w:tr w14:paraId="48B92BB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88" w:hRule="atLeast"/>
          <w:jc w:val="center"/>
        </w:trPr>
        <w:tc>
          <w:tcPr>
            <w:tcW w:w="1778" w:type="dxa"/>
            <w:vMerge w:val="continue"/>
            <w:noWrap w:val="0"/>
            <w:vAlign w:val="center"/>
          </w:tcPr>
          <w:p w14:paraId="580BE765">
            <w:pPr>
              <w:keepNext w:val="0"/>
              <w:keepLines w:val="0"/>
              <w:pageBreakBefore w:val="0"/>
              <w:shd w:val="clear"/>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1755" w:type="dxa"/>
            <w:gridSpan w:val="2"/>
            <w:vMerge w:val="continue"/>
            <w:noWrap w:val="0"/>
            <w:vAlign w:val="center"/>
          </w:tcPr>
          <w:p w14:paraId="4FEE4DFF">
            <w:pPr>
              <w:keepNext w:val="0"/>
              <w:keepLines w:val="0"/>
              <w:pageBreakBefore w:val="0"/>
              <w:shd w:val="clear"/>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1309" w:type="dxa"/>
            <w:noWrap w:val="0"/>
            <w:vAlign w:val="center"/>
          </w:tcPr>
          <w:p w14:paraId="016C705F">
            <w:pPr>
              <w:keepNext w:val="0"/>
              <w:keepLines w:val="0"/>
              <w:pageBreakBefore w:val="0"/>
              <w:shd w:val="clear"/>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废样品</w:t>
            </w:r>
          </w:p>
        </w:tc>
        <w:tc>
          <w:tcPr>
            <w:tcW w:w="1555" w:type="dxa"/>
            <w:vMerge w:val="continue"/>
            <w:noWrap w:val="0"/>
            <w:vAlign w:val="center"/>
          </w:tcPr>
          <w:p w14:paraId="193D5D1A">
            <w:pPr>
              <w:keepNext w:val="0"/>
              <w:keepLines w:val="0"/>
              <w:pageBreakBefore w:val="0"/>
              <w:shd w:val="clear"/>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2455" w:type="dxa"/>
            <w:gridSpan w:val="2"/>
            <w:vMerge w:val="continue"/>
            <w:noWrap w:val="0"/>
            <w:vAlign w:val="center"/>
          </w:tcPr>
          <w:p w14:paraId="53A625D0">
            <w:pPr>
              <w:keepNext w:val="0"/>
              <w:keepLines w:val="0"/>
              <w:pageBreakBefore w:val="0"/>
              <w:shd w:val="clear"/>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r>
      <w:tr w14:paraId="5EB3396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88" w:hRule="atLeast"/>
          <w:jc w:val="center"/>
        </w:trPr>
        <w:tc>
          <w:tcPr>
            <w:tcW w:w="1778" w:type="dxa"/>
            <w:vMerge w:val="continue"/>
            <w:noWrap w:val="0"/>
            <w:vAlign w:val="center"/>
          </w:tcPr>
          <w:p w14:paraId="749B4408">
            <w:pPr>
              <w:keepNext w:val="0"/>
              <w:keepLines w:val="0"/>
              <w:pageBreakBefore w:val="0"/>
              <w:shd w:val="clear"/>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1755" w:type="dxa"/>
            <w:gridSpan w:val="2"/>
            <w:vMerge w:val="continue"/>
            <w:noWrap w:val="0"/>
            <w:vAlign w:val="center"/>
          </w:tcPr>
          <w:p w14:paraId="1D16ABC7">
            <w:pPr>
              <w:keepNext w:val="0"/>
              <w:keepLines w:val="0"/>
              <w:pageBreakBefore w:val="0"/>
              <w:shd w:val="clear"/>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1309" w:type="dxa"/>
            <w:noWrap w:val="0"/>
            <w:vAlign w:val="center"/>
          </w:tcPr>
          <w:p w14:paraId="49192C67">
            <w:pPr>
              <w:keepNext w:val="0"/>
              <w:keepLines w:val="0"/>
              <w:pageBreakBefore w:val="0"/>
              <w:shd w:val="clear"/>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废包装材料</w:t>
            </w:r>
          </w:p>
        </w:tc>
        <w:tc>
          <w:tcPr>
            <w:tcW w:w="1555" w:type="dxa"/>
            <w:vMerge w:val="continue"/>
            <w:noWrap w:val="0"/>
            <w:vAlign w:val="center"/>
          </w:tcPr>
          <w:p w14:paraId="1AEDC9F7">
            <w:pPr>
              <w:keepNext w:val="0"/>
              <w:keepLines w:val="0"/>
              <w:pageBreakBefore w:val="0"/>
              <w:shd w:val="clear"/>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2455" w:type="dxa"/>
            <w:gridSpan w:val="2"/>
            <w:vMerge w:val="continue"/>
            <w:noWrap w:val="0"/>
            <w:vAlign w:val="center"/>
          </w:tcPr>
          <w:p w14:paraId="0C1AC109">
            <w:pPr>
              <w:keepNext w:val="0"/>
              <w:keepLines w:val="0"/>
              <w:pageBreakBefore w:val="0"/>
              <w:shd w:val="clear"/>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r>
      <w:tr w14:paraId="19ACAD9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88" w:hRule="atLeast"/>
          <w:jc w:val="center"/>
        </w:trPr>
        <w:tc>
          <w:tcPr>
            <w:tcW w:w="1778" w:type="dxa"/>
            <w:vMerge w:val="continue"/>
            <w:noWrap w:val="0"/>
            <w:vAlign w:val="center"/>
          </w:tcPr>
          <w:p w14:paraId="34C031CD">
            <w:pPr>
              <w:keepNext w:val="0"/>
              <w:keepLines w:val="0"/>
              <w:pageBreakBefore w:val="0"/>
              <w:shd w:val="clear"/>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1755" w:type="dxa"/>
            <w:gridSpan w:val="2"/>
            <w:vMerge w:val="continue"/>
            <w:noWrap w:val="0"/>
            <w:vAlign w:val="center"/>
          </w:tcPr>
          <w:p w14:paraId="2E497D0E">
            <w:pPr>
              <w:keepNext w:val="0"/>
              <w:keepLines w:val="0"/>
              <w:pageBreakBefore w:val="0"/>
              <w:shd w:val="clear"/>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1309" w:type="dxa"/>
            <w:noWrap w:val="0"/>
            <w:vAlign w:val="center"/>
          </w:tcPr>
          <w:p w14:paraId="7CD43657">
            <w:pPr>
              <w:keepNext w:val="0"/>
              <w:keepLines w:val="0"/>
              <w:pageBreakBefore w:val="0"/>
              <w:shd w:val="clear"/>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废气瓶</w:t>
            </w:r>
          </w:p>
        </w:tc>
        <w:tc>
          <w:tcPr>
            <w:tcW w:w="1555" w:type="dxa"/>
            <w:noWrap w:val="0"/>
            <w:vAlign w:val="center"/>
          </w:tcPr>
          <w:p w14:paraId="4E8EFD4D">
            <w:pPr>
              <w:keepNext w:val="0"/>
              <w:keepLines w:val="0"/>
              <w:pageBreakBefore w:val="0"/>
              <w:shd w:val="clear"/>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交回供应商回收利用</w:t>
            </w:r>
          </w:p>
        </w:tc>
        <w:tc>
          <w:tcPr>
            <w:tcW w:w="2455" w:type="dxa"/>
            <w:gridSpan w:val="2"/>
            <w:vMerge w:val="continue"/>
            <w:noWrap w:val="0"/>
            <w:vAlign w:val="center"/>
          </w:tcPr>
          <w:p w14:paraId="7B93AA1B">
            <w:pPr>
              <w:keepNext w:val="0"/>
              <w:keepLines w:val="0"/>
              <w:pageBreakBefore w:val="0"/>
              <w:shd w:val="clear"/>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r>
      <w:tr w14:paraId="3D288F8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69" w:hRule="atLeast"/>
          <w:jc w:val="center"/>
        </w:trPr>
        <w:tc>
          <w:tcPr>
            <w:tcW w:w="1778" w:type="dxa"/>
            <w:vMerge w:val="continue"/>
            <w:noWrap w:val="0"/>
            <w:vAlign w:val="center"/>
          </w:tcPr>
          <w:p w14:paraId="1B8218DB">
            <w:pPr>
              <w:keepNext w:val="0"/>
              <w:keepLines w:val="0"/>
              <w:pageBreakBefore w:val="0"/>
              <w:shd w:val="clear"/>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1755" w:type="dxa"/>
            <w:gridSpan w:val="2"/>
            <w:vMerge w:val="restart"/>
            <w:noWrap w:val="0"/>
            <w:vAlign w:val="center"/>
          </w:tcPr>
          <w:p w14:paraId="4BB3D419">
            <w:pPr>
              <w:keepNext w:val="0"/>
              <w:keepLines w:val="0"/>
              <w:pageBreakBefore w:val="0"/>
              <w:shd w:val="clear"/>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危险废物</w:t>
            </w:r>
          </w:p>
        </w:tc>
        <w:tc>
          <w:tcPr>
            <w:tcW w:w="1309" w:type="dxa"/>
            <w:noWrap w:val="0"/>
            <w:vAlign w:val="center"/>
          </w:tcPr>
          <w:p w14:paraId="0273B7D6">
            <w:pPr>
              <w:topLinePunct/>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kern w:val="0"/>
                <w:szCs w:val="21"/>
                <w:highlight w:val="none"/>
              </w:rPr>
              <w:t>实验废物</w:t>
            </w:r>
            <w:r>
              <w:rPr>
                <w:rFonts w:hint="eastAsia"/>
                <w:color w:val="auto"/>
                <w:highlight w:val="none"/>
                <w:lang w:eastAsia="zh-CN"/>
              </w:rPr>
              <w:t>（</w:t>
            </w:r>
            <w:r>
              <w:rPr>
                <w:rFonts w:hint="eastAsia"/>
                <w:color w:val="auto"/>
                <w:highlight w:val="none"/>
                <w:lang w:val="en-US" w:eastAsia="zh-CN"/>
              </w:rPr>
              <w:t>含废液</w:t>
            </w:r>
            <w:r>
              <w:rPr>
                <w:rFonts w:hint="eastAsia"/>
                <w:color w:val="auto"/>
                <w:highlight w:val="none"/>
                <w:lang w:eastAsia="zh-CN"/>
              </w:rPr>
              <w:t>）</w:t>
            </w:r>
          </w:p>
        </w:tc>
        <w:tc>
          <w:tcPr>
            <w:tcW w:w="1555" w:type="dxa"/>
            <w:vMerge w:val="restart"/>
            <w:noWrap w:val="0"/>
            <w:vAlign w:val="center"/>
          </w:tcPr>
          <w:p w14:paraId="73EF01F8">
            <w:pPr>
              <w:keepNext w:val="0"/>
              <w:keepLines w:val="0"/>
              <w:pageBreakBefore w:val="0"/>
              <w:shd w:val="clear"/>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交具有相关危险废物经营许可证的单位处理</w:t>
            </w:r>
          </w:p>
        </w:tc>
        <w:tc>
          <w:tcPr>
            <w:tcW w:w="2455" w:type="dxa"/>
            <w:gridSpan w:val="2"/>
            <w:vMerge w:val="continue"/>
            <w:noWrap w:val="0"/>
            <w:vAlign w:val="center"/>
          </w:tcPr>
          <w:p w14:paraId="07836913">
            <w:pPr>
              <w:keepNext w:val="0"/>
              <w:keepLines w:val="0"/>
              <w:pageBreakBefore w:val="0"/>
              <w:shd w:val="clear"/>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r>
      <w:tr w14:paraId="6F91D87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95" w:hRule="atLeast"/>
          <w:jc w:val="center"/>
        </w:trPr>
        <w:tc>
          <w:tcPr>
            <w:tcW w:w="1778" w:type="dxa"/>
            <w:vMerge w:val="continue"/>
            <w:noWrap w:val="0"/>
            <w:vAlign w:val="center"/>
          </w:tcPr>
          <w:p w14:paraId="2CCE2473">
            <w:pPr>
              <w:keepNext w:val="0"/>
              <w:keepLines w:val="0"/>
              <w:pageBreakBefore w:val="0"/>
              <w:shd w:val="clear"/>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1755" w:type="dxa"/>
            <w:gridSpan w:val="2"/>
            <w:vMerge w:val="continue"/>
            <w:noWrap w:val="0"/>
            <w:vAlign w:val="center"/>
          </w:tcPr>
          <w:p w14:paraId="42FCE4A2">
            <w:pPr>
              <w:keepNext w:val="0"/>
              <w:keepLines w:val="0"/>
              <w:pageBreakBefore w:val="0"/>
              <w:shd w:val="clear"/>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1309" w:type="dxa"/>
            <w:noWrap w:val="0"/>
            <w:vAlign w:val="center"/>
          </w:tcPr>
          <w:p w14:paraId="01F5CB64">
            <w:pPr>
              <w:topLinePunct/>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kern w:val="0"/>
                <w:szCs w:val="21"/>
                <w:highlight w:val="none"/>
              </w:rPr>
              <w:t>废</w:t>
            </w:r>
            <w:r>
              <w:rPr>
                <w:rFonts w:hint="eastAsia" w:cs="Times New Roman"/>
                <w:color w:val="auto"/>
                <w:kern w:val="0"/>
                <w:szCs w:val="21"/>
                <w:highlight w:val="none"/>
                <w:lang w:val="en-US" w:eastAsia="zh-CN"/>
              </w:rPr>
              <w:t>饱和</w:t>
            </w:r>
            <w:r>
              <w:rPr>
                <w:rFonts w:hint="default" w:ascii="Times New Roman" w:hAnsi="Times New Roman" w:cs="Times New Roman"/>
                <w:color w:val="auto"/>
                <w:kern w:val="0"/>
                <w:szCs w:val="21"/>
                <w:highlight w:val="none"/>
              </w:rPr>
              <w:t>活性炭</w:t>
            </w:r>
          </w:p>
        </w:tc>
        <w:tc>
          <w:tcPr>
            <w:tcW w:w="1555" w:type="dxa"/>
            <w:vMerge w:val="continue"/>
            <w:noWrap w:val="0"/>
            <w:vAlign w:val="center"/>
          </w:tcPr>
          <w:p w14:paraId="02F66C20">
            <w:pPr>
              <w:keepNext w:val="0"/>
              <w:keepLines w:val="0"/>
              <w:pageBreakBefore w:val="0"/>
              <w:shd w:val="clear"/>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2455" w:type="dxa"/>
            <w:gridSpan w:val="2"/>
            <w:vMerge w:val="continue"/>
            <w:noWrap w:val="0"/>
            <w:vAlign w:val="center"/>
          </w:tcPr>
          <w:p w14:paraId="7F0CD1ED">
            <w:pPr>
              <w:keepNext w:val="0"/>
              <w:keepLines w:val="0"/>
              <w:pageBreakBefore w:val="0"/>
              <w:shd w:val="clear"/>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r>
      <w:tr w14:paraId="54561F0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78" w:type="dxa"/>
            <w:vMerge w:val="continue"/>
            <w:noWrap w:val="0"/>
            <w:vAlign w:val="center"/>
          </w:tcPr>
          <w:p w14:paraId="07D4CAC5">
            <w:pPr>
              <w:shd w:val="clear"/>
              <w:adjustRightInd w:val="0"/>
              <w:snapToGrid w:val="0"/>
              <w:spacing w:line="360" w:lineRule="auto"/>
              <w:jc w:val="center"/>
              <w:rPr>
                <w:rFonts w:hint="default" w:ascii="Times New Roman" w:hAnsi="Times New Roman" w:eastAsia="宋体" w:cs="Times New Roman"/>
                <w:color w:val="auto"/>
                <w:sz w:val="21"/>
                <w:szCs w:val="21"/>
                <w:highlight w:val="none"/>
              </w:rPr>
            </w:pPr>
          </w:p>
        </w:tc>
        <w:tc>
          <w:tcPr>
            <w:tcW w:w="1755" w:type="dxa"/>
            <w:gridSpan w:val="2"/>
            <w:vMerge w:val="continue"/>
            <w:noWrap w:val="0"/>
            <w:vAlign w:val="center"/>
          </w:tcPr>
          <w:p w14:paraId="751587CE">
            <w:pPr>
              <w:shd w:val="clear"/>
              <w:adjustRightInd w:val="0"/>
              <w:snapToGrid w:val="0"/>
              <w:spacing w:line="360" w:lineRule="auto"/>
              <w:jc w:val="center"/>
              <w:rPr>
                <w:rFonts w:hint="default" w:ascii="Times New Roman" w:hAnsi="Times New Roman" w:eastAsia="宋体" w:cs="Times New Roman"/>
                <w:color w:val="auto"/>
                <w:sz w:val="21"/>
                <w:szCs w:val="21"/>
                <w:highlight w:val="none"/>
                <w:lang w:val="en-US" w:eastAsia="zh-CN"/>
              </w:rPr>
            </w:pPr>
          </w:p>
        </w:tc>
        <w:tc>
          <w:tcPr>
            <w:tcW w:w="1309" w:type="dxa"/>
            <w:noWrap w:val="0"/>
            <w:vAlign w:val="center"/>
          </w:tcPr>
          <w:p w14:paraId="0196803F">
            <w:pPr>
              <w:topLinePunct/>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color w:val="auto"/>
                <w:kern w:val="0"/>
                <w:szCs w:val="21"/>
                <w:highlight w:val="none"/>
                <w:lang w:val="en-US" w:eastAsia="zh-CN"/>
              </w:rPr>
              <w:t>废灯管</w:t>
            </w:r>
          </w:p>
        </w:tc>
        <w:tc>
          <w:tcPr>
            <w:tcW w:w="1555" w:type="dxa"/>
            <w:vMerge w:val="continue"/>
            <w:noWrap w:val="0"/>
            <w:vAlign w:val="center"/>
          </w:tcPr>
          <w:p w14:paraId="1333B081">
            <w:pPr>
              <w:shd w:val="clear"/>
              <w:adjustRightInd w:val="0"/>
              <w:snapToGrid w:val="0"/>
              <w:spacing w:line="360" w:lineRule="auto"/>
              <w:jc w:val="center"/>
              <w:rPr>
                <w:rFonts w:hint="default" w:ascii="Times New Roman" w:hAnsi="Times New Roman" w:eastAsia="宋体" w:cs="Times New Roman"/>
                <w:color w:val="auto"/>
                <w:sz w:val="21"/>
                <w:szCs w:val="21"/>
                <w:highlight w:val="none"/>
              </w:rPr>
            </w:pPr>
          </w:p>
        </w:tc>
        <w:tc>
          <w:tcPr>
            <w:tcW w:w="2455" w:type="dxa"/>
            <w:gridSpan w:val="2"/>
            <w:vMerge w:val="continue"/>
            <w:noWrap w:val="0"/>
            <w:vAlign w:val="center"/>
          </w:tcPr>
          <w:p w14:paraId="278DD761">
            <w:pPr>
              <w:shd w:val="clear"/>
              <w:adjustRightInd w:val="0"/>
              <w:snapToGrid w:val="0"/>
              <w:spacing w:line="360" w:lineRule="auto"/>
              <w:jc w:val="center"/>
              <w:rPr>
                <w:rFonts w:hint="default" w:ascii="Times New Roman" w:hAnsi="Times New Roman" w:eastAsia="宋体" w:cs="Times New Roman"/>
                <w:color w:val="auto"/>
                <w:sz w:val="21"/>
                <w:szCs w:val="21"/>
                <w:highlight w:val="none"/>
              </w:rPr>
            </w:pPr>
          </w:p>
        </w:tc>
      </w:tr>
      <w:tr w14:paraId="31EE823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78" w:type="dxa"/>
            <w:vMerge w:val="continue"/>
            <w:noWrap w:val="0"/>
            <w:vAlign w:val="center"/>
          </w:tcPr>
          <w:p w14:paraId="149AB301">
            <w:pPr>
              <w:shd w:val="clear"/>
              <w:adjustRightInd w:val="0"/>
              <w:snapToGrid w:val="0"/>
              <w:spacing w:line="360" w:lineRule="auto"/>
              <w:jc w:val="center"/>
              <w:rPr>
                <w:rFonts w:hint="default" w:ascii="Times New Roman" w:hAnsi="Times New Roman" w:eastAsia="宋体" w:cs="Times New Roman"/>
                <w:color w:val="auto"/>
                <w:sz w:val="21"/>
                <w:szCs w:val="21"/>
                <w:highlight w:val="none"/>
              </w:rPr>
            </w:pPr>
          </w:p>
        </w:tc>
        <w:tc>
          <w:tcPr>
            <w:tcW w:w="1755" w:type="dxa"/>
            <w:gridSpan w:val="2"/>
            <w:vMerge w:val="continue"/>
            <w:noWrap w:val="0"/>
            <w:vAlign w:val="center"/>
          </w:tcPr>
          <w:p w14:paraId="539CFAB3">
            <w:pPr>
              <w:shd w:val="clear"/>
              <w:adjustRightInd w:val="0"/>
              <w:snapToGrid w:val="0"/>
              <w:spacing w:line="360" w:lineRule="auto"/>
              <w:jc w:val="center"/>
              <w:rPr>
                <w:rFonts w:hint="default" w:ascii="Times New Roman" w:hAnsi="Times New Roman" w:eastAsia="宋体" w:cs="Times New Roman"/>
                <w:color w:val="auto"/>
                <w:sz w:val="21"/>
                <w:szCs w:val="21"/>
                <w:highlight w:val="none"/>
                <w:lang w:val="en-US" w:eastAsia="zh-CN"/>
              </w:rPr>
            </w:pPr>
          </w:p>
        </w:tc>
        <w:tc>
          <w:tcPr>
            <w:tcW w:w="1309" w:type="dxa"/>
            <w:noWrap w:val="0"/>
            <w:vAlign w:val="center"/>
          </w:tcPr>
          <w:p w14:paraId="5A52528F">
            <w:pPr>
              <w:topLinePunct/>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危废样品废物</w:t>
            </w:r>
          </w:p>
        </w:tc>
        <w:tc>
          <w:tcPr>
            <w:tcW w:w="1555" w:type="dxa"/>
            <w:vMerge w:val="continue"/>
            <w:noWrap w:val="0"/>
            <w:vAlign w:val="center"/>
          </w:tcPr>
          <w:p w14:paraId="0B893434">
            <w:pPr>
              <w:shd w:val="clear"/>
              <w:adjustRightInd w:val="0"/>
              <w:snapToGrid w:val="0"/>
              <w:spacing w:line="360" w:lineRule="auto"/>
              <w:jc w:val="center"/>
              <w:rPr>
                <w:rFonts w:hint="default" w:ascii="Times New Roman" w:hAnsi="Times New Roman" w:eastAsia="宋体" w:cs="Times New Roman"/>
                <w:color w:val="auto"/>
                <w:sz w:val="21"/>
                <w:szCs w:val="21"/>
                <w:highlight w:val="none"/>
              </w:rPr>
            </w:pPr>
          </w:p>
        </w:tc>
        <w:tc>
          <w:tcPr>
            <w:tcW w:w="2455" w:type="dxa"/>
            <w:gridSpan w:val="2"/>
            <w:vMerge w:val="continue"/>
            <w:noWrap w:val="0"/>
            <w:vAlign w:val="center"/>
          </w:tcPr>
          <w:p w14:paraId="05E56644">
            <w:pPr>
              <w:shd w:val="clear"/>
              <w:adjustRightInd w:val="0"/>
              <w:snapToGrid w:val="0"/>
              <w:spacing w:line="360" w:lineRule="auto"/>
              <w:jc w:val="center"/>
              <w:rPr>
                <w:rFonts w:hint="default" w:ascii="Times New Roman" w:hAnsi="Times New Roman" w:eastAsia="宋体" w:cs="Times New Roman"/>
                <w:color w:val="auto"/>
                <w:sz w:val="21"/>
                <w:szCs w:val="21"/>
                <w:highlight w:val="none"/>
              </w:rPr>
            </w:pPr>
          </w:p>
        </w:tc>
      </w:tr>
      <w:tr w14:paraId="1ACC02E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78" w:type="dxa"/>
            <w:vMerge w:val="continue"/>
            <w:noWrap w:val="0"/>
            <w:vAlign w:val="center"/>
          </w:tcPr>
          <w:p w14:paraId="2DE47531">
            <w:pPr>
              <w:shd w:val="clear"/>
              <w:adjustRightInd w:val="0"/>
              <w:snapToGrid w:val="0"/>
              <w:spacing w:line="360" w:lineRule="auto"/>
              <w:jc w:val="center"/>
              <w:rPr>
                <w:rFonts w:hint="default" w:ascii="Times New Roman" w:hAnsi="Times New Roman" w:eastAsia="宋体" w:cs="Times New Roman"/>
                <w:color w:val="auto"/>
                <w:sz w:val="21"/>
                <w:szCs w:val="21"/>
                <w:highlight w:val="none"/>
              </w:rPr>
            </w:pPr>
          </w:p>
        </w:tc>
        <w:tc>
          <w:tcPr>
            <w:tcW w:w="1755" w:type="dxa"/>
            <w:gridSpan w:val="2"/>
            <w:vMerge w:val="continue"/>
            <w:noWrap w:val="0"/>
            <w:vAlign w:val="center"/>
          </w:tcPr>
          <w:p w14:paraId="15F4CEC8">
            <w:pPr>
              <w:shd w:val="clear"/>
              <w:adjustRightInd w:val="0"/>
              <w:snapToGrid w:val="0"/>
              <w:spacing w:line="360" w:lineRule="auto"/>
              <w:jc w:val="center"/>
              <w:rPr>
                <w:rFonts w:hint="default" w:ascii="Times New Roman" w:hAnsi="Times New Roman" w:eastAsia="宋体" w:cs="Times New Roman"/>
                <w:color w:val="auto"/>
                <w:sz w:val="21"/>
                <w:szCs w:val="21"/>
                <w:highlight w:val="none"/>
                <w:lang w:val="en-US" w:eastAsia="zh-CN"/>
              </w:rPr>
            </w:pPr>
          </w:p>
        </w:tc>
        <w:tc>
          <w:tcPr>
            <w:tcW w:w="1309" w:type="dxa"/>
            <w:noWrap w:val="0"/>
            <w:vAlign w:val="center"/>
          </w:tcPr>
          <w:p w14:paraId="38698182">
            <w:pPr>
              <w:topLinePunct/>
              <w:adjustRightInd w:val="0"/>
              <w:snapToGrid w:val="0"/>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废试剂瓶</w:t>
            </w:r>
          </w:p>
        </w:tc>
        <w:tc>
          <w:tcPr>
            <w:tcW w:w="1555" w:type="dxa"/>
            <w:vMerge w:val="continue"/>
            <w:noWrap w:val="0"/>
            <w:vAlign w:val="center"/>
          </w:tcPr>
          <w:p w14:paraId="740A941C">
            <w:pPr>
              <w:shd w:val="clear"/>
              <w:adjustRightInd w:val="0"/>
              <w:snapToGrid w:val="0"/>
              <w:spacing w:line="360" w:lineRule="auto"/>
              <w:jc w:val="center"/>
              <w:rPr>
                <w:rFonts w:hint="default" w:ascii="Times New Roman" w:hAnsi="Times New Roman" w:eastAsia="宋体" w:cs="Times New Roman"/>
                <w:color w:val="auto"/>
                <w:sz w:val="21"/>
                <w:szCs w:val="21"/>
                <w:highlight w:val="none"/>
              </w:rPr>
            </w:pPr>
          </w:p>
        </w:tc>
        <w:tc>
          <w:tcPr>
            <w:tcW w:w="2455" w:type="dxa"/>
            <w:gridSpan w:val="2"/>
            <w:vMerge w:val="continue"/>
            <w:noWrap w:val="0"/>
            <w:vAlign w:val="center"/>
          </w:tcPr>
          <w:p w14:paraId="7F5A032A">
            <w:pPr>
              <w:shd w:val="clear"/>
              <w:adjustRightInd w:val="0"/>
              <w:snapToGrid w:val="0"/>
              <w:spacing w:line="360" w:lineRule="auto"/>
              <w:jc w:val="center"/>
              <w:rPr>
                <w:rFonts w:hint="default" w:ascii="Times New Roman" w:hAnsi="Times New Roman" w:eastAsia="宋体" w:cs="Times New Roman"/>
                <w:color w:val="auto"/>
                <w:sz w:val="21"/>
                <w:szCs w:val="21"/>
                <w:highlight w:val="none"/>
              </w:rPr>
            </w:pPr>
          </w:p>
        </w:tc>
      </w:tr>
      <w:tr w14:paraId="480197A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78" w:type="dxa"/>
            <w:vMerge w:val="continue"/>
            <w:noWrap w:val="0"/>
            <w:vAlign w:val="center"/>
          </w:tcPr>
          <w:p w14:paraId="5E8D2200">
            <w:pPr>
              <w:shd w:val="clear"/>
              <w:adjustRightInd w:val="0"/>
              <w:snapToGrid w:val="0"/>
              <w:spacing w:line="360" w:lineRule="auto"/>
              <w:jc w:val="center"/>
              <w:rPr>
                <w:rFonts w:hint="default" w:ascii="Times New Roman" w:hAnsi="Times New Roman" w:eastAsia="宋体" w:cs="Times New Roman"/>
                <w:color w:val="auto"/>
                <w:sz w:val="21"/>
                <w:szCs w:val="21"/>
                <w:highlight w:val="none"/>
              </w:rPr>
            </w:pPr>
          </w:p>
        </w:tc>
        <w:tc>
          <w:tcPr>
            <w:tcW w:w="1755" w:type="dxa"/>
            <w:gridSpan w:val="2"/>
            <w:vMerge w:val="continue"/>
            <w:noWrap w:val="0"/>
            <w:vAlign w:val="center"/>
          </w:tcPr>
          <w:p w14:paraId="47798BA4">
            <w:pPr>
              <w:shd w:val="clear"/>
              <w:adjustRightInd w:val="0"/>
              <w:snapToGrid w:val="0"/>
              <w:spacing w:line="360" w:lineRule="auto"/>
              <w:jc w:val="center"/>
              <w:rPr>
                <w:rFonts w:hint="default" w:ascii="Times New Roman" w:hAnsi="Times New Roman" w:eastAsia="宋体" w:cs="Times New Roman"/>
                <w:color w:val="auto"/>
                <w:sz w:val="21"/>
                <w:szCs w:val="21"/>
                <w:highlight w:val="none"/>
                <w:lang w:val="en-US" w:eastAsia="zh-CN"/>
              </w:rPr>
            </w:pPr>
          </w:p>
        </w:tc>
        <w:tc>
          <w:tcPr>
            <w:tcW w:w="1309" w:type="dxa"/>
            <w:noWrap w:val="0"/>
            <w:vAlign w:val="center"/>
          </w:tcPr>
          <w:p w14:paraId="1EB23697">
            <w:pPr>
              <w:topLinePunct/>
              <w:adjustRightInd w:val="0"/>
              <w:snapToGrid w:val="0"/>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沾染化学品的废包装袋</w:t>
            </w:r>
          </w:p>
        </w:tc>
        <w:tc>
          <w:tcPr>
            <w:tcW w:w="1555" w:type="dxa"/>
            <w:vMerge w:val="continue"/>
            <w:noWrap w:val="0"/>
            <w:vAlign w:val="center"/>
          </w:tcPr>
          <w:p w14:paraId="0C88E772">
            <w:pPr>
              <w:shd w:val="clear"/>
              <w:adjustRightInd w:val="0"/>
              <w:snapToGrid w:val="0"/>
              <w:spacing w:line="360" w:lineRule="auto"/>
              <w:jc w:val="center"/>
              <w:rPr>
                <w:rFonts w:hint="default" w:ascii="Times New Roman" w:hAnsi="Times New Roman" w:eastAsia="宋体" w:cs="Times New Roman"/>
                <w:color w:val="auto"/>
                <w:sz w:val="21"/>
                <w:szCs w:val="21"/>
                <w:highlight w:val="none"/>
              </w:rPr>
            </w:pPr>
          </w:p>
        </w:tc>
        <w:tc>
          <w:tcPr>
            <w:tcW w:w="2455" w:type="dxa"/>
            <w:gridSpan w:val="2"/>
            <w:vMerge w:val="continue"/>
            <w:noWrap w:val="0"/>
            <w:vAlign w:val="center"/>
          </w:tcPr>
          <w:p w14:paraId="2D812D00">
            <w:pPr>
              <w:shd w:val="clear"/>
              <w:adjustRightInd w:val="0"/>
              <w:snapToGrid w:val="0"/>
              <w:spacing w:line="360" w:lineRule="auto"/>
              <w:jc w:val="center"/>
              <w:rPr>
                <w:rFonts w:hint="default" w:ascii="Times New Roman" w:hAnsi="Times New Roman" w:eastAsia="宋体" w:cs="Times New Roman"/>
                <w:color w:val="auto"/>
                <w:sz w:val="21"/>
                <w:szCs w:val="21"/>
                <w:highlight w:val="none"/>
              </w:rPr>
            </w:pPr>
          </w:p>
        </w:tc>
      </w:tr>
      <w:tr w14:paraId="7717A2B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78" w:type="dxa"/>
            <w:vMerge w:val="continue"/>
            <w:noWrap w:val="0"/>
            <w:vAlign w:val="center"/>
          </w:tcPr>
          <w:p w14:paraId="0C7E353E">
            <w:pPr>
              <w:shd w:val="clear"/>
              <w:adjustRightInd w:val="0"/>
              <w:snapToGrid w:val="0"/>
              <w:spacing w:line="360" w:lineRule="auto"/>
              <w:jc w:val="center"/>
              <w:rPr>
                <w:rFonts w:hint="default" w:ascii="Times New Roman" w:hAnsi="Times New Roman" w:eastAsia="宋体" w:cs="Times New Roman"/>
                <w:color w:val="auto"/>
                <w:sz w:val="21"/>
                <w:szCs w:val="21"/>
                <w:highlight w:val="none"/>
              </w:rPr>
            </w:pPr>
          </w:p>
        </w:tc>
        <w:tc>
          <w:tcPr>
            <w:tcW w:w="1755" w:type="dxa"/>
            <w:gridSpan w:val="2"/>
            <w:vMerge w:val="continue"/>
            <w:noWrap w:val="0"/>
            <w:vAlign w:val="center"/>
          </w:tcPr>
          <w:p w14:paraId="5ECD31DB">
            <w:pPr>
              <w:shd w:val="clear"/>
              <w:adjustRightInd w:val="0"/>
              <w:snapToGrid w:val="0"/>
              <w:spacing w:line="360" w:lineRule="auto"/>
              <w:jc w:val="center"/>
              <w:rPr>
                <w:rFonts w:hint="default" w:ascii="Times New Roman" w:hAnsi="Times New Roman" w:eastAsia="宋体" w:cs="Times New Roman"/>
                <w:color w:val="auto"/>
                <w:sz w:val="21"/>
                <w:szCs w:val="21"/>
                <w:highlight w:val="none"/>
                <w:lang w:val="en-US" w:eastAsia="zh-CN"/>
              </w:rPr>
            </w:pPr>
          </w:p>
        </w:tc>
        <w:tc>
          <w:tcPr>
            <w:tcW w:w="1309" w:type="dxa"/>
            <w:noWrap w:val="0"/>
            <w:vAlign w:val="center"/>
          </w:tcPr>
          <w:p w14:paraId="372F9C16">
            <w:pPr>
              <w:shd w:val="clear"/>
              <w:spacing w:line="240" w:lineRule="auto"/>
              <w:jc w:val="center"/>
              <w:rPr>
                <w:rFonts w:hint="eastAsia"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废</w:t>
            </w:r>
            <w:r>
              <w:rPr>
                <w:rFonts w:hint="eastAsia" w:cs="Times New Roman"/>
                <w:color w:val="auto"/>
                <w:sz w:val="21"/>
                <w:szCs w:val="21"/>
                <w:highlight w:val="none"/>
                <w:lang w:val="en-US" w:eastAsia="zh-CN"/>
              </w:rPr>
              <w:t>机</w:t>
            </w:r>
            <w:r>
              <w:rPr>
                <w:rFonts w:hint="default" w:ascii="Times New Roman" w:hAnsi="Times New Roman" w:eastAsia="宋体" w:cs="Times New Roman"/>
                <w:color w:val="auto"/>
                <w:sz w:val="21"/>
                <w:szCs w:val="21"/>
                <w:highlight w:val="none"/>
              </w:rPr>
              <w:t>油</w:t>
            </w:r>
            <w:r>
              <w:rPr>
                <w:rFonts w:hint="default" w:ascii="Times New Roman" w:hAnsi="Times New Roman" w:eastAsia="宋体" w:cs="Times New Roman"/>
                <w:color w:val="auto"/>
                <w:sz w:val="21"/>
                <w:szCs w:val="21"/>
                <w:highlight w:val="none"/>
                <w:lang w:val="en-US" w:eastAsia="zh-CN"/>
              </w:rPr>
              <w:t>及其包装物</w:t>
            </w:r>
          </w:p>
        </w:tc>
        <w:tc>
          <w:tcPr>
            <w:tcW w:w="1555" w:type="dxa"/>
            <w:vMerge w:val="continue"/>
            <w:noWrap w:val="0"/>
            <w:vAlign w:val="center"/>
          </w:tcPr>
          <w:p w14:paraId="029682CB">
            <w:pPr>
              <w:shd w:val="clear"/>
              <w:adjustRightInd w:val="0"/>
              <w:snapToGrid w:val="0"/>
              <w:spacing w:line="360" w:lineRule="auto"/>
              <w:jc w:val="center"/>
              <w:rPr>
                <w:rFonts w:hint="default" w:ascii="Times New Roman" w:hAnsi="Times New Roman" w:eastAsia="宋体" w:cs="Times New Roman"/>
                <w:color w:val="auto"/>
                <w:sz w:val="21"/>
                <w:szCs w:val="21"/>
                <w:highlight w:val="none"/>
              </w:rPr>
            </w:pPr>
          </w:p>
        </w:tc>
        <w:tc>
          <w:tcPr>
            <w:tcW w:w="2455" w:type="dxa"/>
            <w:gridSpan w:val="2"/>
            <w:vMerge w:val="continue"/>
            <w:noWrap w:val="0"/>
            <w:vAlign w:val="center"/>
          </w:tcPr>
          <w:p w14:paraId="61F998AB">
            <w:pPr>
              <w:shd w:val="clear"/>
              <w:adjustRightInd w:val="0"/>
              <w:snapToGrid w:val="0"/>
              <w:spacing w:line="360" w:lineRule="auto"/>
              <w:jc w:val="center"/>
              <w:rPr>
                <w:rFonts w:hint="default" w:ascii="Times New Roman" w:hAnsi="Times New Roman" w:eastAsia="宋体" w:cs="Times New Roman"/>
                <w:color w:val="auto"/>
                <w:sz w:val="21"/>
                <w:szCs w:val="21"/>
                <w:highlight w:val="none"/>
              </w:rPr>
            </w:pPr>
          </w:p>
        </w:tc>
      </w:tr>
      <w:tr w14:paraId="6D07C7F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78" w:type="dxa"/>
            <w:vMerge w:val="continue"/>
            <w:noWrap w:val="0"/>
            <w:vAlign w:val="center"/>
          </w:tcPr>
          <w:p w14:paraId="264AE917">
            <w:pPr>
              <w:shd w:val="clear"/>
              <w:adjustRightInd w:val="0"/>
              <w:snapToGrid w:val="0"/>
              <w:spacing w:line="360" w:lineRule="auto"/>
              <w:jc w:val="center"/>
              <w:rPr>
                <w:rFonts w:hint="default" w:ascii="Times New Roman" w:hAnsi="Times New Roman" w:eastAsia="宋体" w:cs="Times New Roman"/>
                <w:color w:val="auto"/>
                <w:sz w:val="21"/>
                <w:szCs w:val="21"/>
                <w:highlight w:val="none"/>
              </w:rPr>
            </w:pPr>
          </w:p>
        </w:tc>
        <w:tc>
          <w:tcPr>
            <w:tcW w:w="1755" w:type="dxa"/>
            <w:gridSpan w:val="2"/>
            <w:vMerge w:val="continue"/>
            <w:noWrap w:val="0"/>
            <w:vAlign w:val="center"/>
          </w:tcPr>
          <w:p w14:paraId="4A9CB82F">
            <w:pPr>
              <w:shd w:val="clear"/>
              <w:adjustRightInd w:val="0"/>
              <w:snapToGrid w:val="0"/>
              <w:spacing w:line="360" w:lineRule="auto"/>
              <w:jc w:val="center"/>
              <w:rPr>
                <w:rFonts w:hint="default" w:ascii="Times New Roman" w:hAnsi="Times New Roman" w:eastAsia="宋体" w:cs="Times New Roman"/>
                <w:color w:val="auto"/>
                <w:sz w:val="21"/>
                <w:szCs w:val="21"/>
                <w:highlight w:val="none"/>
                <w:lang w:val="en-US" w:eastAsia="zh-CN"/>
              </w:rPr>
            </w:pPr>
          </w:p>
        </w:tc>
        <w:tc>
          <w:tcPr>
            <w:tcW w:w="1309" w:type="dxa"/>
            <w:noWrap w:val="0"/>
            <w:vAlign w:val="center"/>
          </w:tcPr>
          <w:p w14:paraId="46753CFF">
            <w:pPr>
              <w:shd w:val="clear"/>
              <w:adjustRightInd w:val="0"/>
              <w:snapToGrid w:val="0"/>
              <w:spacing w:line="240" w:lineRule="auto"/>
              <w:jc w:val="center"/>
              <w:rPr>
                <w:rFonts w:hint="eastAsia" w:cs="Times New Roman"/>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eastAsia="zh-CN"/>
              </w:rPr>
              <w:t>废抹布及废手套</w:t>
            </w:r>
          </w:p>
        </w:tc>
        <w:tc>
          <w:tcPr>
            <w:tcW w:w="1555" w:type="dxa"/>
            <w:vMerge w:val="continue"/>
            <w:noWrap w:val="0"/>
            <w:vAlign w:val="center"/>
          </w:tcPr>
          <w:p w14:paraId="35619D4F">
            <w:pPr>
              <w:shd w:val="clear"/>
              <w:adjustRightInd w:val="0"/>
              <w:snapToGrid w:val="0"/>
              <w:spacing w:line="360" w:lineRule="auto"/>
              <w:jc w:val="center"/>
              <w:rPr>
                <w:rFonts w:hint="default" w:ascii="Times New Roman" w:hAnsi="Times New Roman" w:eastAsia="宋体" w:cs="Times New Roman"/>
                <w:color w:val="auto"/>
                <w:sz w:val="21"/>
                <w:szCs w:val="21"/>
                <w:highlight w:val="none"/>
              </w:rPr>
            </w:pPr>
          </w:p>
        </w:tc>
        <w:tc>
          <w:tcPr>
            <w:tcW w:w="2455" w:type="dxa"/>
            <w:gridSpan w:val="2"/>
            <w:vMerge w:val="continue"/>
            <w:noWrap w:val="0"/>
            <w:vAlign w:val="center"/>
          </w:tcPr>
          <w:p w14:paraId="40AE6EF1">
            <w:pPr>
              <w:shd w:val="clear"/>
              <w:adjustRightInd w:val="0"/>
              <w:snapToGrid w:val="0"/>
              <w:spacing w:line="360" w:lineRule="auto"/>
              <w:jc w:val="center"/>
              <w:rPr>
                <w:rFonts w:hint="default" w:ascii="Times New Roman" w:hAnsi="Times New Roman" w:eastAsia="宋体" w:cs="Times New Roman"/>
                <w:color w:val="auto"/>
                <w:sz w:val="21"/>
                <w:szCs w:val="21"/>
                <w:highlight w:val="none"/>
              </w:rPr>
            </w:pPr>
          </w:p>
        </w:tc>
      </w:tr>
      <w:tr w14:paraId="1F1CEC8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After w:val="1"/>
          <w:wAfter w:w="52" w:type="dxa"/>
          <w:trHeight w:val="826" w:hRule="atLeast"/>
          <w:jc w:val="center"/>
        </w:trPr>
        <w:tc>
          <w:tcPr>
            <w:tcW w:w="1778" w:type="dxa"/>
            <w:noWrap w:val="0"/>
            <w:vAlign w:val="center"/>
          </w:tcPr>
          <w:p w14:paraId="5BE7AF90">
            <w:pPr>
              <w:shd w:val="clear"/>
              <w:adjustRightInd w:val="0"/>
              <w:snapToGrid w:val="0"/>
              <w:spacing w:line="36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土壤及地下水污染防治措施</w:t>
            </w:r>
          </w:p>
        </w:tc>
        <w:tc>
          <w:tcPr>
            <w:tcW w:w="7022" w:type="dxa"/>
            <w:gridSpan w:val="5"/>
            <w:noWrap w:val="0"/>
            <w:vAlign w:val="center"/>
          </w:tcPr>
          <w:p w14:paraId="59FBE517">
            <w:pPr>
              <w:keepNext w:val="0"/>
              <w:keepLines w:val="0"/>
              <w:suppressLineNumbers w:val="0"/>
              <w:shd w:val="clear"/>
              <w:spacing w:before="0" w:beforeAutospacing="0" w:after="0" w:afterAutospacing="0" w:line="360" w:lineRule="auto"/>
              <w:ind w:right="0"/>
              <w:jc w:val="both"/>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地下水污染防治措施：</w:t>
            </w:r>
          </w:p>
          <w:p w14:paraId="532DB3E4">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（1）加强对工业三废的治理，开展回收利用工作，严格控制三废排放标准，消除生产设备和管道“跑、冒、滴、漏”现象。</w:t>
            </w:r>
          </w:p>
          <w:p w14:paraId="572AD352">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（2）一旦发现地下水被污染，应该立即查明污染源，并采取紧急措施，制止污染进一步扩散，然后对污染区域进行逐步净化。</w:t>
            </w:r>
          </w:p>
          <w:p w14:paraId="42E859B8">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（3）加大宣传力度，提高公众环保意识。</w:t>
            </w:r>
          </w:p>
          <w:p w14:paraId="3E43F2F3">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（4）制定地下水环境影响跟踪监测计划，定期开展跟踪监测。</w:t>
            </w:r>
          </w:p>
          <w:p w14:paraId="354862CB">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（5）根据《关于印发&lt;地下水污染源防渗技术指南(试行)&gt;</w:t>
            </w:r>
            <w:r>
              <w:rPr>
                <w:rFonts w:hint="default" w:ascii="Times New Roman" w:hAnsi="Times New Roman"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进行分区防控，将整项目划分为重点防渗区、一般防渗区及简单防渗区：</w:t>
            </w:r>
          </w:p>
          <w:p w14:paraId="01654952">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①重点污染防渗区：</w:t>
            </w:r>
            <w:r>
              <w:rPr>
                <w:rFonts w:hint="default" w:ascii="Times New Roman" w:hAnsi="Times New Roman" w:eastAsia="宋体" w:cs="Times New Roman"/>
                <w:color w:val="auto"/>
                <w:sz w:val="21"/>
                <w:szCs w:val="21"/>
                <w:highlight w:val="none"/>
                <w:lang w:val="en-US" w:eastAsia="zh-CN"/>
              </w:rPr>
              <w:t>危废间、实验室、试剂室、危化品室、标准品室和废水暂存区</w:t>
            </w:r>
            <w:r>
              <w:rPr>
                <w:rFonts w:hint="default" w:ascii="Times New Roman" w:hAnsi="Times New Roman" w:eastAsia="宋体" w:cs="Times New Roman"/>
                <w:color w:val="auto"/>
                <w:sz w:val="21"/>
                <w:szCs w:val="21"/>
                <w:highlight w:val="none"/>
              </w:rPr>
              <w:t>等。其防渗层的防渗性能应不低于</w:t>
            </w:r>
            <w:r>
              <w:rPr>
                <w:rFonts w:hint="default" w:ascii="Times New Roman" w:hAnsi="Times New Roman" w:eastAsia="宋体" w:cs="Times New Roman"/>
                <w:color w:val="auto"/>
                <w:sz w:val="21"/>
                <w:szCs w:val="21"/>
                <w:highlight w:val="none"/>
                <w:lang w:val="en-US" w:eastAsia="zh-CN"/>
              </w:rPr>
              <w:t>150m</w:t>
            </w:r>
            <w:r>
              <w:rPr>
                <w:rFonts w:hint="default" w:ascii="Times New Roman" w:hAnsi="Times New Roman" w:eastAsia="宋体" w:cs="Times New Roman"/>
                <w:color w:val="auto"/>
                <w:sz w:val="21"/>
                <w:szCs w:val="21"/>
                <w:highlight w:val="none"/>
              </w:rPr>
              <w:t>m厚、渗透系数</w:t>
            </w:r>
            <w:r>
              <w:rPr>
                <w:rFonts w:hint="default" w:ascii="Times New Roman" w:hAnsi="Times New Roman" w:eastAsia="宋体" w:cs="Times New Roman"/>
                <w:b w:val="0"/>
                <w:bCs w:val="0"/>
                <w:color w:val="auto"/>
                <w:sz w:val="21"/>
                <w:szCs w:val="21"/>
                <w:highlight w:val="none"/>
                <w:vertAlign w:val="baseline"/>
                <w:lang w:val="en-US" w:eastAsia="zh-CN"/>
              </w:rPr>
              <w:t>≤1.0×10</w:t>
            </w:r>
            <w:r>
              <w:rPr>
                <w:rFonts w:hint="default" w:ascii="Times New Roman" w:hAnsi="Times New Roman" w:eastAsia="宋体" w:cs="Times New Roman"/>
                <w:b w:val="0"/>
                <w:bCs w:val="0"/>
                <w:color w:val="auto"/>
                <w:sz w:val="21"/>
                <w:szCs w:val="21"/>
                <w:highlight w:val="none"/>
                <w:vertAlign w:val="superscript"/>
                <w:lang w:val="en-US" w:eastAsia="zh-CN"/>
              </w:rPr>
              <w:t>-10</w:t>
            </w:r>
            <w:r>
              <w:rPr>
                <w:rFonts w:hint="default" w:ascii="Times New Roman" w:hAnsi="Times New Roman" w:eastAsia="宋体" w:cs="Times New Roman"/>
                <w:b w:val="0"/>
                <w:bCs w:val="0"/>
                <w:color w:val="auto"/>
                <w:sz w:val="21"/>
                <w:szCs w:val="21"/>
                <w:highlight w:val="none"/>
                <w:vertAlign w:val="baseline"/>
                <w:lang w:val="en-US" w:eastAsia="zh-CN"/>
              </w:rPr>
              <w:t>cm/s</w:t>
            </w:r>
            <w:r>
              <w:rPr>
                <w:rFonts w:hint="default" w:ascii="Times New Roman" w:hAnsi="Times New Roman" w:eastAsia="宋体" w:cs="Times New Roman"/>
                <w:color w:val="auto"/>
                <w:sz w:val="21"/>
                <w:szCs w:val="21"/>
                <w:highlight w:val="none"/>
              </w:rPr>
              <w:t>的等效黏土防渗层，可采用混凝土防渗处理，如采用水泥基防渗结晶型防水涂料刷涂或喷涂在混凝土表面，形成防渗层。埋地管线内衬、污水构筑物内衬采取有效防渗。防渗工程的设计使用年限不应低于其主体工程的设计使用年限，且不得少于10年。混凝土表面需采取抗渗措施。</w:t>
            </w:r>
          </w:p>
          <w:p w14:paraId="290CFF9A">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②一般污染防渗区：</w:t>
            </w:r>
            <w:r>
              <w:rPr>
                <w:rFonts w:hint="default" w:ascii="Times New Roman" w:hAnsi="Times New Roman" w:eastAsia="宋体" w:cs="Times New Roman"/>
                <w:b w:val="0"/>
                <w:bCs w:val="0"/>
                <w:color w:val="auto"/>
                <w:kern w:val="2"/>
                <w:sz w:val="21"/>
                <w:szCs w:val="21"/>
                <w:highlight w:val="none"/>
                <w:vertAlign w:val="baseline"/>
                <w:lang w:val="en-US" w:eastAsia="zh-CN" w:bidi="ar-SA"/>
              </w:rPr>
              <w:t>除危废间、实验室、试剂室、危化品室、标准品室、废水暂存区、会议室、卫生间和办公区以外的区域</w:t>
            </w:r>
            <w:r>
              <w:rPr>
                <w:rFonts w:hint="default" w:ascii="Times New Roman" w:hAnsi="Times New Roman" w:eastAsia="宋体" w:cs="Times New Roman"/>
                <w:color w:val="auto"/>
                <w:sz w:val="21"/>
                <w:szCs w:val="21"/>
                <w:highlight w:val="none"/>
              </w:rPr>
              <w:t>。防渗层的防渗性能应不低于</w:t>
            </w:r>
            <w:r>
              <w:rPr>
                <w:rFonts w:hint="default" w:ascii="Times New Roman" w:hAnsi="Times New Roman" w:eastAsia="宋体" w:cs="Times New Roman"/>
                <w:color w:val="auto"/>
                <w:sz w:val="21"/>
                <w:szCs w:val="21"/>
                <w:highlight w:val="none"/>
                <w:lang w:val="en-US" w:eastAsia="zh-CN"/>
              </w:rPr>
              <w:t>100m</w:t>
            </w:r>
            <w:r>
              <w:rPr>
                <w:rFonts w:hint="default" w:ascii="Times New Roman" w:hAnsi="Times New Roman" w:eastAsia="宋体" w:cs="Times New Roman"/>
                <w:color w:val="auto"/>
                <w:sz w:val="21"/>
                <w:szCs w:val="21"/>
                <w:highlight w:val="none"/>
              </w:rPr>
              <w:t>m厚、渗透系数</w:t>
            </w:r>
            <w:r>
              <w:rPr>
                <w:rFonts w:hint="default" w:ascii="Times New Roman" w:hAnsi="Times New Roman" w:eastAsia="宋体" w:cs="Times New Roman"/>
                <w:b w:val="0"/>
                <w:bCs w:val="0"/>
                <w:color w:val="auto"/>
                <w:sz w:val="21"/>
                <w:szCs w:val="21"/>
                <w:highlight w:val="none"/>
                <w:vertAlign w:val="baseline"/>
                <w:lang w:val="en-US" w:eastAsia="zh-CN"/>
              </w:rPr>
              <w:t>≤1.0×10</w:t>
            </w:r>
            <w:r>
              <w:rPr>
                <w:rFonts w:hint="default" w:ascii="Times New Roman" w:hAnsi="Times New Roman" w:eastAsia="宋体" w:cs="Times New Roman"/>
                <w:b w:val="0"/>
                <w:bCs w:val="0"/>
                <w:color w:val="auto"/>
                <w:sz w:val="21"/>
                <w:szCs w:val="21"/>
                <w:highlight w:val="none"/>
                <w:vertAlign w:val="superscript"/>
                <w:lang w:val="en-US" w:eastAsia="zh-CN"/>
              </w:rPr>
              <w:t>-8</w:t>
            </w:r>
            <w:r>
              <w:rPr>
                <w:rFonts w:hint="default" w:ascii="Times New Roman" w:hAnsi="Times New Roman" w:eastAsia="宋体" w:cs="Times New Roman"/>
                <w:b w:val="0"/>
                <w:bCs w:val="0"/>
                <w:color w:val="auto"/>
                <w:sz w:val="21"/>
                <w:szCs w:val="21"/>
                <w:highlight w:val="none"/>
                <w:vertAlign w:val="baseline"/>
                <w:lang w:val="en-US" w:eastAsia="zh-CN"/>
              </w:rPr>
              <w:t>cm/s</w:t>
            </w:r>
            <w:r>
              <w:rPr>
                <w:rFonts w:hint="default" w:ascii="Times New Roman" w:hAnsi="Times New Roman" w:eastAsia="宋体" w:cs="Times New Roman"/>
                <w:color w:val="auto"/>
                <w:sz w:val="21"/>
                <w:szCs w:val="21"/>
                <w:highlight w:val="none"/>
              </w:rPr>
              <w:t>的等效黏土防渗层。</w:t>
            </w:r>
          </w:p>
          <w:p w14:paraId="0D8A3AF3">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kern w:val="0"/>
                <w:sz w:val="21"/>
                <w:szCs w:val="21"/>
                <w:highlight w:val="none"/>
                <w:lang w:val="en-US"/>
              </w:rPr>
            </w:pPr>
            <w:r>
              <w:rPr>
                <w:rFonts w:hint="default" w:ascii="Times New Roman" w:hAnsi="Times New Roman" w:eastAsia="宋体" w:cs="Times New Roman"/>
                <w:color w:val="auto"/>
                <w:sz w:val="21"/>
                <w:szCs w:val="21"/>
                <w:highlight w:val="none"/>
              </w:rPr>
              <w:t>③简单防渗区：上述区域外的其他区域，</w:t>
            </w:r>
            <w:r>
              <w:rPr>
                <w:rFonts w:hint="default" w:ascii="Times New Roman" w:hAnsi="Times New Roman" w:eastAsia="宋体" w:cs="Times New Roman"/>
                <w:color w:val="auto"/>
                <w:kern w:val="0"/>
                <w:sz w:val="21"/>
                <w:szCs w:val="21"/>
                <w:highlight w:val="none"/>
                <w:lang w:val="en-US"/>
              </w:rPr>
              <w:t>一般不做防渗要求。发生</w:t>
            </w:r>
            <w:r>
              <w:rPr>
                <w:rFonts w:hint="default" w:ascii="Times New Roman" w:hAnsi="Times New Roman" w:eastAsia="宋体" w:cs="Times New Roman"/>
                <w:color w:val="auto"/>
                <w:kern w:val="0"/>
                <w:sz w:val="21"/>
                <w:szCs w:val="21"/>
                <w:highlight w:val="none"/>
                <w:lang w:val="en-US" w:eastAsia="zh-CN"/>
              </w:rPr>
              <w:t>泄漏事故</w:t>
            </w:r>
            <w:r>
              <w:rPr>
                <w:rFonts w:hint="default" w:ascii="Times New Roman" w:hAnsi="Times New Roman" w:eastAsia="宋体" w:cs="Times New Roman"/>
                <w:color w:val="auto"/>
                <w:kern w:val="0"/>
                <w:sz w:val="21"/>
                <w:szCs w:val="21"/>
                <w:highlight w:val="none"/>
                <w:lang w:val="en-US"/>
              </w:rPr>
              <w:t>，及时采取紧急措施，不任由物料、污染物渗漏进入土壤，并及时对破损的设施采取修复措施。</w:t>
            </w:r>
          </w:p>
          <w:p w14:paraId="35D1161A">
            <w:pPr>
              <w:keepNext w:val="0"/>
              <w:keepLines w:val="0"/>
              <w:suppressLineNumbers w:val="0"/>
              <w:shd w:val="clear"/>
              <w:spacing w:before="0" w:beforeAutospacing="0" w:after="0" w:afterAutospacing="0" w:line="360" w:lineRule="auto"/>
              <w:ind w:right="0"/>
              <w:jc w:val="both"/>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土壤污染防治措施：</w:t>
            </w:r>
          </w:p>
          <w:p w14:paraId="3891CC15">
            <w:pPr>
              <w:keepNext w:val="0"/>
              <w:keepLines w:val="0"/>
              <w:suppressLineNumbers w:val="0"/>
              <w:shd w:val="clear"/>
              <w:spacing w:before="0" w:beforeAutospacing="0" w:after="0" w:afterAutospacing="0" w:line="360" w:lineRule="auto"/>
              <w:ind w:left="0" w:right="0" w:firstLine="420" w:firstLineChars="200"/>
              <w:jc w:val="both"/>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危险废物暂存区应该严格参照《危险废物贮存污染控制标准》（GB18597-20</w:t>
            </w:r>
            <w:r>
              <w:rPr>
                <w:rFonts w:hint="default" w:ascii="Times New Roman" w:hAnsi="Times New Roman" w:eastAsia="宋体"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rPr>
              <w:t>3）要求做好设置防风防雨防晒防渗漏，危废堆场基础必须防渗，防渗层为至少2mm厚高密度聚乙烯或2mm厚</w:t>
            </w:r>
            <w:r>
              <w:rPr>
                <w:rFonts w:hint="default" w:ascii="Times New Roman" w:hAnsi="Times New Roman" w:eastAsia="宋体" w:cs="Times New Roman"/>
                <w:color w:val="auto"/>
                <w:sz w:val="21"/>
                <w:szCs w:val="21"/>
                <w:highlight w:val="none"/>
                <w:lang w:eastAsia="zh-CN"/>
              </w:rPr>
              <w:t>其他人工</w:t>
            </w:r>
            <w:r>
              <w:rPr>
                <w:rFonts w:hint="default" w:ascii="Times New Roman" w:hAnsi="Times New Roman" w:eastAsia="宋体" w:cs="Times New Roman"/>
                <w:color w:val="auto"/>
                <w:sz w:val="21"/>
                <w:szCs w:val="21"/>
                <w:highlight w:val="none"/>
              </w:rPr>
              <w:t>材料，保证渗透系数≤10</w:t>
            </w:r>
            <w:r>
              <w:rPr>
                <w:rFonts w:hint="default" w:ascii="Times New Roman" w:hAnsi="Times New Roman" w:eastAsia="宋体" w:cs="Times New Roman"/>
                <w:color w:val="auto"/>
                <w:sz w:val="21"/>
                <w:szCs w:val="21"/>
                <w:highlight w:val="none"/>
                <w:vertAlign w:val="superscript"/>
              </w:rPr>
              <w:t>-10</w:t>
            </w:r>
            <w:r>
              <w:rPr>
                <w:rFonts w:hint="default" w:ascii="Times New Roman" w:hAnsi="Times New Roman" w:eastAsia="宋体" w:cs="Times New Roman"/>
                <w:color w:val="auto"/>
                <w:sz w:val="21"/>
                <w:szCs w:val="21"/>
                <w:highlight w:val="none"/>
              </w:rPr>
              <w:t>cm/s。</w:t>
            </w:r>
            <w:r>
              <w:rPr>
                <w:rFonts w:hint="default" w:ascii="Times New Roman" w:hAnsi="Times New Roman" w:eastAsia="宋体" w:cs="Times New Roman"/>
                <w:color w:val="auto"/>
                <w:sz w:val="21"/>
                <w:szCs w:val="21"/>
                <w:highlight w:val="none"/>
                <w:lang w:val="en-US" w:eastAsia="zh-CN"/>
              </w:rPr>
              <w:t>加强危废管理，并做好存放场所的防渗透和泄漏措施，严禁随意倾倒和混入生活垃圾中，避免污染周边环境。</w:t>
            </w:r>
          </w:p>
          <w:p w14:paraId="55A691C4">
            <w:pPr>
              <w:keepNext w:val="0"/>
              <w:keepLines w:val="0"/>
              <w:pageBreakBefore w:val="0"/>
              <w:widowControl w:val="0"/>
              <w:shd w:val="clear"/>
              <w:kinsoku/>
              <w:wordWrap/>
              <w:overflowPunct/>
              <w:topLinePunct w:val="0"/>
              <w:autoSpaceDE/>
              <w:autoSpaceDN/>
              <w:bidi w:val="0"/>
              <w:adjustRightInd w:val="0"/>
              <w:snapToGrid w:val="0"/>
              <w:spacing w:line="360" w:lineRule="auto"/>
              <w:ind w:firstLine="420" w:firstLineChars="200"/>
              <w:jc w:val="both"/>
              <w:textAlignment w:val="auto"/>
              <w:rPr>
                <w:rFonts w:hint="default" w:ascii="Times New Roman" w:hAnsi="Times New Roman" w:eastAsia="宋体" w:cs="Times New Roman"/>
                <w:color w:val="auto"/>
                <w:sz w:val="21"/>
                <w:szCs w:val="21"/>
                <w:highlight w:val="none"/>
              </w:rPr>
            </w:pPr>
            <w:r>
              <w:rPr>
                <w:rFonts w:hint="eastAsia" w:ascii="宋体" w:hAnsi="宋体" w:cs="宋体"/>
                <w:color w:val="auto"/>
                <w:spacing w:val="0"/>
                <w:sz w:val="21"/>
                <w:szCs w:val="21"/>
                <w:highlight w:val="none"/>
                <w:lang w:val="en-US" w:eastAsia="zh-CN"/>
              </w:rPr>
              <w:t>危废暂存区、生产废水暂存区、化学品储存场所、实验室采取严格的分区防腐防渗措施；</w:t>
            </w:r>
            <w:r>
              <w:rPr>
                <w:rFonts w:hint="default" w:ascii="Times New Roman" w:hAnsi="Times New Roman" w:cs="Times New Roman"/>
                <w:color w:val="auto"/>
                <w:spacing w:val="0"/>
                <w:sz w:val="21"/>
                <w:szCs w:val="21"/>
                <w:highlight w:val="none"/>
              </w:rPr>
              <w:t>各类污染物均采取了对应</w:t>
            </w:r>
            <w:r>
              <w:rPr>
                <w:rFonts w:hint="default" w:ascii="Times New Roman" w:hAnsi="Times New Roman" w:cs="Times New Roman"/>
                <w:color w:val="auto"/>
                <w:spacing w:val="0"/>
                <w:sz w:val="21"/>
                <w:szCs w:val="21"/>
                <w:highlight w:val="none"/>
              </w:rPr>
              <w:t>的污染</w:t>
            </w:r>
            <w:r>
              <w:rPr>
                <w:rFonts w:hint="default" w:ascii="Times New Roman" w:hAnsi="Times New Roman" w:cs="Times New Roman"/>
                <w:color w:val="auto"/>
                <w:spacing w:val="0"/>
                <w:sz w:val="21"/>
                <w:szCs w:val="21"/>
                <w:highlight w:val="none"/>
              </w:rPr>
              <w:t>治理措施，确保污染物的达标排放</w:t>
            </w:r>
            <w:r>
              <w:rPr>
                <w:rFonts w:hint="eastAsia" w:ascii="Times New Roman" w:hAnsi="Times New Roman" w:cs="Times New Roman"/>
                <w:color w:val="auto"/>
                <w:spacing w:val="0"/>
                <w:sz w:val="21"/>
                <w:szCs w:val="21"/>
                <w:highlight w:val="none"/>
                <w:lang w:eastAsia="zh-CN"/>
              </w:rPr>
              <w:t>。</w:t>
            </w:r>
            <w:r>
              <w:rPr>
                <w:rFonts w:hint="default" w:ascii="Times New Roman" w:hAnsi="Times New Roman" w:eastAsia="宋体" w:cs="Times New Roman"/>
                <w:color w:val="auto"/>
                <w:sz w:val="21"/>
                <w:szCs w:val="21"/>
                <w:highlight w:val="none"/>
              </w:rPr>
              <w:t>运营期加强对废气处理设施的维护和保养，设置专人管理，若发生非正常工况排放可做到及时发现、及时修复，短时间非正常工况排放污染物不会对周边土壤环境造成影响。</w:t>
            </w:r>
          </w:p>
        </w:tc>
      </w:tr>
      <w:tr w14:paraId="5C0E89A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After w:val="1"/>
          <w:wAfter w:w="52" w:type="dxa"/>
          <w:trHeight w:val="416" w:hRule="atLeast"/>
          <w:jc w:val="center"/>
        </w:trPr>
        <w:tc>
          <w:tcPr>
            <w:tcW w:w="1778" w:type="dxa"/>
            <w:noWrap w:val="0"/>
            <w:vAlign w:val="center"/>
          </w:tcPr>
          <w:p w14:paraId="05566060">
            <w:pPr>
              <w:keepNext w:val="0"/>
              <w:keepLines w:val="0"/>
              <w:pageBreakBefore w:val="0"/>
              <w:widowControl w:val="0"/>
              <w:shd w:val="clear"/>
              <w:kinsoku/>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生态保护措施</w:t>
            </w:r>
          </w:p>
        </w:tc>
        <w:tc>
          <w:tcPr>
            <w:tcW w:w="7022" w:type="dxa"/>
            <w:gridSpan w:val="5"/>
            <w:noWrap w:val="0"/>
            <w:vAlign w:val="center"/>
          </w:tcPr>
          <w:p w14:paraId="37C9A3B2">
            <w:pPr>
              <w:keepNext w:val="0"/>
              <w:keepLines w:val="0"/>
              <w:pageBreakBefore w:val="0"/>
              <w:widowControl w:val="0"/>
              <w:shd w:val="clear"/>
              <w:kinsoku/>
              <w:wordWrap/>
              <w:topLinePunct w:val="0"/>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r>
      <w:tr w14:paraId="7EE6843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After w:val="1"/>
          <w:wAfter w:w="52" w:type="dxa"/>
          <w:trHeight w:val="1276" w:hRule="atLeast"/>
          <w:jc w:val="center"/>
        </w:trPr>
        <w:tc>
          <w:tcPr>
            <w:tcW w:w="1778" w:type="dxa"/>
            <w:noWrap w:val="0"/>
            <w:vAlign w:val="center"/>
          </w:tcPr>
          <w:p w14:paraId="07A51F04">
            <w:pPr>
              <w:shd w:val="clear"/>
              <w:adjustRightInd w:val="0"/>
              <w:snapToGrid w:val="0"/>
              <w:spacing w:line="360" w:lineRule="auto"/>
              <w:jc w:val="center"/>
              <w:rPr>
                <w:rFonts w:hint="default" w:ascii="Times New Roman" w:hAnsi="Times New Roman" w:eastAsia="宋体" w:cs="Times New Roman"/>
                <w:color w:val="auto"/>
                <w:spacing w:val="-8"/>
                <w:sz w:val="21"/>
                <w:szCs w:val="21"/>
                <w:highlight w:val="none"/>
              </w:rPr>
            </w:pPr>
            <w:r>
              <w:rPr>
                <w:rFonts w:hint="default" w:ascii="Times New Roman" w:hAnsi="Times New Roman" w:eastAsia="宋体" w:cs="Times New Roman"/>
                <w:color w:val="auto"/>
                <w:spacing w:val="-8"/>
                <w:sz w:val="21"/>
                <w:szCs w:val="21"/>
                <w:highlight w:val="none"/>
              </w:rPr>
              <w:t>环境风险</w:t>
            </w:r>
          </w:p>
          <w:p w14:paraId="0374DCB1">
            <w:pPr>
              <w:shd w:val="clear"/>
              <w:adjustRightInd w:val="0"/>
              <w:snapToGrid w:val="0"/>
              <w:spacing w:line="360" w:lineRule="auto"/>
              <w:jc w:val="center"/>
              <w:rPr>
                <w:rFonts w:hint="default" w:ascii="Times New Roman" w:hAnsi="Times New Roman" w:eastAsia="宋体" w:cs="Times New Roman"/>
                <w:color w:val="auto"/>
                <w:spacing w:val="-8"/>
                <w:sz w:val="21"/>
                <w:szCs w:val="21"/>
                <w:highlight w:val="none"/>
              </w:rPr>
            </w:pPr>
            <w:r>
              <w:rPr>
                <w:rFonts w:hint="default" w:ascii="Times New Roman" w:hAnsi="Times New Roman" w:eastAsia="宋体" w:cs="Times New Roman"/>
                <w:color w:val="auto"/>
                <w:spacing w:val="-8"/>
                <w:sz w:val="21"/>
                <w:szCs w:val="21"/>
                <w:highlight w:val="none"/>
              </w:rPr>
              <w:t>防范措施</w:t>
            </w:r>
          </w:p>
        </w:tc>
        <w:tc>
          <w:tcPr>
            <w:tcW w:w="7022" w:type="dxa"/>
            <w:gridSpan w:val="5"/>
            <w:noWrap w:val="0"/>
            <w:vAlign w:val="center"/>
          </w:tcPr>
          <w:p w14:paraId="238A9AF7">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严格按照《建筑设计防火规范》（GB50016-2014）相关要求对厂区平面布局进行合理布置；</w:t>
            </w:r>
          </w:p>
          <w:p w14:paraId="4F21F025">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按照防爆规定配置电气设备及照明设施等，严格控制其他生产区域及仓储区域明火及其他火种；</w:t>
            </w:r>
          </w:p>
          <w:p w14:paraId="5047DD1B">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按要求合理设置厂区内消火栓、灭火器等消防设施，并安排专人进行保养维护，确保其处在正常工况下；</w:t>
            </w:r>
          </w:p>
          <w:p w14:paraId="6AAC4FB0">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4</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强化管理，提高作业人员业务素质；</w:t>
            </w:r>
          </w:p>
          <w:p w14:paraId="2356BB86">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5</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做好厂区日常管理工作，厂区各个通道应保持畅通，严禁在通道内堆放各类物料，对</w:t>
            </w:r>
            <w:r>
              <w:rPr>
                <w:rFonts w:hint="default" w:ascii="Times New Roman" w:hAnsi="Times New Roman" w:eastAsia="宋体" w:cs="Times New Roman"/>
                <w:color w:val="auto"/>
                <w:sz w:val="21"/>
                <w:szCs w:val="21"/>
                <w:highlight w:val="none"/>
                <w:lang w:val="en-US" w:eastAsia="zh-CN"/>
              </w:rPr>
              <w:t>化学品</w:t>
            </w:r>
            <w:r>
              <w:rPr>
                <w:rFonts w:hint="eastAsia" w:cs="Times New Roman"/>
                <w:color w:val="auto"/>
                <w:sz w:val="21"/>
                <w:szCs w:val="21"/>
                <w:highlight w:val="none"/>
                <w:lang w:val="en-US" w:eastAsia="zh-CN"/>
              </w:rPr>
              <w:t>储存场所</w:t>
            </w:r>
            <w:r>
              <w:rPr>
                <w:rFonts w:hint="default" w:ascii="Times New Roman" w:hAnsi="Times New Roman" w:eastAsia="宋体" w:cs="Times New Roman"/>
                <w:color w:val="auto"/>
                <w:sz w:val="21"/>
                <w:szCs w:val="21"/>
                <w:highlight w:val="none"/>
                <w:lang w:val="en-US" w:eastAsia="zh-CN"/>
              </w:rPr>
              <w:t>、废水暂存区、</w:t>
            </w:r>
            <w:r>
              <w:rPr>
                <w:rFonts w:hint="eastAsia" w:cs="Times New Roman"/>
                <w:color w:val="auto"/>
                <w:sz w:val="21"/>
                <w:szCs w:val="21"/>
                <w:highlight w:val="none"/>
                <w:lang w:val="en-US" w:eastAsia="zh-CN"/>
              </w:rPr>
              <w:t>实验室</w:t>
            </w:r>
            <w:r>
              <w:rPr>
                <w:rFonts w:hint="default" w:ascii="Times New Roman" w:hAnsi="Times New Roman" w:eastAsia="宋体" w:cs="Times New Roman"/>
                <w:color w:val="auto"/>
                <w:sz w:val="21"/>
                <w:szCs w:val="21"/>
                <w:highlight w:val="none"/>
                <w:lang w:val="en-US" w:eastAsia="zh-CN"/>
              </w:rPr>
              <w:t>、危废暂存间</w:t>
            </w:r>
            <w:r>
              <w:rPr>
                <w:rFonts w:hint="default" w:ascii="Times New Roman" w:hAnsi="Times New Roman" w:eastAsia="宋体" w:cs="Times New Roman"/>
                <w:color w:val="auto"/>
                <w:sz w:val="21"/>
                <w:szCs w:val="21"/>
                <w:highlight w:val="none"/>
              </w:rPr>
              <w:t>实行定期的巡检制度，及时发现问题，尽快解决；</w:t>
            </w:r>
            <w:r>
              <w:rPr>
                <w:rFonts w:hint="default" w:ascii="Times New Roman" w:hAnsi="Times New Roman" w:eastAsia="宋体" w:cs="Times New Roman"/>
                <w:color w:val="auto"/>
                <w:sz w:val="21"/>
                <w:szCs w:val="21"/>
                <w:highlight w:val="none"/>
                <w:lang w:val="en-US" w:eastAsia="zh-CN"/>
              </w:rPr>
              <w:t>生产废水经</w:t>
            </w:r>
            <w:r>
              <w:rPr>
                <w:rFonts w:hint="eastAsia" w:cs="Times New Roman"/>
                <w:color w:val="auto"/>
                <w:sz w:val="21"/>
                <w:szCs w:val="21"/>
                <w:highlight w:val="none"/>
                <w:lang w:val="en-US" w:eastAsia="zh-CN"/>
              </w:rPr>
              <w:t>废水暂存区</w:t>
            </w:r>
            <w:r>
              <w:rPr>
                <w:rFonts w:hint="default" w:ascii="Times New Roman" w:hAnsi="Times New Roman" w:eastAsia="宋体" w:cs="Times New Roman"/>
                <w:color w:val="auto"/>
                <w:sz w:val="21"/>
                <w:szCs w:val="21"/>
                <w:highlight w:val="none"/>
                <w:lang w:val="en-US" w:eastAsia="zh-CN"/>
              </w:rPr>
              <w:t>进行储存，</w:t>
            </w:r>
            <w:r>
              <w:rPr>
                <w:rFonts w:hint="eastAsia" w:cs="Times New Roman"/>
                <w:color w:val="auto"/>
                <w:sz w:val="21"/>
                <w:szCs w:val="21"/>
                <w:highlight w:val="none"/>
                <w:lang w:val="en-US" w:eastAsia="zh-CN"/>
              </w:rPr>
              <w:t>周边设置围堰，</w:t>
            </w:r>
            <w:r>
              <w:rPr>
                <w:rFonts w:hint="default" w:ascii="Times New Roman" w:hAnsi="Times New Roman" w:eastAsia="宋体" w:cs="Times New Roman"/>
                <w:color w:val="auto"/>
                <w:sz w:val="21"/>
                <w:szCs w:val="21"/>
                <w:highlight w:val="none"/>
                <w:lang w:val="en-US" w:eastAsia="zh-CN"/>
              </w:rPr>
              <w:t>项目厂区内地面为混凝土硬化地面</w:t>
            </w:r>
            <w:r>
              <w:rPr>
                <w:rFonts w:hint="default" w:ascii="Times New Roman" w:hAnsi="Times New Roman" w:eastAsia="宋体" w:cs="Times New Roman"/>
                <w:color w:val="auto"/>
                <w:sz w:val="21"/>
                <w:szCs w:val="21"/>
                <w:highlight w:val="none"/>
              </w:rPr>
              <w:t>；</w:t>
            </w:r>
          </w:p>
          <w:p w14:paraId="4230A3BD">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6</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按要求厂区设置缓坡，配套应急收集桶及收集设施，防止事故消防废水</w:t>
            </w:r>
            <w:r>
              <w:rPr>
                <w:rFonts w:hint="default" w:ascii="Times New Roman" w:hAnsi="Times New Roman" w:cs="Times New Roman"/>
                <w:color w:val="auto"/>
                <w:sz w:val="21"/>
                <w:szCs w:val="21"/>
                <w:highlight w:val="none"/>
                <w:lang w:eastAsia="zh-CN"/>
              </w:rPr>
              <w:t>进入</w:t>
            </w:r>
            <w:r>
              <w:rPr>
                <w:rFonts w:hint="default" w:ascii="Times New Roman" w:hAnsi="Times New Roman" w:eastAsia="宋体" w:cs="Times New Roman"/>
                <w:color w:val="auto"/>
                <w:sz w:val="21"/>
                <w:szCs w:val="21"/>
                <w:highlight w:val="none"/>
              </w:rPr>
              <w:t>外环境</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kern w:val="0"/>
                <w:sz w:val="21"/>
                <w:szCs w:val="21"/>
                <w:highlight w:val="none"/>
              </w:rPr>
              <w:t>废水收集后统一交给</w:t>
            </w:r>
            <w:r>
              <w:rPr>
                <w:rFonts w:hint="default" w:ascii="Times New Roman" w:hAnsi="Times New Roman" w:eastAsia="宋体" w:cs="Times New Roman"/>
                <w:color w:val="auto"/>
                <w:kern w:val="0"/>
                <w:sz w:val="21"/>
                <w:szCs w:val="21"/>
                <w:highlight w:val="none"/>
                <w:lang w:eastAsia="zh-CN"/>
              </w:rPr>
              <w:t>具有</w:t>
            </w:r>
            <w:r>
              <w:rPr>
                <w:rFonts w:hint="default" w:ascii="Times New Roman" w:hAnsi="Times New Roman" w:eastAsia="宋体" w:cs="Times New Roman"/>
                <w:color w:val="auto"/>
                <w:kern w:val="0"/>
                <w:sz w:val="21"/>
                <w:szCs w:val="21"/>
                <w:highlight w:val="none"/>
              </w:rPr>
              <w:t>废水处理能力的公司转移处理。</w:t>
            </w:r>
          </w:p>
          <w:p w14:paraId="79445003">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7</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危险废物由专人负责，危废仓设置围堰，做好防风、防雨、防晒、防渗漏。禁止将不相容（相互反应）的危险废物在容器内混装。装载液体、半固体危险废物的容器内须留足够空间，容器顶部与液体表面之间保留100mm以上的空间。装载危险废物的容器必须完好无损。</w:t>
            </w:r>
          </w:p>
          <w:p w14:paraId="02107981">
            <w:pPr>
              <w:keepNext w:val="0"/>
              <w:keepLines w:val="0"/>
              <w:pageBreakBefore w:val="0"/>
              <w:widowControl/>
              <w:shd w:val="clear"/>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8</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运营期加强对废气处理设施的维护和保养，设置专人管理，若发生非正常工况排放可做到及时发现、及时修复，短时间非正常工况排放污染物不会对周边环境造成影响。</w:t>
            </w:r>
          </w:p>
        </w:tc>
      </w:tr>
      <w:tr w14:paraId="48254B5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After w:val="1"/>
          <w:wAfter w:w="52" w:type="dxa"/>
          <w:trHeight w:val="1002" w:hRule="atLeast"/>
          <w:jc w:val="center"/>
        </w:trPr>
        <w:tc>
          <w:tcPr>
            <w:tcW w:w="1778" w:type="dxa"/>
            <w:noWrap w:val="0"/>
            <w:vAlign w:val="center"/>
          </w:tcPr>
          <w:p w14:paraId="4EEA0490">
            <w:pPr>
              <w:shd w:val="clear"/>
              <w:adjustRightInd w:val="0"/>
              <w:snapToGrid w:val="0"/>
              <w:spacing w:line="360" w:lineRule="auto"/>
              <w:jc w:val="center"/>
              <w:rPr>
                <w:rFonts w:hint="default" w:ascii="Times New Roman" w:hAnsi="Times New Roman" w:eastAsia="宋体" w:cs="Times New Roman"/>
                <w:color w:val="auto"/>
                <w:spacing w:val="-8"/>
                <w:sz w:val="21"/>
                <w:szCs w:val="21"/>
                <w:highlight w:val="none"/>
              </w:rPr>
            </w:pPr>
            <w:r>
              <w:rPr>
                <w:rFonts w:hint="default" w:ascii="Times New Roman" w:hAnsi="Times New Roman" w:eastAsia="宋体" w:cs="Times New Roman"/>
                <w:color w:val="auto"/>
                <w:spacing w:val="-8"/>
                <w:sz w:val="21"/>
                <w:szCs w:val="21"/>
                <w:highlight w:val="none"/>
              </w:rPr>
              <w:t>其他环境</w:t>
            </w:r>
          </w:p>
          <w:p w14:paraId="65EBABB7">
            <w:pPr>
              <w:shd w:val="clear"/>
              <w:adjustRightInd w:val="0"/>
              <w:snapToGrid w:val="0"/>
              <w:spacing w:line="360" w:lineRule="auto"/>
              <w:jc w:val="center"/>
              <w:rPr>
                <w:rFonts w:hint="default" w:ascii="Times New Roman" w:hAnsi="Times New Roman" w:eastAsia="宋体" w:cs="Times New Roman"/>
                <w:color w:val="auto"/>
                <w:spacing w:val="-8"/>
                <w:sz w:val="21"/>
                <w:szCs w:val="21"/>
                <w:highlight w:val="none"/>
              </w:rPr>
            </w:pPr>
            <w:r>
              <w:rPr>
                <w:rFonts w:hint="default" w:ascii="Times New Roman" w:hAnsi="Times New Roman" w:eastAsia="宋体" w:cs="Times New Roman"/>
                <w:color w:val="auto"/>
                <w:spacing w:val="-8"/>
                <w:sz w:val="21"/>
                <w:szCs w:val="21"/>
                <w:highlight w:val="none"/>
              </w:rPr>
              <w:t>管理要求</w:t>
            </w:r>
          </w:p>
        </w:tc>
        <w:tc>
          <w:tcPr>
            <w:tcW w:w="7022" w:type="dxa"/>
            <w:gridSpan w:val="5"/>
            <w:noWrap w:val="0"/>
            <w:vAlign w:val="center"/>
          </w:tcPr>
          <w:p w14:paraId="7A218223">
            <w:pPr>
              <w:shd w:val="clear"/>
              <w:adjustRightInd w:val="0"/>
              <w:snapToGrid w:val="0"/>
              <w:spacing w:line="36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r>
    </w:tbl>
    <w:p w14:paraId="1D1E80B0">
      <w:pPr>
        <w:pStyle w:val="3"/>
        <w:shd w:val="clear"/>
        <w:bidi w:val="0"/>
        <w:jc w:val="center"/>
        <w:rPr>
          <w:rFonts w:hint="default" w:ascii="Times New Roman" w:hAnsi="Times New Roman" w:eastAsia="宋体" w:cs="Times New Roman"/>
          <w:color w:val="auto"/>
          <w:sz w:val="32"/>
          <w:szCs w:val="32"/>
          <w:highlight w:val="none"/>
        </w:rPr>
      </w:pPr>
      <w:r>
        <w:rPr>
          <w:rFonts w:hint="default" w:ascii="Times New Roman" w:hAnsi="Times New Roman" w:eastAsia="宋体" w:cs="Times New Roman"/>
          <w:snapToGrid w:val="0"/>
          <w:color w:val="auto"/>
          <w:highlight w:val="none"/>
        </w:rPr>
        <w:br w:type="page"/>
      </w:r>
      <w:bookmarkStart w:id="11" w:name="_Toc12785"/>
      <w:r>
        <w:rPr>
          <w:rFonts w:hint="default" w:ascii="Times New Roman" w:hAnsi="Times New Roman" w:eastAsia="宋体" w:cs="Times New Roman"/>
          <w:color w:val="auto"/>
          <w:sz w:val="32"/>
          <w:szCs w:val="32"/>
          <w:highlight w:val="none"/>
        </w:rPr>
        <w:t>六、结论</w:t>
      </w:r>
      <w:bookmarkEnd w:id="11"/>
    </w:p>
    <w:tbl>
      <w:tblPr>
        <w:tblStyle w:val="33"/>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14:paraId="40CC312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noWrap w:val="0"/>
            <w:vAlign w:val="center"/>
          </w:tcPr>
          <w:p w14:paraId="7086530D">
            <w:pPr>
              <w:keepNext w:val="0"/>
              <w:keepLines w:val="0"/>
              <w:pageBreakBefore w:val="0"/>
              <w:widowControl w:val="0"/>
              <w:suppressLineNumbers w:val="0"/>
              <w:shd w:val="clear"/>
              <w:kinsoku/>
              <w:wordWrap/>
              <w:overflowPunct/>
              <w:topLinePunct w:val="0"/>
              <w:autoSpaceDE/>
              <w:autoSpaceDN/>
              <w:bidi w:val="0"/>
              <w:adjustRightInd/>
              <w:snapToGrid/>
              <w:spacing w:before="0" w:beforeAutospacing="0" w:after="0" w:afterAutospacing="0" w:line="360" w:lineRule="auto"/>
              <w:ind w:right="0" w:firstLine="420" w:firstLineChars="200"/>
              <w:jc w:val="both"/>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kern w:val="0"/>
                <w:sz w:val="21"/>
                <w:szCs w:val="21"/>
                <w:highlight w:val="none"/>
              </w:rPr>
              <w:t>项目的建设符合城市发展规划，符合国家、广东省及中山市相关产业政策和环保政策的要求。该项目不在地表水饮用水源保护区、风景名胜区、农田保护区、生态保护区、堤外用地等区域保护范围内，选址合理。只要建设单位严格执行有关的环保法规，按本报告中所述的各项污染控制措施加以严格实施，并确保日后的正常运行，做到达标排放，将污染物对周围环境的影响降到最低，该项目的建设从环境保护的角度来看是可行的。</w:t>
            </w:r>
          </w:p>
        </w:tc>
      </w:tr>
    </w:tbl>
    <w:p w14:paraId="1FC81E6D">
      <w:pPr>
        <w:shd w:val="clear"/>
        <w:rPr>
          <w:rFonts w:hint="default" w:ascii="Times New Roman" w:hAnsi="Times New Roman" w:eastAsia="宋体" w:cs="Times New Roman"/>
          <w:color w:val="auto"/>
          <w:highlight w:val="none"/>
        </w:rPr>
        <w:sectPr>
          <w:pgSz w:w="11906" w:h="16838"/>
          <w:pgMar w:top="1701" w:right="1531" w:bottom="1701" w:left="1531" w:header="851" w:footer="851" w:gutter="0"/>
          <w:pgNumType w:fmt="decimal"/>
          <w:cols w:space="720" w:num="1"/>
          <w:docGrid w:linePitch="312" w:charSpace="0"/>
        </w:sectPr>
      </w:pPr>
    </w:p>
    <w:p w14:paraId="245C023F">
      <w:pPr>
        <w:shd w:val="clear"/>
        <w:bidi w:val="0"/>
        <w:rPr>
          <w:rFonts w:hint="default" w:ascii="Times New Roman" w:hAnsi="Times New Roman" w:eastAsia="宋体" w:cs="Times New Roman"/>
          <w:color w:val="auto"/>
          <w:sz w:val="32"/>
          <w:szCs w:val="32"/>
          <w:highlight w:val="none"/>
        </w:rPr>
      </w:pPr>
      <w:r>
        <w:rPr>
          <w:rFonts w:hint="default" w:ascii="Times New Roman" w:hAnsi="Times New Roman" w:eastAsia="宋体" w:cs="Times New Roman"/>
          <w:color w:val="auto"/>
          <w:sz w:val="32"/>
          <w:szCs w:val="32"/>
          <w:highlight w:val="none"/>
        </w:rPr>
        <w:t>附表</w:t>
      </w:r>
    </w:p>
    <w:p w14:paraId="20056796">
      <w:pPr>
        <w:pStyle w:val="3"/>
        <w:shd w:val="clear"/>
        <w:bidi w:val="0"/>
        <w:jc w:val="center"/>
        <w:rPr>
          <w:rFonts w:hint="default" w:ascii="Times New Roman" w:hAnsi="Times New Roman" w:eastAsia="宋体" w:cs="Times New Roman"/>
          <w:color w:val="auto"/>
          <w:highlight w:val="none"/>
        </w:rPr>
      </w:pPr>
      <w:bookmarkStart w:id="12" w:name="_Toc7164"/>
      <w:bookmarkStart w:id="13" w:name="_Toc7485"/>
      <w:bookmarkStart w:id="14" w:name="_Toc18370"/>
      <w:bookmarkStart w:id="15" w:name="_Toc8666"/>
      <w:r>
        <w:rPr>
          <w:rFonts w:hint="default" w:ascii="Times New Roman" w:hAnsi="Times New Roman" w:eastAsia="宋体" w:cs="Times New Roman"/>
          <w:color w:val="auto"/>
          <w:highlight w:val="none"/>
        </w:rPr>
        <w:t>建设项目污染物排放量汇总</w:t>
      </w:r>
      <w:bookmarkEnd w:id="12"/>
      <w:bookmarkEnd w:id="13"/>
      <w:r>
        <w:rPr>
          <w:rFonts w:hint="default" w:ascii="Times New Roman" w:hAnsi="Times New Roman" w:eastAsia="宋体" w:cs="Times New Roman"/>
          <w:color w:val="auto"/>
          <w:highlight w:val="none"/>
        </w:rPr>
        <w:t>表</w:t>
      </w:r>
      <w:bookmarkEnd w:id="14"/>
      <w:bookmarkEnd w:id="15"/>
    </w:p>
    <w:tbl>
      <w:tblPr>
        <w:tblStyle w:val="33"/>
        <w:tblW w:w="13886"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88"/>
        <w:gridCol w:w="1717"/>
        <w:gridCol w:w="1401"/>
        <w:gridCol w:w="1276"/>
        <w:gridCol w:w="1701"/>
        <w:gridCol w:w="1559"/>
        <w:gridCol w:w="1651"/>
        <w:gridCol w:w="1521"/>
        <w:gridCol w:w="1472"/>
      </w:tblGrid>
      <w:tr w14:paraId="32BDAC6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4" w:hRule="atLeast"/>
        </w:trPr>
        <w:tc>
          <w:tcPr>
            <w:tcW w:w="1588" w:type="dxa"/>
            <w:tcBorders>
              <w:tl2br w:val="single" w:color="auto" w:sz="4" w:space="0"/>
            </w:tcBorders>
            <w:noWrap w:val="0"/>
            <w:tcMar>
              <w:left w:w="28" w:type="dxa"/>
              <w:right w:w="28" w:type="dxa"/>
            </w:tcMar>
            <w:vAlign w:val="center"/>
          </w:tcPr>
          <w:p w14:paraId="72061471">
            <w:pPr>
              <w:pStyle w:val="57"/>
              <w:shd w:val="clear"/>
              <w:spacing w:beforeLines="0" w:afterLines="0" w:line="240" w:lineRule="auto"/>
              <w:jc w:val="right"/>
              <w:rPr>
                <w:rFonts w:hint="default" w:ascii="Times New Roman" w:hAnsi="Times New Roman" w:eastAsia="宋体" w:cs="Times New Roman"/>
                <w:snapToGrid w:val="0"/>
                <w:color w:val="auto"/>
                <w:spacing w:val="-6"/>
                <w:kern w:val="21"/>
                <w:szCs w:val="21"/>
                <w:highlight w:val="none"/>
              </w:rPr>
            </w:pPr>
            <w:r>
              <w:rPr>
                <w:rFonts w:hint="default" w:ascii="Times New Roman" w:hAnsi="Times New Roman" w:eastAsia="宋体" w:cs="Times New Roman"/>
                <w:snapToGrid w:val="0"/>
                <w:color w:val="auto"/>
                <w:spacing w:val="-6"/>
                <w:kern w:val="21"/>
                <w:szCs w:val="21"/>
                <w:highlight w:val="none"/>
              </w:rPr>
              <w:t>项目</w:t>
            </w:r>
          </w:p>
          <w:p w14:paraId="2407BB48">
            <w:pPr>
              <w:pStyle w:val="57"/>
              <w:shd w:val="clear"/>
              <w:spacing w:beforeLines="0" w:afterLines="0" w:line="240" w:lineRule="auto"/>
              <w:jc w:val="left"/>
              <w:rPr>
                <w:rFonts w:hint="default" w:ascii="Times New Roman" w:hAnsi="Times New Roman" w:eastAsia="宋体" w:cs="Times New Roman"/>
                <w:snapToGrid w:val="0"/>
                <w:color w:val="auto"/>
                <w:spacing w:val="-6"/>
                <w:kern w:val="21"/>
                <w:szCs w:val="21"/>
                <w:highlight w:val="none"/>
              </w:rPr>
            </w:pPr>
            <w:r>
              <w:rPr>
                <w:rFonts w:hint="default" w:ascii="Times New Roman" w:hAnsi="Times New Roman" w:eastAsia="宋体" w:cs="Times New Roman"/>
                <w:snapToGrid w:val="0"/>
                <w:color w:val="auto"/>
                <w:spacing w:val="-6"/>
                <w:kern w:val="21"/>
                <w:szCs w:val="21"/>
                <w:highlight w:val="none"/>
              </w:rPr>
              <w:t>分类</w:t>
            </w:r>
          </w:p>
        </w:tc>
        <w:tc>
          <w:tcPr>
            <w:tcW w:w="1717" w:type="dxa"/>
            <w:noWrap w:val="0"/>
            <w:tcMar>
              <w:left w:w="28" w:type="dxa"/>
              <w:right w:w="28" w:type="dxa"/>
            </w:tcMar>
            <w:vAlign w:val="center"/>
          </w:tcPr>
          <w:p w14:paraId="2F173FB5">
            <w:pPr>
              <w:pStyle w:val="57"/>
              <w:shd w:val="clear"/>
              <w:spacing w:beforeLines="0" w:afterLines="0" w:line="240" w:lineRule="auto"/>
              <w:rPr>
                <w:rFonts w:hint="default" w:ascii="Times New Roman" w:hAnsi="Times New Roman" w:eastAsia="宋体" w:cs="Times New Roman"/>
                <w:snapToGrid w:val="0"/>
                <w:color w:val="auto"/>
                <w:spacing w:val="-6"/>
                <w:kern w:val="21"/>
                <w:szCs w:val="21"/>
                <w:highlight w:val="none"/>
              </w:rPr>
            </w:pPr>
            <w:r>
              <w:rPr>
                <w:rFonts w:hint="default" w:ascii="Times New Roman" w:hAnsi="Times New Roman" w:eastAsia="宋体" w:cs="Times New Roman"/>
                <w:snapToGrid w:val="0"/>
                <w:color w:val="auto"/>
                <w:spacing w:val="-6"/>
                <w:kern w:val="21"/>
                <w:szCs w:val="21"/>
                <w:highlight w:val="none"/>
              </w:rPr>
              <w:t>污染物名称</w:t>
            </w:r>
          </w:p>
        </w:tc>
        <w:tc>
          <w:tcPr>
            <w:tcW w:w="1401" w:type="dxa"/>
            <w:noWrap w:val="0"/>
            <w:tcMar>
              <w:left w:w="28" w:type="dxa"/>
              <w:right w:w="28" w:type="dxa"/>
            </w:tcMar>
            <w:vAlign w:val="center"/>
          </w:tcPr>
          <w:p w14:paraId="5356D3AC">
            <w:pPr>
              <w:pStyle w:val="57"/>
              <w:shd w:val="clear"/>
              <w:spacing w:beforeLines="0" w:afterLines="0" w:line="240" w:lineRule="auto"/>
              <w:rPr>
                <w:rFonts w:hint="default" w:ascii="Times New Roman" w:hAnsi="Times New Roman" w:eastAsia="宋体" w:cs="Times New Roman"/>
                <w:snapToGrid w:val="0"/>
                <w:color w:val="auto"/>
                <w:spacing w:val="-6"/>
                <w:kern w:val="21"/>
                <w:szCs w:val="21"/>
                <w:highlight w:val="none"/>
              </w:rPr>
            </w:pPr>
            <w:r>
              <w:rPr>
                <w:rFonts w:hint="default" w:ascii="Times New Roman" w:hAnsi="Times New Roman" w:eastAsia="宋体" w:cs="Times New Roman"/>
                <w:snapToGrid w:val="0"/>
                <w:color w:val="auto"/>
                <w:spacing w:val="-6"/>
                <w:kern w:val="21"/>
                <w:szCs w:val="21"/>
                <w:highlight w:val="none"/>
              </w:rPr>
              <w:t>现有工程</w:t>
            </w:r>
          </w:p>
          <w:p w14:paraId="6386C57A">
            <w:pPr>
              <w:pStyle w:val="57"/>
              <w:shd w:val="clear"/>
              <w:spacing w:beforeLines="0" w:afterLines="0" w:line="240" w:lineRule="auto"/>
              <w:rPr>
                <w:rFonts w:hint="default" w:ascii="Times New Roman" w:hAnsi="Times New Roman" w:eastAsia="宋体" w:cs="Times New Roman"/>
                <w:snapToGrid w:val="0"/>
                <w:color w:val="auto"/>
                <w:spacing w:val="-6"/>
                <w:kern w:val="21"/>
                <w:szCs w:val="21"/>
                <w:highlight w:val="none"/>
              </w:rPr>
            </w:pPr>
            <w:r>
              <w:rPr>
                <w:rFonts w:hint="default" w:ascii="Times New Roman" w:hAnsi="Times New Roman" w:eastAsia="宋体" w:cs="Times New Roman"/>
                <w:snapToGrid w:val="0"/>
                <w:color w:val="auto"/>
                <w:spacing w:val="-6"/>
                <w:kern w:val="21"/>
                <w:szCs w:val="21"/>
                <w:highlight w:val="none"/>
              </w:rPr>
              <w:t>排放量（固体废物产生量）</w:t>
            </w:r>
            <w:r>
              <w:rPr>
                <w:rFonts w:hint="default" w:ascii="Times New Roman" w:hAnsi="Times New Roman" w:eastAsia="宋体" w:cs="Times New Roman"/>
                <w:snapToGrid w:val="0"/>
                <w:color w:val="auto"/>
                <w:spacing w:val="-6"/>
                <w:kern w:val="21"/>
                <w:szCs w:val="21"/>
                <w:highlight w:val="none"/>
              </w:rPr>
              <w:fldChar w:fldCharType="begin"/>
            </w:r>
            <w:r>
              <w:rPr>
                <w:rFonts w:hint="default" w:ascii="Times New Roman" w:hAnsi="Times New Roman" w:eastAsia="宋体" w:cs="Times New Roman"/>
                <w:snapToGrid w:val="0"/>
                <w:color w:val="auto"/>
                <w:spacing w:val="-6"/>
                <w:kern w:val="21"/>
                <w:szCs w:val="21"/>
                <w:highlight w:val="none"/>
              </w:rPr>
              <w:instrText xml:space="preserve"> = 1 \* GB3 \* MERGEFORMAT </w:instrText>
            </w:r>
            <w:r>
              <w:rPr>
                <w:rFonts w:hint="default" w:ascii="Times New Roman" w:hAnsi="Times New Roman" w:eastAsia="宋体" w:cs="Times New Roman"/>
                <w:snapToGrid w:val="0"/>
                <w:color w:val="auto"/>
                <w:spacing w:val="-6"/>
                <w:kern w:val="21"/>
                <w:szCs w:val="21"/>
                <w:highlight w:val="none"/>
              </w:rPr>
              <w:fldChar w:fldCharType="separate"/>
            </w:r>
            <w:r>
              <w:rPr>
                <w:rFonts w:hint="default" w:ascii="Times New Roman" w:hAnsi="Times New Roman" w:eastAsia="宋体" w:cs="Times New Roman"/>
                <w:color w:val="auto"/>
                <w:kern w:val="2"/>
                <w:szCs w:val="21"/>
                <w:highlight w:val="none"/>
              </w:rPr>
              <w:t>①</w:t>
            </w:r>
            <w:r>
              <w:rPr>
                <w:rFonts w:hint="default" w:ascii="Times New Roman" w:hAnsi="Times New Roman" w:eastAsia="宋体" w:cs="Times New Roman"/>
                <w:snapToGrid w:val="0"/>
                <w:color w:val="auto"/>
                <w:spacing w:val="-6"/>
                <w:kern w:val="21"/>
                <w:szCs w:val="21"/>
                <w:highlight w:val="none"/>
              </w:rPr>
              <w:fldChar w:fldCharType="end"/>
            </w:r>
          </w:p>
        </w:tc>
        <w:tc>
          <w:tcPr>
            <w:tcW w:w="1276" w:type="dxa"/>
            <w:noWrap w:val="0"/>
            <w:tcMar>
              <w:left w:w="28" w:type="dxa"/>
              <w:right w:w="28" w:type="dxa"/>
            </w:tcMar>
            <w:vAlign w:val="center"/>
          </w:tcPr>
          <w:p w14:paraId="599967EF">
            <w:pPr>
              <w:pStyle w:val="57"/>
              <w:shd w:val="clear"/>
              <w:spacing w:beforeLines="0" w:afterLines="0" w:line="240" w:lineRule="auto"/>
              <w:rPr>
                <w:rFonts w:hint="default" w:ascii="Times New Roman" w:hAnsi="Times New Roman" w:eastAsia="宋体" w:cs="Times New Roman"/>
                <w:snapToGrid w:val="0"/>
                <w:color w:val="auto"/>
                <w:spacing w:val="-6"/>
                <w:kern w:val="21"/>
                <w:szCs w:val="21"/>
                <w:highlight w:val="none"/>
              </w:rPr>
            </w:pPr>
            <w:r>
              <w:rPr>
                <w:rFonts w:hint="default" w:ascii="Times New Roman" w:hAnsi="Times New Roman" w:eastAsia="宋体" w:cs="Times New Roman"/>
                <w:snapToGrid w:val="0"/>
                <w:color w:val="auto"/>
                <w:spacing w:val="-6"/>
                <w:kern w:val="21"/>
                <w:szCs w:val="21"/>
                <w:highlight w:val="none"/>
              </w:rPr>
              <w:t>现有工程</w:t>
            </w:r>
          </w:p>
          <w:p w14:paraId="5502913E">
            <w:pPr>
              <w:pStyle w:val="57"/>
              <w:shd w:val="clear"/>
              <w:spacing w:beforeLines="0" w:afterLines="0" w:line="240" w:lineRule="auto"/>
              <w:rPr>
                <w:rFonts w:hint="default" w:ascii="Times New Roman" w:hAnsi="Times New Roman" w:eastAsia="宋体" w:cs="Times New Roman"/>
                <w:snapToGrid w:val="0"/>
                <w:color w:val="auto"/>
                <w:spacing w:val="-6"/>
                <w:kern w:val="21"/>
                <w:szCs w:val="21"/>
                <w:highlight w:val="none"/>
              </w:rPr>
            </w:pPr>
            <w:r>
              <w:rPr>
                <w:rFonts w:hint="default" w:ascii="Times New Roman" w:hAnsi="Times New Roman" w:eastAsia="宋体" w:cs="Times New Roman"/>
                <w:snapToGrid w:val="0"/>
                <w:color w:val="auto"/>
                <w:spacing w:val="-6"/>
                <w:kern w:val="21"/>
                <w:szCs w:val="21"/>
                <w:highlight w:val="none"/>
              </w:rPr>
              <w:t>许可排放量</w:t>
            </w:r>
          </w:p>
          <w:p w14:paraId="4ED4D5A7">
            <w:pPr>
              <w:pStyle w:val="57"/>
              <w:shd w:val="clear"/>
              <w:spacing w:beforeLines="0" w:afterLines="0" w:line="240" w:lineRule="auto"/>
              <w:rPr>
                <w:rFonts w:hint="default" w:ascii="Times New Roman" w:hAnsi="Times New Roman" w:eastAsia="宋体" w:cs="Times New Roman"/>
                <w:snapToGrid w:val="0"/>
                <w:color w:val="auto"/>
                <w:spacing w:val="-6"/>
                <w:kern w:val="21"/>
                <w:szCs w:val="21"/>
                <w:highlight w:val="none"/>
              </w:rPr>
            </w:pPr>
            <w:r>
              <w:rPr>
                <w:rFonts w:hint="default" w:ascii="Times New Roman" w:hAnsi="Times New Roman" w:eastAsia="宋体" w:cs="Times New Roman"/>
                <w:snapToGrid w:val="0"/>
                <w:color w:val="auto"/>
                <w:spacing w:val="-6"/>
                <w:kern w:val="21"/>
                <w:szCs w:val="21"/>
                <w:highlight w:val="none"/>
              </w:rPr>
              <w:fldChar w:fldCharType="begin"/>
            </w:r>
            <w:r>
              <w:rPr>
                <w:rFonts w:hint="default" w:ascii="Times New Roman" w:hAnsi="Times New Roman" w:eastAsia="宋体" w:cs="Times New Roman"/>
                <w:snapToGrid w:val="0"/>
                <w:color w:val="auto"/>
                <w:spacing w:val="-6"/>
                <w:kern w:val="21"/>
                <w:szCs w:val="21"/>
                <w:highlight w:val="none"/>
              </w:rPr>
              <w:instrText xml:space="preserve"> = 2 \* GB3 \* MERGEFORMAT </w:instrText>
            </w:r>
            <w:r>
              <w:rPr>
                <w:rFonts w:hint="default" w:ascii="Times New Roman" w:hAnsi="Times New Roman" w:eastAsia="宋体" w:cs="Times New Roman"/>
                <w:snapToGrid w:val="0"/>
                <w:color w:val="auto"/>
                <w:spacing w:val="-6"/>
                <w:kern w:val="21"/>
                <w:szCs w:val="21"/>
                <w:highlight w:val="none"/>
              </w:rPr>
              <w:fldChar w:fldCharType="separate"/>
            </w:r>
            <w:r>
              <w:rPr>
                <w:rFonts w:hint="default" w:ascii="Times New Roman" w:hAnsi="Times New Roman" w:eastAsia="宋体" w:cs="Times New Roman"/>
                <w:snapToGrid w:val="0"/>
                <w:color w:val="auto"/>
                <w:spacing w:val="-6"/>
                <w:kern w:val="21"/>
                <w:szCs w:val="21"/>
                <w:highlight w:val="none"/>
              </w:rPr>
              <w:t>②</w:t>
            </w:r>
            <w:r>
              <w:rPr>
                <w:rFonts w:hint="default" w:ascii="Times New Roman" w:hAnsi="Times New Roman" w:eastAsia="宋体" w:cs="Times New Roman"/>
                <w:snapToGrid w:val="0"/>
                <w:color w:val="auto"/>
                <w:spacing w:val="-6"/>
                <w:kern w:val="21"/>
                <w:szCs w:val="21"/>
                <w:highlight w:val="none"/>
              </w:rPr>
              <w:fldChar w:fldCharType="end"/>
            </w:r>
          </w:p>
        </w:tc>
        <w:tc>
          <w:tcPr>
            <w:tcW w:w="1701" w:type="dxa"/>
            <w:noWrap w:val="0"/>
            <w:tcMar>
              <w:left w:w="28" w:type="dxa"/>
              <w:right w:w="28" w:type="dxa"/>
            </w:tcMar>
            <w:vAlign w:val="center"/>
          </w:tcPr>
          <w:p w14:paraId="61476384">
            <w:pPr>
              <w:pStyle w:val="57"/>
              <w:shd w:val="clear"/>
              <w:spacing w:beforeLines="0" w:afterLines="0" w:line="240" w:lineRule="auto"/>
              <w:rPr>
                <w:rFonts w:hint="default" w:ascii="Times New Roman" w:hAnsi="Times New Roman" w:eastAsia="宋体" w:cs="Times New Roman"/>
                <w:snapToGrid w:val="0"/>
                <w:color w:val="auto"/>
                <w:spacing w:val="-6"/>
                <w:kern w:val="21"/>
                <w:szCs w:val="21"/>
                <w:highlight w:val="none"/>
              </w:rPr>
            </w:pPr>
            <w:r>
              <w:rPr>
                <w:rFonts w:hint="default" w:ascii="Times New Roman" w:hAnsi="Times New Roman" w:eastAsia="宋体" w:cs="Times New Roman"/>
                <w:snapToGrid w:val="0"/>
                <w:color w:val="auto"/>
                <w:spacing w:val="-6"/>
                <w:kern w:val="21"/>
                <w:szCs w:val="21"/>
                <w:highlight w:val="none"/>
              </w:rPr>
              <w:t>在建工程</w:t>
            </w:r>
          </w:p>
          <w:p w14:paraId="4DE6F356">
            <w:pPr>
              <w:pStyle w:val="57"/>
              <w:shd w:val="clear"/>
              <w:spacing w:beforeLines="0" w:afterLines="0" w:line="240" w:lineRule="auto"/>
              <w:rPr>
                <w:rFonts w:hint="default" w:ascii="Times New Roman" w:hAnsi="Times New Roman" w:eastAsia="宋体" w:cs="Times New Roman"/>
                <w:snapToGrid w:val="0"/>
                <w:color w:val="auto"/>
                <w:spacing w:val="-6"/>
                <w:kern w:val="21"/>
                <w:szCs w:val="21"/>
                <w:highlight w:val="none"/>
              </w:rPr>
            </w:pPr>
            <w:r>
              <w:rPr>
                <w:rFonts w:hint="default" w:ascii="Times New Roman" w:hAnsi="Times New Roman" w:eastAsia="宋体" w:cs="Times New Roman"/>
                <w:snapToGrid w:val="0"/>
                <w:color w:val="auto"/>
                <w:spacing w:val="-6"/>
                <w:kern w:val="21"/>
                <w:szCs w:val="21"/>
                <w:highlight w:val="none"/>
              </w:rPr>
              <w:t>排放量（固体废物产生量）</w:t>
            </w:r>
            <w:r>
              <w:rPr>
                <w:rFonts w:hint="default" w:ascii="Times New Roman" w:hAnsi="Times New Roman" w:eastAsia="宋体" w:cs="Times New Roman"/>
                <w:snapToGrid w:val="0"/>
                <w:color w:val="auto"/>
                <w:spacing w:val="-6"/>
                <w:kern w:val="21"/>
                <w:szCs w:val="21"/>
                <w:highlight w:val="none"/>
              </w:rPr>
              <w:fldChar w:fldCharType="begin"/>
            </w:r>
            <w:r>
              <w:rPr>
                <w:rFonts w:hint="default" w:ascii="Times New Roman" w:hAnsi="Times New Roman" w:eastAsia="宋体" w:cs="Times New Roman"/>
                <w:snapToGrid w:val="0"/>
                <w:color w:val="auto"/>
                <w:spacing w:val="-6"/>
                <w:kern w:val="21"/>
                <w:szCs w:val="21"/>
                <w:highlight w:val="none"/>
              </w:rPr>
              <w:instrText xml:space="preserve"> = 3 \* GB3 \* MERGEFORMAT </w:instrText>
            </w:r>
            <w:r>
              <w:rPr>
                <w:rFonts w:hint="default" w:ascii="Times New Roman" w:hAnsi="Times New Roman" w:eastAsia="宋体" w:cs="Times New Roman"/>
                <w:snapToGrid w:val="0"/>
                <w:color w:val="auto"/>
                <w:spacing w:val="-6"/>
                <w:kern w:val="21"/>
                <w:szCs w:val="21"/>
                <w:highlight w:val="none"/>
              </w:rPr>
              <w:fldChar w:fldCharType="separate"/>
            </w:r>
            <w:r>
              <w:rPr>
                <w:rFonts w:hint="default" w:ascii="Times New Roman" w:hAnsi="Times New Roman" w:eastAsia="宋体" w:cs="Times New Roman"/>
                <w:color w:val="auto"/>
                <w:kern w:val="2"/>
                <w:szCs w:val="21"/>
                <w:highlight w:val="none"/>
              </w:rPr>
              <w:t>③</w:t>
            </w:r>
            <w:r>
              <w:rPr>
                <w:rFonts w:hint="default" w:ascii="Times New Roman" w:hAnsi="Times New Roman" w:eastAsia="宋体" w:cs="Times New Roman"/>
                <w:snapToGrid w:val="0"/>
                <w:color w:val="auto"/>
                <w:spacing w:val="-6"/>
                <w:kern w:val="21"/>
                <w:szCs w:val="21"/>
                <w:highlight w:val="none"/>
              </w:rPr>
              <w:fldChar w:fldCharType="end"/>
            </w:r>
          </w:p>
        </w:tc>
        <w:tc>
          <w:tcPr>
            <w:tcW w:w="1559" w:type="dxa"/>
            <w:noWrap w:val="0"/>
            <w:tcMar>
              <w:left w:w="28" w:type="dxa"/>
              <w:right w:w="28" w:type="dxa"/>
            </w:tcMar>
            <w:vAlign w:val="center"/>
          </w:tcPr>
          <w:p w14:paraId="3EE9B6E5">
            <w:pPr>
              <w:pStyle w:val="57"/>
              <w:shd w:val="clear"/>
              <w:spacing w:beforeLines="0" w:afterLines="0" w:line="240" w:lineRule="auto"/>
              <w:rPr>
                <w:rFonts w:hint="default" w:ascii="Times New Roman" w:hAnsi="Times New Roman" w:eastAsia="宋体" w:cs="Times New Roman"/>
                <w:snapToGrid w:val="0"/>
                <w:color w:val="auto"/>
                <w:spacing w:val="-6"/>
                <w:kern w:val="21"/>
                <w:szCs w:val="21"/>
                <w:highlight w:val="none"/>
              </w:rPr>
            </w:pPr>
            <w:r>
              <w:rPr>
                <w:rFonts w:hint="default" w:ascii="Times New Roman" w:hAnsi="Times New Roman" w:eastAsia="宋体" w:cs="Times New Roman"/>
                <w:snapToGrid w:val="0"/>
                <w:color w:val="auto"/>
                <w:spacing w:val="-6"/>
                <w:kern w:val="21"/>
                <w:szCs w:val="21"/>
                <w:highlight w:val="none"/>
              </w:rPr>
              <w:t>本项目</w:t>
            </w:r>
          </w:p>
          <w:p w14:paraId="698863F1">
            <w:pPr>
              <w:pStyle w:val="57"/>
              <w:shd w:val="clear"/>
              <w:spacing w:beforeLines="0" w:afterLines="0" w:line="240" w:lineRule="auto"/>
              <w:rPr>
                <w:rFonts w:hint="default" w:ascii="Times New Roman" w:hAnsi="Times New Roman" w:eastAsia="宋体" w:cs="Times New Roman"/>
                <w:snapToGrid w:val="0"/>
                <w:color w:val="auto"/>
                <w:spacing w:val="-6"/>
                <w:kern w:val="21"/>
                <w:szCs w:val="21"/>
                <w:highlight w:val="none"/>
              </w:rPr>
            </w:pPr>
            <w:r>
              <w:rPr>
                <w:rFonts w:hint="default" w:ascii="Times New Roman" w:hAnsi="Times New Roman" w:eastAsia="宋体" w:cs="Times New Roman"/>
                <w:snapToGrid w:val="0"/>
                <w:color w:val="auto"/>
                <w:spacing w:val="-6"/>
                <w:kern w:val="21"/>
                <w:szCs w:val="21"/>
                <w:highlight w:val="none"/>
              </w:rPr>
              <w:t>排放量（固体废物产生量）</w:t>
            </w:r>
            <w:r>
              <w:rPr>
                <w:rFonts w:hint="default" w:ascii="Times New Roman" w:hAnsi="Times New Roman" w:eastAsia="宋体" w:cs="Times New Roman"/>
                <w:snapToGrid w:val="0"/>
                <w:color w:val="auto"/>
                <w:spacing w:val="-6"/>
                <w:kern w:val="21"/>
                <w:szCs w:val="21"/>
                <w:highlight w:val="none"/>
              </w:rPr>
              <w:fldChar w:fldCharType="begin"/>
            </w:r>
            <w:r>
              <w:rPr>
                <w:rFonts w:hint="default" w:ascii="Times New Roman" w:hAnsi="Times New Roman" w:eastAsia="宋体" w:cs="Times New Roman"/>
                <w:snapToGrid w:val="0"/>
                <w:color w:val="auto"/>
                <w:spacing w:val="-6"/>
                <w:kern w:val="21"/>
                <w:szCs w:val="21"/>
                <w:highlight w:val="none"/>
              </w:rPr>
              <w:instrText xml:space="preserve"> = 4 \* GB3 \* MERGEFORMAT </w:instrText>
            </w:r>
            <w:r>
              <w:rPr>
                <w:rFonts w:hint="default" w:ascii="Times New Roman" w:hAnsi="Times New Roman" w:eastAsia="宋体" w:cs="Times New Roman"/>
                <w:snapToGrid w:val="0"/>
                <w:color w:val="auto"/>
                <w:spacing w:val="-6"/>
                <w:kern w:val="21"/>
                <w:szCs w:val="21"/>
                <w:highlight w:val="none"/>
              </w:rPr>
              <w:fldChar w:fldCharType="separate"/>
            </w:r>
            <w:r>
              <w:rPr>
                <w:rFonts w:hint="default" w:ascii="Times New Roman" w:hAnsi="Times New Roman" w:eastAsia="宋体" w:cs="Times New Roman"/>
                <w:color w:val="auto"/>
                <w:kern w:val="2"/>
                <w:szCs w:val="21"/>
                <w:highlight w:val="none"/>
              </w:rPr>
              <w:t>④</w:t>
            </w:r>
            <w:r>
              <w:rPr>
                <w:rFonts w:hint="default" w:ascii="Times New Roman" w:hAnsi="Times New Roman" w:eastAsia="宋体" w:cs="Times New Roman"/>
                <w:snapToGrid w:val="0"/>
                <w:color w:val="auto"/>
                <w:spacing w:val="-6"/>
                <w:kern w:val="21"/>
                <w:szCs w:val="21"/>
                <w:highlight w:val="none"/>
              </w:rPr>
              <w:fldChar w:fldCharType="end"/>
            </w:r>
          </w:p>
        </w:tc>
        <w:tc>
          <w:tcPr>
            <w:tcW w:w="1651" w:type="dxa"/>
            <w:noWrap w:val="0"/>
            <w:tcMar>
              <w:left w:w="28" w:type="dxa"/>
              <w:right w:w="28" w:type="dxa"/>
            </w:tcMar>
            <w:vAlign w:val="center"/>
          </w:tcPr>
          <w:p w14:paraId="4685769D">
            <w:pPr>
              <w:pStyle w:val="57"/>
              <w:shd w:val="clear"/>
              <w:spacing w:beforeLines="0" w:afterLines="0" w:line="240" w:lineRule="auto"/>
              <w:rPr>
                <w:rFonts w:hint="default" w:ascii="Times New Roman" w:hAnsi="Times New Roman" w:eastAsia="宋体" w:cs="Times New Roman"/>
                <w:snapToGrid w:val="0"/>
                <w:color w:val="auto"/>
                <w:spacing w:val="-16"/>
                <w:kern w:val="21"/>
                <w:szCs w:val="21"/>
                <w:highlight w:val="none"/>
              </w:rPr>
            </w:pPr>
            <w:r>
              <w:rPr>
                <w:rFonts w:hint="default" w:ascii="Times New Roman" w:hAnsi="Times New Roman" w:eastAsia="宋体" w:cs="Times New Roman"/>
                <w:snapToGrid w:val="0"/>
                <w:color w:val="auto"/>
                <w:spacing w:val="-16"/>
                <w:kern w:val="21"/>
                <w:szCs w:val="21"/>
                <w:highlight w:val="none"/>
              </w:rPr>
              <w:t>以新带老削减量</w:t>
            </w:r>
          </w:p>
          <w:p w14:paraId="0267C04C">
            <w:pPr>
              <w:pStyle w:val="57"/>
              <w:shd w:val="clear"/>
              <w:spacing w:beforeLines="0" w:afterLines="0" w:line="240" w:lineRule="auto"/>
              <w:rPr>
                <w:rFonts w:hint="default" w:ascii="Times New Roman" w:hAnsi="Times New Roman" w:eastAsia="宋体" w:cs="Times New Roman"/>
                <w:snapToGrid w:val="0"/>
                <w:color w:val="auto"/>
                <w:spacing w:val="-16"/>
                <w:kern w:val="21"/>
                <w:szCs w:val="21"/>
                <w:highlight w:val="none"/>
              </w:rPr>
            </w:pPr>
            <w:r>
              <w:rPr>
                <w:rFonts w:hint="default" w:ascii="Times New Roman" w:hAnsi="Times New Roman" w:eastAsia="宋体" w:cs="Times New Roman"/>
                <w:snapToGrid w:val="0"/>
                <w:color w:val="auto"/>
                <w:spacing w:val="-16"/>
                <w:kern w:val="21"/>
                <w:szCs w:val="21"/>
                <w:highlight w:val="none"/>
              </w:rPr>
              <w:t>（新建项目不填）</w:t>
            </w:r>
            <w:r>
              <w:rPr>
                <w:rFonts w:hint="default" w:ascii="Times New Roman" w:hAnsi="Times New Roman" w:eastAsia="宋体" w:cs="Times New Roman"/>
                <w:snapToGrid w:val="0"/>
                <w:color w:val="auto"/>
                <w:spacing w:val="-16"/>
                <w:kern w:val="21"/>
                <w:szCs w:val="21"/>
                <w:highlight w:val="none"/>
              </w:rPr>
              <w:fldChar w:fldCharType="begin"/>
            </w:r>
            <w:r>
              <w:rPr>
                <w:rFonts w:hint="default" w:ascii="Times New Roman" w:hAnsi="Times New Roman" w:eastAsia="宋体" w:cs="Times New Roman"/>
                <w:snapToGrid w:val="0"/>
                <w:color w:val="auto"/>
                <w:spacing w:val="-16"/>
                <w:kern w:val="21"/>
                <w:szCs w:val="21"/>
                <w:highlight w:val="none"/>
              </w:rPr>
              <w:instrText xml:space="preserve"> = 5 \* GB3 \* MERGEFORMAT </w:instrText>
            </w:r>
            <w:r>
              <w:rPr>
                <w:rFonts w:hint="default" w:ascii="Times New Roman" w:hAnsi="Times New Roman" w:eastAsia="宋体" w:cs="Times New Roman"/>
                <w:snapToGrid w:val="0"/>
                <w:color w:val="auto"/>
                <w:spacing w:val="-16"/>
                <w:kern w:val="21"/>
                <w:szCs w:val="21"/>
                <w:highlight w:val="none"/>
              </w:rPr>
              <w:fldChar w:fldCharType="separate"/>
            </w:r>
            <w:r>
              <w:rPr>
                <w:rFonts w:hint="default" w:ascii="Times New Roman" w:hAnsi="Times New Roman" w:eastAsia="宋体" w:cs="Times New Roman"/>
                <w:color w:val="auto"/>
                <w:kern w:val="2"/>
                <w:szCs w:val="21"/>
                <w:highlight w:val="none"/>
              </w:rPr>
              <w:t>⑤</w:t>
            </w:r>
            <w:r>
              <w:rPr>
                <w:rFonts w:hint="default" w:ascii="Times New Roman" w:hAnsi="Times New Roman" w:eastAsia="宋体" w:cs="Times New Roman"/>
                <w:snapToGrid w:val="0"/>
                <w:color w:val="auto"/>
                <w:spacing w:val="-16"/>
                <w:kern w:val="21"/>
                <w:szCs w:val="21"/>
                <w:highlight w:val="none"/>
              </w:rPr>
              <w:fldChar w:fldCharType="end"/>
            </w:r>
          </w:p>
        </w:tc>
        <w:tc>
          <w:tcPr>
            <w:tcW w:w="1521" w:type="dxa"/>
            <w:noWrap w:val="0"/>
            <w:tcMar>
              <w:left w:w="28" w:type="dxa"/>
              <w:right w:w="28" w:type="dxa"/>
            </w:tcMar>
            <w:vAlign w:val="center"/>
          </w:tcPr>
          <w:p w14:paraId="378F53A1">
            <w:pPr>
              <w:pStyle w:val="57"/>
              <w:shd w:val="clear"/>
              <w:spacing w:beforeLines="0" w:afterLines="0" w:line="240" w:lineRule="auto"/>
              <w:rPr>
                <w:rFonts w:hint="default" w:ascii="Times New Roman" w:hAnsi="Times New Roman" w:eastAsia="宋体" w:cs="Times New Roman"/>
                <w:snapToGrid w:val="0"/>
                <w:color w:val="auto"/>
                <w:spacing w:val="-16"/>
                <w:kern w:val="21"/>
                <w:szCs w:val="21"/>
                <w:highlight w:val="none"/>
              </w:rPr>
            </w:pPr>
            <w:r>
              <w:rPr>
                <w:rFonts w:hint="default" w:ascii="Times New Roman" w:hAnsi="Times New Roman" w:eastAsia="宋体" w:cs="Times New Roman"/>
                <w:snapToGrid w:val="0"/>
                <w:color w:val="auto"/>
                <w:spacing w:val="-16"/>
                <w:kern w:val="21"/>
                <w:szCs w:val="21"/>
                <w:highlight w:val="none"/>
              </w:rPr>
              <w:t>本项目建成后</w:t>
            </w:r>
          </w:p>
          <w:p w14:paraId="30EF86D0">
            <w:pPr>
              <w:pStyle w:val="57"/>
              <w:shd w:val="clear"/>
              <w:spacing w:beforeLines="0" w:afterLines="0" w:line="240" w:lineRule="auto"/>
              <w:rPr>
                <w:rFonts w:hint="default" w:ascii="Times New Roman" w:hAnsi="Times New Roman" w:eastAsia="宋体" w:cs="Times New Roman"/>
                <w:snapToGrid w:val="0"/>
                <w:color w:val="auto"/>
                <w:spacing w:val="-16"/>
                <w:kern w:val="21"/>
                <w:szCs w:val="21"/>
                <w:highlight w:val="none"/>
              </w:rPr>
            </w:pPr>
            <w:r>
              <w:rPr>
                <w:rFonts w:hint="default" w:ascii="Times New Roman" w:hAnsi="Times New Roman" w:eastAsia="宋体" w:cs="Times New Roman"/>
                <w:snapToGrid w:val="0"/>
                <w:color w:val="auto"/>
                <w:spacing w:val="-16"/>
                <w:kern w:val="21"/>
                <w:szCs w:val="21"/>
                <w:highlight w:val="none"/>
              </w:rPr>
              <w:t>全厂排放量（固体废物产生量）</w:t>
            </w:r>
            <w:r>
              <w:rPr>
                <w:rFonts w:hint="default" w:ascii="Times New Roman" w:hAnsi="Times New Roman" w:eastAsia="宋体" w:cs="Times New Roman"/>
                <w:snapToGrid w:val="0"/>
                <w:color w:val="auto"/>
                <w:spacing w:val="-16"/>
                <w:kern w:val="21"/>
                <w:szCs w:val="21"/>
                <w:highlight w:val="none"/>
              </w:rPr>
              <w:fldChar w:fldCharType="begin"/>
            </w:r>
            <w:r>
              <w:rPr>
                <w:rFonts w:hint="default" w:ascii="Times New Roman" w:hAnsi="Times New Roman" w:eastAsia="宋体" w:cs="Times New Roman"/>
                <w:snapToGrid w:val="0"/>
                <w:color w:val="auto"/>
                <w:spacing w:val="-16"/>
                <w:kern w:val="21"/>
                <w:szCs w:val="21"/>
                <w:highlight w:val="none"/>
              </w:rPr>
              <w:instrText xml:space="preserve"> = 6 \* GB3 \* MERGEFORMAT </w:instrText>
            </w:r>
            <w:r>
              <w:rPr>
                <w:rFonts w:hint="default" w:ascii="Times New Roman" w:hAnsi="Times New Roman" w:eastAsia="宋体" w:cs="Times New Roman"/>
                <w:snapToGrid w:val="0"/>
                <w:color w:val="auto"/>
                <w:spacing w:val="-16"/>
                <w:kern w:val="21"/>
                <w:szCs w:val="21"/>
                <w:highlight w:val="none"/>
              </w:rPr>
              <w:fldChar w:fldCharType="separate"/>
            </w:r>
            <w:r>
              <w:rPr>
                <w:rFonts w:hint="default" w:ascii="Times New Roman" w:hAnsi="Times New Roman" w:eastAsia="宋体" w:cs="Times New Roman"/>
                <w:color w:val="auto"/>
                <w:kern w:val="2"/>
                <w:szCs w:val="21"/>
                <w:highlight w:val="none"/>
              </w:rPr>
              <w:t>⑥</w:t>
            </w:r>
            <w:r>
              <w:rPr>
                <w:rFonts w:hint="default" w:ascii="Times New Roman" w:hAnsi="Times New Roman" w:eastAsia="宋体" w:cs="Times New Roman"/>
                <w:snapToGrid w:val="0"/>
                <w:color w:val="auto"/>
                <w:spacing w:val="-16"/>
                <w:kern w:val="21"/>
                <w:szCs w:val="21"/>
                <w:highlight w:val="none"/>
              </w:rPr>
              <w:fldChar w:fldCharType="end"/>
            </w:r>
          </w:p>
        </w:tc>
        <w:tc>
          <w:tcPr>
            <w:tcW w:w="1472" w:type="dxa"/>
            <w:noWrap w:val="0"/>
            <w:tcMar>
              <w:left w:w="28" w:type="dxa"/>
              <w:right w:w="28" w:type="dxa"/>
            </w:tcMar>
            <w:vAlign w:val="center"/>
          </w:tcPr>
          <w:p w14:paraId="5A12D547">
            <w:pPr>
              <w:pStyle w:val="57"/>
              <w:shd w:val="clear"/>
              <w:spacing w:beforeLines="0" w:afterLines="0" w:line="240" w:lineRule="auto"/>
              <w:rPr>
                <w:rFonts w:hint="default" w:ascii="Times New Roman" w:hAnsi="Times New Roman" w:eastAsia="宋体" w:cs="Times New Roman"/>
                <w:snapToGrid w:val="0"/>
                <w:color w:val="auto"/>
                <w:spacing w:val="-6"/>
                <w:kern w:val="21"/>
                <w:szCs w:val="21"/>
                <w:highlight w:val="none"/>
              </w:rPr>
            </w:pPr>
            <w:r>
              <w:rPr>
                <w:rFonts w:hint="default" w:ascii="Times New Roman" w:hAnsi="Times New Roman" w:eastAsia="宋体" w:cs="Times New Roman"/>
                <w:snapToGrid w:val="0"/>
                <w:color w:val="auto"/>
                <w:spacing w:val="-6"/>
                <w:kern w:val="21"/>
                <w:szCs w:val="21"/>
                <w:highlight w:val="none"/>
              </w:rPr>
              <w:t>变化量</w:t>
            </w:r>
          </w:p>
          <w:p w14:paraId="5FD0B928">
            <w:pPr>
              <w:pStyle w:val="57"/>
              <w:shd w:val="clear"/>
              <w:spacing w:beforeLines="0" w:afterLines="0" w:line="240" w:lineRule="auto"/>
              <w:rPr>
                <w:rFonts w:hint="default" w:ascii="Times New Roman" w:hAnsi="Times New Roman" w:eastAsia="宋体" w:cs="Times New Roman"/>
                <w:snapToGrid w:val="0"/>
                <w:color w:val="auto"/>
                <w:spacing w:val="-6"/>
                <w:kern w:val="21"/>
                <w:szCs w:val="21"/>
                <w:highlight w:val="none"/>
              </w:rPr>
            </w:pPr>
            <w:r>
              <w:rPr>
                <w:rFonts w:hint="default" w:ascii="Times New Roman" w:hAnsi="Times New Roman" w:eastAsia="宋体" w:cs="Times New Roman"/>
                <w:snapToGrid w:val="0"/>
                <w:color w:val="auto"/>
                <w:spacing w:val="-6"/>
                <w:kern w:val="21"/>
                <w:szCs w:val="21"/>
                <w:highlight w:val="none"/>
              </w:rPr>
              <w:fldChar w:fldCharType="begin"/>
            </w:r>
            <w:r>
              <w:rPr>
                <w:rFonts w:hint="default" w:ascii="Times New Roman" w:hAnsi="Times New Roman" w:eastAsia="宋体" w:cs="Times New Roman"/>
                <w:snapToGrid w:val="0"/>
                <w:color w:val="auto"/>
                <w:spacing w:val="-6"/>
                <w:kern w:val="21"/>
                <w:szCs w:val="21"/>
                <w:highlight w:val="none"/>
              </w:rPr>
              <w:instrText xml:space="preserve"> = 7 \* GB3 \* MERGEFORMAT </w:instrText>
            </w:r>
            <w:r>
              <w:rPr>
                <w:rFonts w:hint="default" w:ascii="Times New Roman" w:hAnsi="Times New Roman" w:eastAsia="宋体" w:cs="Times New Roman"/>
                <w:snapToGrid w:val="0"/>
                <w:color w:val="auto"/>
                <w:spacing w:val="-6"/>
                <w:kern w:val="21"/>
                <w:szCs w:val="21"/>
                <w:highlight w:val="none"/>
              </w:rPr>
              <w:fldChar w:fldCharType="separate"/>
            </w:r>
            <w:r>
              <w:rPr>
                <w:rFonts w:hint="default" w:ascii="Times New Roman" w:hAnsi="Times New Roman" w:eastAsia="宋体" w:cs="Times New Roman"/>
                <w:color w:val="auto"/>
                <w:kern w:val="2"/>
                <w:szCs w:val="21"/>
                <w:highlight w:val="none"/>
              </w:rPr>
              <w:t>⑦</w:t>
            </w:r>
            <w:r>
              <w:rPr>
                <w:rFonts w:hint="default" w:ascii="Times New Roman" w:hAnsi="Times New Roman" w:eastAsia="宋体" w:cs="Times New Roman"/>
                <w:snapToGrid w:val="0"/>
                <w:color w:val="auto"/>
                <w:spacing w:val="-6"/>
                <w:kern w:val="21"/>
                <w:szCs w:val="21"/>
                <w:highlight w:val="none"/>
              </w:rPr>
              <w:fldChar w:fldCharType="end"/>
            </w:r>
          </w:p>
        </w:tc>
      </w:tr>
      <w:tr w14:paraId="1A4D6F9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restart"/>
            <w:noWrap w:val="0"/>
            <w:vAlign w:val="center"/>
          </w:tcPr>
          <w:p w14:paraId="426FACFD">
            <w:pPr>
              <w:pStyle w:val="57"/>
              <w:shd w:val="clear"/>
              <w:spacing w:beforeLines="0" w:afterLines="0" w:line="240" w:lineRule="auto"/>
              <w:rPr>
                <w:rFonts w:hint="default" w:ascii="Times New Roman" w:hAnsi="Times New Roman" w:eastAsia="宋体" w:cs="Times New Roman"/>
                <w:snapToGrid w:val="0"/>
                <w:color w:val="auto"/>
                <w:kern w:val="21"/>
                <w:szCs w:val="21"/>
                <w:highlight w:val="none"/>
              </w:rPr>
            </w:pPr>
            <w:r>
              <w:rPr>
                <w:rFonts w:hint="default" w:ascii="Times New Roman" w:hAnsi="Times New Roman" w:eastAsia="宋体" w:cs="Times New Roman"/>
                <w:snapToGrid w:val="0"/>
                <w:color w:val="auto"/>
                <w:kern w:val="21"/>
                <w:szCs w:val="21"/>
                <w:highlight w:val="none"/>
              </w:rPr>
              <w:t>废气</w:t>
            </w:r>
          </w:p>
        </w:tc>
        <w:tc>
          <w:tcPr>
            <w:tcW w:w="1717" w:type="dxa"/>
            <w:noWrap w:val="0"/>
            <w:vAlign w:val="center"/>
          </w:tcPr>
          <w:p w14:paraId="5D339E06">
            <w:pPr>
              <w:jc w:val="center"/>
              <w:rPr>
                <w:rFonts w:hint="default" w:ascii="Times New Roman" w:hAnsi="Times New Roman" w:eastAsia="宋体" w:cs="Times New Roman"/>
                <w:snapToGrid w:val="0"/>
                <w:color w:val="auto"/>
                <w:kern w:val="21"/>
                <w:szCs w:val="21"/>
                <w:highlight w:val="none"/>
                <w:lang w:val="en-US" w:eastAsia="zh-CN"/>
              </w:rPr>
            </w:pPr>
            <w:r>
              <w:rPr>
                <w:rFonts w:hint="eastAsia" w:cs="Times New Roman"/>
                <w:color w:val="auto"/>
                <w:kern w:val="0"/>
                <w:sz w:val="21"/>
                <w:szCs w:val="21"/>
                <w:highlight w:val="none"/>
                <w:lang w:val="en-US" w:eastAsia="zh-CN" w:bidi="ar-SA"/>
              </w:rPr>
              <w:t>非甲烷总烃</w:t>
            </w:r>
          </w:p>
        </w:tc>
        <w:tc>
          <w:tcPr>
            <w:tcW w:w="1401" w:type="dxa"/>
            <w:noWrap w:val="0"/>
            <w:vAlign w:val="center"/>
          </w:tcPr>
          <w:p w14:paraId="791D6C02">
            <w:pPr>
              <w:pStyle w:val="57"/>
              <w:shd w:val="clear"/>
              <w:spacing w:beforeLines="0" w:afterLines="0" w:line="240" w:lineRule="auto"/>
              <w:rPr>
                <w:rFonts w:hint="eastAsia" w:ascii="Times New Roman" w:hAnsi="Times New Roman" w:eastAsia="宋体"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w:t>
            </w:r>
          </w:p>
        </w:tc>
        <w:tc>
          <w:tcPr>
            <w:tcW w:w="1276" w:type="dxa"/>
            <w:noWrap w:val="0"/>
            <w:vAlign w:val="center"/>
          </w:tcPr>
          <w:p w14:paraId="548F0DE3">
            <w:pPr>
              <w:pStyle w:val="57"/>
              <w:shd w:val="clear"/>
              <w:spacing w:beforeLines="0" w:afterLines="0" w:line="240" w:lineRule="auto"/>
              <w:rPr>
                <w:rFonts w:hint="eastAsia" w:ascii="Times New Roman" w:hAnsi="Times New Roman" w:eastAsia="宋体"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w:t>
            </w:r>
          </w:p>
        </w:tc>
        <w:tc>
          <w:tcPr>
            <w:tcW w:w="1701" w:type="dxa"/>
            <w:noWrap w:val="0"/>
            <w:vAlign w:val="center"/>
          </w:tcPr>
          <w:p w14:paraId="73A2614A">
            <w:pPr>
              <w:pStyle w:val="57"/>
              <w:shd w:val="clear"/>
              <w:spacing w:beforeLines="0" w:afterLines="0" w:line="240" w:lineRule="auto"/>
              <w:rPr>
                <w:rFonts w:hint="eastAsia" w:ascii="Times New Roman" w:hAnsi="Times New Roman" w:eastAsia="宋体"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w:t>
            </w:r>
          </w:p>
        </w:tc>
        <w:tc>
          <w:tcPr>
            <w:tcW w:w="1559" w:type="dxa"/>
            <w:noWrap w:val="0"/>
            <w:vAlign w:val="center"/>
          </w:tcPr>
          <w:p w14:paraId="314A1516">
            <w:pPr>
              <w:keepNext w:val="0"/>
              <w:keepLines w:val="0"/>
              <w:widowControl/>
              <w:suppressLineNumbers w:val="0"/>
              <w:jc w:val="center"/>
              <w:textAlignment w:val="center"/>
              <w:rPr>
                <w:rFonts w:hint="default" w:ascii="Times New Roman" w:hAnsi="Times New Roman" w:eastAsia="宋体" w:cs="Times New Roman"/>
                <w:snapToGrid w:val="0"/>
                <w:color w:val="auto"/>
                <w:kern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3.</w:t>
            </w:r>
            <w:r>
              <w:rPr>
                <w:rFonts w:hint="eastAsia" w:cs="Times New Roman"/>
                <w:i w:val="0"/>
                <w:iCs w:val="0"/>
                <w:color w:val="auto"/>
                <w:kern w:val="0"/>
                <w:sz w:val="21"/>
                <w:szCs w:val="21"/>
                <w:highlight w:val="none"/>
                <w:u w:val="none"/>
                <w:lang w:val="en-US" w:eastAsia="zh-CN" w:bidi="ar"/>
              </w:rPr>
              <w:t>1703kg/a</w:t>
            </w:r>
          </w:p>
        </w:tc>
        <w:tc>
          <w:tcPr>
            <w:tcW w:w="1651" w:type="dxa"/>
            <w:noWrap w:val="0"/>
            <w:vAlign w:val="center"/>
          </w:tcPr>
          <w:p w14:paraId="1CE81E93">
            <w:pPr>
              <w:pStyle w:val="57"/>
              <w:shd w:val="clear"/>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cs="Times New Roman"/>
                <w:snapToGrid w:val="0"/>
                <w:color w:val="auto"/>
                <w:kern w:val="21"/>
                <w:szCs w:val="21"/>
                <w:highlight w:val="none"/>
                <w:lang w:val="en-US" w:eastAsia="zh-CN"/>
              </w:rPr>
              <w:t>/</w:t>
            </w:r>
          </w:p>
        </w:tc>
        <w:tc>
          <w:tcPr>
            <w:tcW w:w="1521" w:type="dxa"/>
            <w:noWrap w:val="0"/>
            <w:vAlign w:val="center"/>
          </w:tcPr>
          <w:p w14:paraId="6EB73451">
            <w:pPr>
              <w:keepNext w:val="0"/>
              <w:keepLines w:val="0"/>
              <w:widowControl/>
              <w:suppressLineNumbers w:val="0"/>
              <w:jc w:val="center"/>
              <w:textAlignment w:val="center"/>
              <w:rPr>
                <w:rFonts w:hint="default" w:ascii="Times New Roman" w:hAnsi="Times New Roman" w:eastAsia="宋体" w:cs="Times New Roman"/>
                <w:snapToGrid w:val="0"/>
                <w:color w:val="auto"/>
                <w:kern w:val="21"/>
                <w:szCs w:val="21"/>
                <w:highlight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3.</w:t>
            </w:r>
            <w:r>
              <w:rPr>
                <w:rFonts w:hint="eastAsia" w:cs="Times New Roman"/>
                <w:i w:val="0"/>
                <w:iCs w:val="0"/>
                <w:color w:val="auto"/>
                <w:kern w:val="0"/>
                <w:sz w:val="21"/>
                <w:szCs w:val="21"/>
                <w:highlight w:val="none"/>
                <w:u w:val="none"/>
                <w:lang w:val="en-US" w:eastAsia="zh-CN" w:bidi="ar"/>
              </w:rPr>
              <w:t>1703kg/a</w:t>
            </w:r>
          </w:p>
        </w:tc>
        <w:tc>
          <w:tcPr>
            <w:tcW w:w="1472" w:type="dxa"/>
            <w:noWrap w:val="0"/>
            <w:vAlign w:val="center"/>
          </w:tcPr>
          <w:p w14:paraId="64D0C1FF">
            <w:pPr>
              <w:keepNext w:val="0"/>
              <w:keepLines w:val="0"/>
              <w:widowControl/>
              <w:suppressLineNumbers w:val="0"/>
              <w:jc w:val="center"/>
              <w:textAlignment w:val="center"/>
              <w:rPr>
                <w:rFonts w:hint="default" w:ascii="Times New Roman" w:hAnsi="Times New Roman" w:eastAsia="宋体" w:cs="Times New Roman"/>
                <w:snapToGrid w:val="0"/>
                <w:color w:val="auto"/>
                <w:kern w:val="21"/>
                <w:szCs w:val="21"/>
                <w:highlight w:val="none"/>
                <w:lang w:val="en-US"/>
              </w:rPr>
            </w:pPr>
            <w:r>
              <w:rPr>
                <w:rFonts w:hint="eastAsia" w:cs="Times New Roman"/>
                <w:i w:val="0"/>
                <w:iCs w:val="0"/>
                <w:color w:val="auto"/>
                <w:kern w:val="0"/>
                <w:sz w:val="21"/>
                <w:szCs w:val="21"/>
                <w:highlight w:val="none"/>
                <w:u w:val="none"/>
                <w:lang w:val="en-US" w:eastAsia="zh-CN" w:bidi="ar"/>
              </w:rPr>
              <w:t>+</w:t>
            </w:r>
            <w:r>
              <w:rPr>
                <w:rFonts w:hint="default" w:ascii="Times New Roman" w:hAnsi="Times New Roman" w:eastAsia="宋体" w:cs="Times New Roman"/>
                <w:i w:val="0"/>
                <w:iCs w:val="0"/>
                <w:color w:val="auto"/>
                <w:kern w:val="0"/>
                <w:sz w:val="21"/>
                <w:szCs w:val="21"/>
                <w:highlight w:val="none"/>
                <w:u w:val="none"/>
                <w:lang w:val="en-US" w:eastAsia="zh-CN" w:bidi="ar"/>
              </w:rPr>
              <w:t>3.</w:t>
            </w:r>
            <w:r>
              <w:rPr>
                <w:rFonts w:hint="eastAsia" w:cs="Times New Roman"/>
                <w:i w:val="0"/>
                <w:iCs w:val="0"/>
                <w:color w:val="auto"/>
                <w:kern w:val="0"/>
                <w:sz w:val="21"/>
                <w:szCs w:val="21"/>
                <w:highlight w:val="none"/>
                <w:u w:val="none"/>
                <w:lang w:val="en-US" w:eastAsia="zh-CN" w:bidi="ar"/>
              </w:rPr>
              <w:t>1703kg/a</w:t>
            </w:r>
          </w:p>
        </w:tc>
      </w:tr>
      <w:tr w14:paraId="280EC2A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14:paraId="2B43E309">
            <w:pPr>
              <w:pStyle w:val="57"/>
              <w:shd w:val="clear"/>
              <w:spacing w:beforeLines="0" w:afterLines="0" w:line="240" w:lineRule="auto"/>
              <w:rPr>
                <w:rFonts w:hint="default" w:ascii="Times New Roman" w:hAnsi="Times New Roman" w:eastAsia="宋体" w:cs="Times New Roman"/>
                <w:snapToGrid w:val="0"/>
                <w:color w:val="auto"/>
                <w:kern w:val="21"/>
                <w:szCs w:val="21"/>
                <w:highlight w:val="none"/>
              </w:rPr>
            </w:pPr>
          </w:p>
        </w:tc>
        <w:tc>
          <w:tcPr>
            <w:tcW w:w="1717" w:type="dxa"/>
            <w:noWrap w:val="0"/>
            <w:vAlign w:val="center"/>
          </w:tcPr>
          <w:p w14:paraId="16E1724C">
            <w:pPr>
              <w:jc w:val="center"/>
              <w:rPr>
                <w:rFonts w:hint="default" w:ascii="Times New Roman" w:hAnsi="Times New Roman" w:eastAsia="宋体" w:cs="Times New Roman"/>
                <w:snapToGrid w:val="0"/>
                <w:color w:val="auto"/>
                <w:kern w:val="21"/>
                <w:szCs w:val="21"/>
                <w:highlight w:val="none"/>
                <w:lang w:val="en-US" w:eastAsia="zh-CN"/>
              </w:rPr>
            </w:pPr>
            <w:r>
              <w:rPr>
                <w:rFonts w:hint="eastAsia" w:cs="Times New Roman"/>
                <w:color w:val="auto"/>
                <w:kern w:val="0"/>
                <w:sz w:val="21"/>
                <w:szCs w:val="21"/>
                <w:highlight w:val="none"/>
                <w:lang w:val="en-US" w:eastAsia="zh-CN" w:bidi="ar-SA"/>
              </w:rPr>
              <w:t>其中：</w:t>
            </w:r>
            <w:r>
              <w:rPr>
                <w:rFonts w:hint="default" w:ascii="Times New Roman" w:hAnsi="Times New Roman" w:eastAsia="宋体" w:cs="Times New Roman"/>
                <w:color w:val="auto"/>
                <w:kern w:val="0"/>
                <w:sz w:val="21"/>
                <w:szCs w:val="21"/>
                <w:highlight w:val="none"/>
                <w:lang w:val="en-US" w:eastAsia="zh-CN" w:bidi="ar-SA"/>
              </w:rPr>
              <w:t>甲醇</w:t>
            </w:r>
          </w:p>
        </w:tc>
        <w:tc>
          <w:tcPr>
            <w:tcW w:w="1401" w:type="dxa"/>
            <w:noWrap w:val="0"/>
            <w:vAlign w:val="center"/>
          </w:tcPr>
          <w:p w14:paraId="573D5C29">
            <w:pPr>
              <w:pStyle w:val="57"/>
              <w:shd w:val="clear"/>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cs="Times New Roman"/>
                <w:snapToGrid w:val="0"/>
                <w:color w:val="auto"/>
                <w:kern w:val="21"/>
                <w:szCs w:val="21"/>
                <w:highlight w:val="none"/>
                <w:lang w:val="en-US" w:eastAsia="zh-CN"/>
              </w:rPr>
              <w:t>/</w:t>
            </w:r>
          </w:p>
        </w:tc>
        <w:tc>
          <w:tcPr>
            <w:tcW w:w="1276" w:type="dxa"/>
            <w:noWrap w:val="0"/>
            <w:vAlign w:val="center"/>
          </w:tcPr>
          <w:p w14:paraId="75A26F13">
            <w:pPr>
              <w:pStyle w:val="57"/>
              <w:shd w:val="clear"/>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cs="Times New Roman"/>
                <w:snapToGrid w:val="0"/>
                <w:color w:val="auto"/>
                <w:kern w:val="21"/>
                <w:szCs w:val="21"/>
                <w:highlight w:val="none"/>
                <w:lang w:val="en-US" w:eastAsia="zh-CN"/>
              </w:rPr>
              <w:t>/</w:t>
            </w:r>
          </w:p>
        </w:tc>
        <w:tc>
          <w:tcPr>
            <w:tcW w:w="1701" w:type="dxa"/>
            <w:noWrap w:val="0"/>
            <w:vAlign w:val="center"/>
          </w:tcPr>
          <w:p w14:paraId="712B101F">
            <w:pPr>
              <w:pStyle w:val="57"/>
              <w:shd w:val="clear"/>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cs="Times New Roman"/>
                <w:snapToGrid w:val="0"/>
                <w:color w:val="auto"/>
                <w:kern w:val="21"/>
                <w:szCs w:val="21"/>
                <w:highlight w:val="none"/>
                <w:lang w:val="en-US" w:eastAsia="zh-CN"/>
              </w:rPr>
              <w:t>/</w:t>
            </w:r>
          </w:p>
        </w:tc>
        <w:tc>
          <w:tcPr>
            <w:tcW w:w="1559" w:type="dxa"/>
            <w:noWrap w:val="0"/>
            <w:vAlign w:val="center"/>
          </w:tcPr>
          <w:p w14:paraId="41AF7533">
            <w:pPr>
              <w:keepNext w:val="0"/>
              <w:keepLines w:val="0"/>
              <w:widowControl/>
              <w:suppressLineNumbers w:val="0"/>
              <w:jc w:val="center"/>
              <w:textAlignment w:val="center"/>
              <w:rPr>
                <w:rFonts w:hint="default" w:ascii="Times New Roman"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0.615</w:t>
            </w:r>
            <w:r>
              <w:rPr>
                <w:rFonts w:hint="eastAsia" w:cs="Times New Roman"/>
                <w:i w:val="0"/>
                <w:iCs w:val="0"/>
                <w:color w:val="auto"/>
                <w:kern w:val="0"/>
                <w:sz w:val="21"/>
                <w:szCs w:val="21"/>
                <w:highlight w:val="none"/>
                <w:u w:val="none"/>
                <w:lang w:val="en-US" w:eastAsia="zh-CN" w:bidi="ar"/>
              </w:rPr>
              <w:t>kg/a</w:t>
            </w:r>
          </w:p>
        </w:tc>
        <w:tc>
          <w:tcPr>
            <w:tcW w:w="1651" w:type="dxa"/>
            <w:noWrap w:val="0"/>
            <w:vAlign w:val="center"/>
          </w:tcPr>
          <w:p w14:paraId="1A640DA1">
            <w:pPr>
              <w:pStyle w:val="57"/>
              <w:shd w:val="clear"/>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cs="Times New Roman"/>
                <w:snapToGrid w:val="0"/>
                <w:color w:val="auto"/>
                <w:kern w:val="21"/>
                <w:szCs w:val="21"/>
                <w:highlight w:val="none"/>
                <w:lang w:val="en-US" w:eastAsia="zh-CN"/>
              </w:rPr>
              <w:t>/</w:t>
            </w:r>
          </w:p>
        </w:tc>
        <w:tc>
          <w:tcPr>
            <w:tcW w:w="1521" w:type="dxa"/>
            <w:noWrap w:val="0"/>
            <w:vAlign w:val="center"/>
          </w:tcPr>
          <w:p w14:paraId="21F1A28E">
            <w:pPr>
              <w:keepNext w:val="0"/>
              <w:keepLines w:val="0"/>
              <w:widowControl/>
              <w:suppressLineNumbers w:val="0"/>
              <w:jc w:val="center"/>
              <w:textAlignment w:val="center"/>
              <w:rPr>
                <w:rFonts w:hint="eastAsia" w:ascii="Times New Roman"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0.615</w:t>
            </w:r>
            <w:r>
              <w:rPr>
                <w:rFonts w:hint="eastAsia" w:cs="Times New Roman"/>
                <w:i w:val="0"/>
                <w:iCs w:val="0"/>
                <w:color w:val="auto"/>
                <w:kern w:val="0"/>
                <w:sz w:val="21"/>
                <w:szCs w:val="21"/>
                <w:highlight w:val="none"/>
                <w:u w:val="none"/>
                <w:lang w:val="en-US" w:eastAsia="zh-CN" w:bidi="ar"/>
              </w:rPr>
              <w:t>kg/a</w:t>
            </w:r>
          </w:p>
        </w:tc>
        <w:tc>
          <w:tcPr>
            <w:tcW w:w="1472" w:type="dxa"/>
            <w:noWrap w:val="0"/>
            <w:vAlign w:val="center"/>
          </w:tcPr>
          <w:p w14:paraId="42D68EA1">
            <w:pPr>
              <w:keepNext w:val="0"/>
              <w:keepLines w:val="0"/>
              <w:widowControl/>
              <w:suppressLineNumbers w:val="0"/>
              <w:jc w:val="center"/>
              <w:textAlignment w:val="center"/>
              <w:rPr>
                <w:rFonts w:hint="default" w:ascii="Times New Roman" w:hAnsi="Times New Roman" w:eastAsia="宋体" w:cs="Times New Roman"/>
                <w:snapToGrid w:val="0"/>
                <w:color w:val="auto"/>
                <w:kern w:val="21"/>
                <w:szCs w:val="21"/>
                <w:highlight w:val="none"/>
                <w:lang w:val="en-US" w:eastAsia="zh-CN"/>
              </w:rPr>
            </w:pPr>
            <w:r>
              <w:rPr>
                <w:rFonts w:hint="eastAsia" w:cs="Times New Roman"/>
                <w:i w:val="0"/>
                <w:iCs w:val="0"/>
                <w:color w:val="auto"/>
                <w:kern w:val="0"/>
                <w:sz w:val="21"/>
                <w:szCs w:val="21"/>
                <w:highlight w:val="none"/>
                <w:u w:val="none"/>
                <w:lang w:val="en-US" w:eastAsia="zh-CN" w:bidi="ar"/>
              </w:rPr>
              <w:t>+</w:t>
            </w:r>
            <w:r>
              <w:rPr>
                <w:rFonts w:hint="default" w:ascii="Times New Roman" w:hAnsi="Times New Roman" w:eastAsia="宋体" w:cs="Times New Roman"/>
                <w:i w:val="0"/>
                <w:iCs w:val="0"/>
                <w:color w:val="auto"/>
                <w:kern w:val="0"/>
                <w:sz w:val="21"/>
                <w:szCs w:val="21"/>
                <w:highlight w:val="none"/>
                <w:u w:val="none"/>
                <w:lang w:val="en-US" w:eastAsia="zh-CN" w:bidi="ar"/>
              </w:rPr>
              <w:t>0.615</w:t>
            </w:r>
            <w:r>
              <w:rPr>
                <w:rFonts w:hint="eastAsia" w:cs="Times New Roman"/>
                <w:i w:val="0"/>
                <w:iCs w:val="0"/>
                <w:color w:val="auto"/>
                <w:kern w:val="0"/>
                <w:sz w:val="21"/>
                <w:szCs w:val="21"/>
                <w:highlight w:val="none"/>
                <w:u w:val="none"/>
                <w:lang w:val="en-US" w:eastAsia="zh-CN" w:bidi="ar"/>
              </w:rPr>
              <w:t>kg/a</w:t>
            </w:r>
          </w:p>
        </w:tc>
      </w:tr>
      <w:tr w14:paraId="43E00E2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14:paraId="42E9A86C">
            <w:pPr>
              <w:pStyle w:val="57"/>
              <w:shd w:val="clear"/>
              <w:spacing w:beforeLines="0" w:afterLines="0" w:line="240" w:lineRule="auto"/>
              <w:rPr>
                <w:rFonts w:hint="default" w:ascii="Times New Roman" w:hAnsi="Times New Roman" w:eastAsia="宋体" w:cs="Times New Roman"/>
                <w:snapToGrid w:val="0"/>
                <w:color w:val="auto"/>
                <w:kern w:val="21"/>
                <w:szCs w:val="21"/>
                <w:highlight w:val="none"/>
              </w:rPr>
            </w:pPr>
          </w:p>
        </w:tc>
        <w:tc>
          <w:tcPr>
            <w:tcW w:w="1717" w:type="dxa"/>
            <w:noWrap w:val="0"/>
            <w:vAlign w:val="center"/>
          </w:tcPr>
          <w:p w14:paraId="427A3F01">
            <w:pPr>
              <w:jc w:val="center"/>
              <w:rPr>
                <w:rFonts w:hint="eastAsia" w:ascii="Times New Roman" w:cs="Times New Roman"/>
                <w:snapToGrid w:val="0"/>
                <w:color w:val="auto"/>
                <w:kern w:val="21"/>
                <w:szCs w:val="21"/>
                <w:highlight w:val="none"/>
                <w:lang w:val="en-US" w:eastAsia="zh-CN"/>
              </w:rPr>
            </w:pPr>
            <w:r>
              <w:rPr>
                <w:rFonts w:hint="eastAsia" w:cs="Times New Roman"/>
                <w:color w:val="auto"/>
                <w:kern w:val="0"/>
                <w:sz w:val="21"/>
                <w:szCs w:val="21"/>
                <w:highlight w:val="none"/>
                <w:lang w:val="en-US" w:eastAsia="zh-CN" w:bidi="ar-SA"/>
              </w:rPr>
              <w:t>其中：甲苯</w:t>
            </w:r>
          </w:p>
        </w:tc>
        <w:tc>
          <w:tcPr>
            <w:tcW w:w="1401" w:type="dxa"/>
            <w:noWrap w:val="0"/>
            <w:vAlign w:val="center"/>
          </w:tcPr>
          <w:p w14:paraId="1084C118">
            <w:pPr>
              <w:pStyle w:val="57"/>
              <w:shd w:val="clear"/>
              <w:spacing w:beforeLines="0" w:afterLines="0" w:line="240" w:lineRule="auto"/>
              <w:rPr>
                <w:rFonts w:hint="eastAsia" w:ascii="Times New Roman"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w:t>
            </w:r>
          </w:p>
        </w:tc>
        <w:tc>
          <w:tcPr>
            <w:tcW w:w="1276" w:type="dxa"/>
            <w:noWrap w:val="0"/>
            <w:vAlign w:val="center"/>
          </w:tcPr>
          <w:p w14:paraId="1B693402">
            <w:pPr>
              <w:pStyle w:val="57"/>
              <w:shd w:val="clear"/>
              <w:spacing w:beforeLines="0" w:afterLines="0" w:line="240" w:lineRule="auto"/>
              <w:rPr>
                <w:rFonts w:hint="eastAsia" w:ascii="Times New Roman"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w:t>
            </w:r>
          </w:p>
        </w:tc>
        <w:tc>
          <w:tcPr>
            <w:tcW w:w="1701" w:type="dxa"/>
            <w:noWrap w:val="0"/>
            <w:vAlign w:val="center"/>
          </w:tcPr>
          <w:p w14:paraId="2883A50D">
            <w:pPr>
              <w:pStyle w:val="57"/>
              <w:shd w:val="clear"/>
              <w:spacing w:beforeLines="0" w:afterLines="0" w:line="240" w:lineRule="auto"/>
              <w:rPr>
                <w:rFonts w:hint="eastAsia" w:ascii="Times New Roman" w:cs="Times New Roman"/>
                <w:snapToGrid w:val="0"/>
                <w:color w:val="auto"/>
                <w:kern w:val="21"/>
                <w:szCs w:val="21"/>
                <w:highlight w:val="none"/>
                <w:lang w:val="en-US" w:eastAsia="zh-CN"/>
              </w:rPr>
            </w:pPr>
          </w:p>
        </w:tc>
        <w:tc>
          <w:tcPr>
            <w:tcW w:w="1559" w:type="dxa"/>
            <w:noWrap w:val="0"/>
            <w:vAlign w:val="center"/>
          </w:tcPr>
          <w:p w14:paraId="36049944">
            <w:pPr>
              <w:keepNext w:val="0"/>
              <w:keepLines w:val="0"/>
              <w:widowControl/>
              <w:suppressLineNumbers w:val="0"/>
              <w:jc w:val="center"/>
              <w:textAlignment w:val="center"/>
              <w:rPr>
                <w:rFonts w:hint="default" w:ascii="Times New Roman"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0.42</w:t>
            </w:r>
            <w:r>
              <w:rPr>
                <w:rFonts w:hint="eastAsia" w:cs="Times New Roman"/>
                <w:i w:val="0"/>
                <w:iCs w:val="0"/>
                <w:color w:val="auto"/>
                <w:kern w:val="0"/>
                <w:sz w:val="21"/>
                <w:szCs w:val="21"/>
                <w:highlight w:val="none"/>
                <w:u w:val="none"/>
                <w:lang w:val="en-US" w:eastAsia="zh-CN" w:bidi="ar"/>
              </w:rPr>
              <w:t>kg/a</w:t>
            </w:r>
          </w:p>
        </w:tc>
        <w:tc>
          <w:tcPr>
            <w:tcW w:w="1651" w:type="dxa"/>
            <w:noWrap w:val="0"/>
            <w:vAlign w:val="center"/>
          </w:tcPr>
          <w:p w14:paraId="3AC54B37">
            <w:pPr>
              <w:pStyle w:val="57"/>
              <w:shd w:val="clear"/>
              <w:spacing w:beforeLines="0" w:afterLines="0" w:line="240" w:lineRule="auto"/>
              <w:rPr>
                <w:rFonts w:hint="eastAsia" w:ascii="Times New Roman" w:cs="Times New Roman"/>
                <w:snapToGrid w:val="0"/>
                <w:color w:val="auto"/>
                <w:kern w:val="21"/>
                <w:szCs w:val="21"/>
                <w:highlight w:val="none"/>
                <w:lang w:val="en-US" w:eastAsia="zh-CN"/>
              </w:rPr>
            </w:pPr>
          </w:p>
        </w:tc>
        <w:tc>
          <w:tcPr>
            <w:tcW w:w="1521" w:type="dxa"/>
            <w:noWrap w:val="0"/>
            <w:vAlign w:val="center"/>
          </w:tcPr>
          <w:p w14:paraId="3DCCEE99">
            <w:pPr>
              <w:keepNext w:val="0"/>
              <w:keepLines w:val="0"/>
              <w:widowControl/>
              <w:suppressLineNumbers w:val="0"/>
              <w:jc w:val="center"/>
              <w:textAlignment w:val="center"/>
              <w:rPr>
                <w:rFonts w:hint="eastAsia"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0.42</w:t>
            </w:r>
            <w:r>
              <w:rPr>
                <w:rFonts w:hint="eastAsia" w:cs="Times New Roman"/>
                <w:i w:val="0"/>
                <w:iCs w:val="0"/>
                <w:color w:val="auto"/>
                <w:kern w:val="0"/>
                <w:sz w:val="21"/>
                <w:szCs w:val="21"/>
                <w:highlight w:val="none"/>
                <w:u w:val="none"/>
                <w:lang w:val="en-US" w:eastAsia="zh-CN" w:bidi="ar"/>
              </w:rPr>
              <w:t>kg/a</w:t>
            </w:r>
          </w:p>
        </w:tc>
        <w:tc>
          <w:tcPr>
            <w:tcW w:w="1472" w:type="dxa"/>
            <w:noWrap w:val="0"/>
            <w:vAlign w:val="center"/>
          </w:tcPr>
          <w:p w14:paraId="30C908C9">
            <w:pPr>
              <w:keepNext w:val="0"/>
              <w:keepLines w:val="0"/>
              <w:widowControl/>
              <w:suppressLineNumbers w:val="0"/>
              <w:jc w:val="center"/>
              <w:textAlignment w:val="center"/>
              <w:rPr>
                <w:rFonts w:hint="eastAsia" w:cs="Times New Roman"/>
                <w:i w:val="0"/>
                <w:iCs w:val="0"/>
                <w:color w:val="auto"/>
                <w:sz w:val="21"/>
                <w:szCs w:val="21"/>
                <w:highlight w:val="none"/>
                <w:u w:val="none"/>
                <w:lang w:val="en-US" w:eastAsia="zh-CN"/>
              </w:rPr>
            </w:pPr>
            <w:r>
              <w:rPr>
                <w:rFonts w:hint="eastAsia" w:cs="Times New Roman"/>
                <w:i w:val="0"/>
                <w:iCs w:val="0"/>
                <w:color w:val="auto"/>
                <w:kern w:val="0"/>
                <w:sz w:val="21"/>
                <w:szCs w:val="21"/>
                <w:highlight w:val="none"/>
                <w:u w:val="none"/>
                <w:lang w:val="en-US" w:eastAsia="zh-CN" w:bidi="ar"/>
              </w:rPr>
              <w:t>+</w:t>
            </w:r>
            <w:r>
              <w:rPr>
                <w:rFonts w:hint="default" w:ascii="Times New Roman" w:hAnsi="Times New Roman" w:eastAsia="宋体" w:cs="Times New Roman"/>
                <w:i w:val="0"/>
                <w:iCs w:val="0"/>
                <w:color w:val="auto"/>
                <w:kern w:val="0"/>
                <w:sz w:val="21"/>
                <w:szCs w:val="21"/>
                <w:highlight w:val="none"/>
                <w:u w:val="none"/>
                <w:lang w:val="en-US" w:eastAsia="zh-CN" w:bidi="ar"/>
              </w:rPr>
              <w:t>0.42</w:t>
            </w:r>
            <w:r>
              <w:rPr>
                <w:rFonts w:hint="eastAsia" w:cs="Times New Roman"/>
                <w:i w:val="0"/>
                <w:iCs w:val="0"/>
                <w:color w:val="auto"/>
                <w:kern w:val="0"/>
                <w:sz w:val="21"/>
                <w:szCs w:val="21"/>
                <w:highlight w:val="none"/>
                <w:u w:val="none"/>
                <w:lang w:val="en-US" w:eastAsia="zh-CN" w:bidi="ar"/>
              </w:rPr>
              <w:t>kg/a</w:t>
            </w:r>
          </w:p>
        </w:tc>
      </w:tr>
      <w:tr w14:paraId="616A2E2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14:paraId="0C1BC740">
            <w:pPr>
              <w:pStyle w:val="57"/>
              <w:shd w:val="clear"/>
              <w:spacing w:beforeLines="0" w:afterLines="0" w:line="240" w:lineRule="auto"/>
              <w:rPr>
                <w:rFonts w:hint="default" w:ascii="Times New Roman" w:hAnsi="Times New Roman" w:eastAsia="宋体" w:cs="Times New Roman"/>
                <w:snapToGrid w:val="0"/>
                <w:color w:val="auto"/>
                <w:kern w:val="21"/>
                <w:szCs w:val="21"/>
                <w:highlight w:val="none"/>
              </w:rPr>
            </w:pPr>
          </w:p>
        </w:tc>
        <w:tc>
          <w:tcPr>
            <w:tcW w:w="1717" w:type="dxa"/>
            <w:noWrap w:val="0"/>
            <w:vAlign w:val="center"/>
          </w:tcPr>
          <w:p w14:paraId="48C43B6D">
            <w:pPr>
              <w:jc w:val="center"/>
              <w:rPr>
                <w:rFonts w:hint="eastAsia" w:ascii="Times New Roman" w:cs="Times New Roman"/>
                <w:snapToGrid w:val="0"/>
                <w:color w:val="auto"/>
                <w:kern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bidi="ar-SA"/>
              </w:rPr>
              <w:t>硫酸雾</w:t>
            </w:r>
          </w:p>
        </w:tc>
        <w:tc>
          <w:tcPr>
            <w:tcW w:w="1401" w:type="dxa"/>
            <w:noWrap w:val="0"/>
            <w:vAlign w:val="center"/>
          </w:tcPr>
          <w:p w14:paraId="2667565C">
            <w:pPr>
              <w:pStyle w:val="57"/>
              <w:shd w:val="clear"/>
              <w:spacing w:beforeLines="0" w:afterLines="0" w:line="240" w:lineRule="auto"/>
              <w:rPr>
                <w:rFonts w:hint="eastAsia" w:ascii="Times New Roman"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w:t>
            </w:r>
          </w:p>
        </w:tc>
        <w:tc>
          <w:tcPr>
            <w:tcW w:w="1276" w:type="dxa"/>
            <w:noWrap w:val="0"/>
            <w:vAlign w:val="center"/>
          </w:tcPr>
          <w:p w14:paraId="0EC83A66">
            <w:pPr>
              <w:pStyle w:val="57"/>
              <w:shd w:val="clear"/>
              <w:spacing w:beforeLines="0" w:afterLines="0" w:line="240" w:lineRule="auto"/>
              <w:rPr>
                <w:rFonts w:hint="eastAsia" w:ascii="Times New Roman"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w:t>
            </w:r>
          </w:p>
        </w:tc>
        <w:tc>
          <w:tcPr>
            <w:tcW w:w="1701" w:type="dxa"/>
            <w:noWrap w:val="0"/>
            <w:vAlign w:val="center"/>
          </w:tcPr>
          <w:p w14:paraId="1AF2DA69">
            <w:pPr>
              <w:pStyle w:val="57"/>
              <w:shd w:val="clear"/>
              <w:spacing w:beforeLines="0" w:afterLines="0" w:line="240" w:lineRule="auto"/>
              <w:rPr>
                <w:rFonts w:hint="eastAsia" w:ascii="Times New Roman" w:cs="Times New Roman"/>
                <w:snapToGrid w:val="0"/>
                <w:color w:val="auto"/>
                <w:kern w:val="21"/>
                <w:szCs w:val="21"/>
                <w:highlight w:val="none"/>
                <w:lang w:val="en-US" w:eastAsia="zh-CN"/>
              </w:rPr>
            </w:pPr>
          </w:p>
        </w:tc>
        <w:tc>
          <w:tcPr>
            <w:tcW w:w="1559" w:type="dxa"/>
            <w:noWrap w:val="0"/>
            <w:vAlign w:val="center"/>
          </w:tcPr>
          <w:p w14:paraId="6636F520">
            <w:pPr>
              <w:keepNext w:val="0"/>
              <w:keepLines w:val="0"/>
              <w:widowControl/>
              <w:suppressLineNumbers w:val="0"/>
              <w:jc w:val="center"/>
              <w:textAlignment w:val="center"/>
              <w:rPr>
                <w:rFonts w:hint="default" w:ascii="Times New Roman"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w:t>
            </w:r>
            <w:r>
              <w:rPr>
                <w:rFonts w:hint="eastAsia" w:cs="Times New Roman"/>
                <w:i w:val="0"/>
                <w:iCs w:val="0"/>
                <w:color w:val="auto"/>
                <w:kern w:val="0"/>
                <w:sz w:val="21"/>
                <w:szCs w:val="21"/>
                <w:highlight w:val="none"/>
                <w:u w:val="none"/>
                <w:lang w:val="en-US" w:eastAsia="zh-CN" w:bidi="ar"/>
              </w:rPr>
              <w:t>1063kg/a</w:t>
            </w:r>
          </w:p>
        </w:tc>
        <w:tc>
          <w:tcPr>
            <w:tcW w:w="1651" w:type="dxa"/>
            <w:noWrap w:val="0"/>
            <w:vAlign w:val="center"/>
          </w:tcPr>
          <w:p w14:paraId="135224AD">
            <w:pPr>
              <w:pStyle w:val="57"/>
              <w:shd w:val="clear"/>
              <w:spacing w:beforeLines="0" w:afterLines="0" w:line="240" w:lineRule="auto"/>
              <w:rPr>
                <w:rFonts w:hint="eastAsia" w:ascii="Times New Roman" w:cs="Times New Roman"/>
                <w:snapToGrid w:val="0"/>
                <w:color w:val="auto"/>
                <w:kern w:val="21"/>
                <w:szCs w:val="21"/>
                <w:highlight w:val="none"/>
                <w:lang w:val="en-US" w:eastAsia="zh-CN"/>
              </w:rPr>
            </w:pPr>
          </w:p>
        </w:tc>
        <w:tc>
          <w:tcPr>
            <w:tcW w:w="1521" w:type="dxa"/>
            <w:noWrap w:val="0"/>
            <w:vAlign w:val="center"/>
          </w:tcPr>
          <w:p w14:paraId="52776902">
            <w:pPr>
              <w:keepNext w:val="0"/>
              <w:keepLines w:val="0"/>
              <w:widowControl/>
              <w:suppressLineNumbers w:val="0"/>
              <w:jc w:val="center"/>
              <w:textAlignment w:val="center"/>
              <w:rPr>
                <w:rFonts w:hint="eastAsia"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w:t>
            </w:r>
            <w:r>
              <w:rPr>
                <w:rFonts w:hint="eastAsia" w:cs="Times New Roman"/>
                <w:i w:val="0"/>
                <w:iCs w:val="0"/>
                <w:color w:val="auto"/>
                <w:kern w:val="0"/>
                <w:sz w:val="21"/>
                <w:szCs w:val="21"/>
                <w:highlight w:val="none"/>
                <w:u w:val="none"/>
                <w:lang w:val="en-US" w:eastAsia="zh-CN" w:bidi="ar"/>
              </w:rPr>
              <w:t>1063kg/a</w:t>
            </w:r>
          </w:p>
        </w:tc>
        <w:tc>
          <w:tcPr>
            <w:tcW w:w="1472" w:type="dxa"/>
            <w:noWrap w:val="0"/>
            <w:vAlign w:val="center"/>
          </w:tcPr>
          <w:p w14:paraId="6B705D7B">
            <w:pPr>
              <w:keepNext w:val="0"/>
              <w:keepLines w:val="0"/>
              <w:widowControl/>
              <w:suppressLineNumbers w:val="0"/>
              <w:jc w:val="center"/>
              <w:textAlignment w:val="center"/>
              <w:rPr>
                <w:rFonts w:hint="eastAsia" w:cs="Times New Roman"/>
                <w:i w:val="0"/>
                <w:iCs w:val="0"/>
                <w:color w:val="auto"/>
                <w:sz w:val="21"/>
                <w:szCs w:val="21"/>
                <w:highlight w:val="none"/>
                <w:u w:val="none"/>
                <w:lang w:val="en-US" w:eastAsia="zh-CN"/>
              </w:rPr>
            </w:pPr>
            <w:r>
              <w:rPr>
                <w:rFonts w:hint="eastAsia" w:ascii="Times New Roman" w:hAnsi="Times New Roman" w:eastAsia="宋体" w:cs="Times New Roman"/>
                <w:i w:val="0"/>
                <w:iCs w:val="0"/>
                <w:color w:val="auto"/>
                <w:kern w:val="0"/>
                <w:sz w:val="21"/>
                <w:szCs w:val="21"/>
                <w:highlight w:val="none"/>
                <w:u w:val="none"/>
                <w:lang w:val="en-US" w:eastAsia="zh-CN" w:bidi="ar"/>
              </w:rPr>
              <w:t>+</w:t>
            </w:r>
            <w:r>
              <w:rPr>
                <w:rFonts w:hint="default" w:ascii="Times New Roman" w:hAnsi="Times New Roman" w:eastAsia="宋体" w:cs="Times New Roman"/>
                <w:i w:val="0"/>
                <w:iCs w:val="0"/>
                <w:color w:val="auto"/>
                <w:kern w:val="0"/>
                <w:sz w:val="21"/>
                <w:szCs w:val="21"/>
                <w:highlight w:val="none"/>
                <w:u w:val="none"/>
                <w:lang w:val="en-US" w:eastAsia="zh-CN" w:bidi="ar"/>
              </w:rPr>
              <w:t>0.</w:t>
            </w:r>
            <w:r>
              <w:rPr>
                <w:rFonts w:hint="eastAsia" w:cs="Times New Roman"/>
                <w:i w:val="0"/>
                <w:iCs w:val="0"/>
                <w:color w:val="auto"/>
                <w:kern w:val="0"/>
                <w:sz w:val="21"/>
                <w:szCs w:val="21"/>
                <w:highlight w:val="none"/>
                <w:u w:val="none"/>
                <w:lang w:val="en-US" w:eastAsia="zh-CN" w:bidi="ar"/>
              </w:rPr>
              <w:t>1063kg/a</w:t>
            </w:r>
          </w:p>
        </w:tc>
      </w:tr>
      <w:tr w14:paraId="278D89F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14:paraId="2645AA0A">
            <w:pPr>
              <w:pStyle w:val="57"/>
              <w:shd w:val="clear"/>
              <w:spacing w:beforeLines="0" w:afterLines="0" w:line="240" w:lineRule="auto"/>
              <w:rPr>
                <w:rFonts w:hint="default" w:ascii="Times New Roman" w:hAnsi="Times New Roman" w:eastAsia="宋体" w:cs="Times New Roman"/>
                <w:snapToGrid w:val="0"/>
                <w:color w:val="auto"/>
                <w:kern w:val="21"/>
                <w:szCs w:val="21"/>
                <w:highlight w:val="none"/>
              </w:rPr>
            </w:pPr>
          </w:p>
        </w:tc>
        <w:tc>
          <w:tcPr>
            <w:tcW w:w="1717" w:type="dxa"/>
            <w:noWrap w:val="0"/>
            <w:vAlign w:val="center"/>
          </w:tcPr>
          <w:p w14:paraId="4C686F4B">
            <w:pPr>
              <w:jc w:val="center"/>
              <w:rPr>
                <w:rFonts w:hint="eastAsia" w:ascii="Times New Roman" w:cs="Times New Roman"/>
                <w:snapToGrid w:val="0"/>
                <w:color w:val="auto"/>
                <w:kern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bidi="ar-SA"/>
              </w:rPr>
              <w:t>氯化氢</w:t>
            </w:r>
          </w:p>
        </w:tc>
        <w:tc>
          <w:tcPr>
            <w:tcW w:w="1401" w:type="dxa"/>
            <w:noWrap w:val="0"/>
            <w:vAlign w:val="center"/>
          </w:tcPr>
          <w:p w14:paraId="16667EEF">
            <w:pPr>
              <w:pStyle w:val="57"/>
              <w:shd w:val="clear"/>
              <w:spacing w:beforeLines="0" w:afterLines="0" w:line="240" w:lineRule="auto"/>
              <w:rPr>
                <w:rFonts w:hint="eastAsia" w:ascii="Times New Roman"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w:t>
            </w:r>
          </w:p>
        </w:tc>
        <w:tc>
          <w:tcPr>
            <w:tcW w:w="1276" w:type="dxa"/>
            <w:noWrap w:val="0"/>
            <w:vAlign w:val="center"/>
          </w:tcPr>
          <w:p w14:paraId="41551A94">
            <w:pPr>
              <w:pStyle w:val="57"/>
              <w:shd w:val="clear"/>
              <w:spacing w:beforeLines="0" w:afterLines="0" w:line="240" w:lineRule="auto"/>
              <w:rPr>
                <w:rFonts w:hint="eastAsia" w:ascii="Times New Roman"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w:t>
            </w:r>
          </w:p>
        </w:tc>
        <w:tc>
          <w:tcPr>
            <w:tcW w:w="1701" w:type="dxa"/>
            <w:noWrap w:val="0"/>
            <w:vAlign w:val="center"/>
          </w:tcPr>
          <w:p w14:paraId="568B91B7">
            <w:pPr>
              <w:pStyle w:val="57"/>
              <w:shd w:val="clear"/>
              <w:spacing w:beforeLines="0" w:afterLines="0" w:line="240" w:lineRule="auto"/>
              <w:rPr>
                <w:rFonts w:hint="eastAsia" w:ascii="Times New Roman" w:cs="Times New Roman"/>
                <w:snapToGrid w:val="0"/>
                <w:color w:val="auto"/>
                <w:kern w:val="21"/>
                <w:szCs w:val="21"/>
                <w:highlight w:val="none"/>
                <w:lang w:val="en-US" w:eastAsia="zh-CN"/>
              </w:rPr>
            </w:pPr>
          </w:p>
        </w:tc>
        <w:tc>
          <w:tcPr>
            <w:tcW w:w="1559" w:type="dxa"/>
            <w:noWrap w:val="0"/>
            <w:vAlign w:val="center"/>
          </w:tcPr>
          <w:p w14:paraId="213499D9">
            <w:pPr>
              <w:keepNext w:val="0"/>
              <w:keepLines w:val="0"/>
              <w:widowControl/>
              <w:suppressLineNumbers w:val="0"/>
              <w:jc w:val="center"/>
              <w:textAlignment w:val="center"/>
              <w:rPr>
                <w:rFonts w:hint="default" w:ascii="Times New Roman" w:cs="Times New Roman"/>
                <w:i w:val="0"/>
                <w:iCs w:val="0"/>
                <w:color w:val="auto"/>
                <w:sz w:val="21"/>
                <w:szCs w:val="21"/>
                <w:highlight w:val="none"/>
                <w:u w:val="none"/>
                <w:lang w:val="en-US" w:eastAsia="zh-CN"/>
              </w:rPr>
            </w:pPr>
            <w:r>
              <w:rPr>
                <w:rFonts w:hint="eastAsia" w:cs="Times New Roman"/>
                <w:i w:val="0"/>
                <w:iCs w:val="0"/>
                <w:color w:val="auto"/>
                <w:kern w:val="0"/>
                <w:sz w:val="21"/>
                <w:szCs w:val="21"/>
                <w:highlight w:val="none"/>
                <w:u w:val="none"/>
                <w:lang w:val="en-US" w:eastAsia="zh-CN" w:bidi="ar"/>
              </w:rPr>
              <w:t>4.98675kg/a</w:t>
            </w:r>
          </w:p>
        </w:tc>
        <w:tc>
          <w:tcPr>
            <w:tcW w:w="1651" w:type="dxa"/>
            <w:noWrap w:val="0"/>
            <w:vAlign w:val="center"/>
          </w:tcPr>
          <w:p w14:paraId="7DEA48DD">
            <w:pPr>
              <w:pStyle w:val="57"/>
              <w:shd w:val="clear"/>
              <w:spacing w:beforeLines="0" w:afterLines="0" w:line="240" w:lineRule="auto"/>
              <w:rPr>
                <w:rFonts w:hint="eastAsia" w:ascii="Times New Roman" w:cs="Times New Roman"/>
                <w:snapToGrid w:val="0"/>
                <w:color w:val="auto"/>
                <w:kern w:val="21"/>
                <w:szCs w:val="21"/>
                <w:highlight w:val="none"/>
                <w:lang w:val="en-US" w:eastAsia="zh-CN"/>
              </w:rPr>
            </w:pPr>
          </w:p>
        </w:tc>
        <w:tc>
          <w:tcPr>
            <w:tcW w:w="1521" w:type="dxa"/>
            <w:noWrap w:val="0"/>
            <w:vAlign w:val="center"/>
          </w:tcPr>
          <w:p w14:paraId="5947CBCC">
            <w:pPr>
              <w:keepNext w:val="0"/>
              <w:keepLines w:val="0"/>
              <w:widowControl/>
              <w:suppressLineNumbers w:val="0"/>
              <w:jc w:val="center"/>
              <w:textAlignment w:val="center"/>
              <w:rPr>
                <w:rFonts w:hint="eastAsia" w:cs="Times New Roman"/>
                <w:i w:val="0"/>
                <w:iCs w:val="0"/>
                <w:color w:val="auto"/>
                <w:sz w:val="21"/>
                <w:szCs w:val="21"/>
                <w:highlight w:val="none"/>
                <w:u w:val="none"/>
                <w:lang w:val="en-US" w:eastAsia="zh-CN"/>
              </w:rPr>
            </w:pPr>
            <w:r>
              <w:rPr>
                <w:rFonts w:hint="eastAsia" w:cs="Times New Roman"/>
                <w:i w:val="0"/>
                <w:iCs w:val="0"/>
                <w:color w:val="auto"/>
                <w:kern w:val="0"/>
                <w:sz w:val="21"/>
                <w:szCs w:val="21"/>
                <w:highlight w:val="none"/>
                <w:u w:val="none"/>
                <w:lang w:val="en-US" w:eastAsia="zh-CN" w:bidi="ar"/>
              </w:rPr>
              <w:t>4.98675kg/a</w:t>
            </w:r>
          </w:p>
        </w:tc>
        <w:tc>
          <w:tcPr>
            <w:tcW w:w="1472" w:type="dxa"/>
            <w:noWrap w:val="0"/>
            <w:vAlign w:val="center"/>
          </w:tcPr>
          <w:p w14:paraId="26F6235A">
            <w:pPr>
              <w:keepNext w:val="0"/>
              <w:keepLines w:val="0"/>
              <w:widowControl/>
              <w:suppressLineNumbers w:val="0"/>
              <w:jc w:val="center"/>
              <w:textAlignment w:val="center"/>
              <w:rPr>
                <w:rFonts w:hint="eastAsia" w:cs="Times New Roman"/>
                <w:i w:val="0"/>
                <w:iCs w:val="0"/>
                <w:color w:val="auto"/>
                <w:sz w:val="21"/>
                <w:szCs w:val="21"/>
                <w:highlight w:val="none"/>
                <w:u w:val="none"/>
                <w:lang w:val="en-US" w:eastAsia="zh-CN"/>
              </w:rPr>
            </w:pPr>
            <w:r>
              <w:rPr>
                <w:rFonts w:hint="eastAsia" w:cs="Times New Roman"/>
                <w:i w:val="0"/>
                <w:iCs w:val="0"/>
                <w:color w:val="auto"/>
                <w:kern w:val="0"/>
                <w:sz w:val="21"/>
                <w:szCs w:val="21"/>
                <w:highlight w:val="none"/>
                <w:u w:val="none"/>
                <w:lang w:val="en-US" w:eastAsia="zh-CN" w:bidi="ar"/>
              </w:rPr>
              <w:t>+4.98675kg/a</w:t>
            </w:r>
          </w:p>
        </w:tc>
      </w:tr>
      <w:tr w14:paraId="0DC62C1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14:paraId="232EFDD4">
            <w:pPr>
              <w:pStyle w:val="57"/>
              <w:shd w:val="clear"/>
              <w:spacing w:beforeLines="0" w:afterLines="0" w:line="240" w:lineRule="auto"/>
              <w:rPr>
                <w:rFonts w:hint="default" w:ascii="Times New Roman" w:hAnsi="Times New Roman" w:eastAsia="宋体" w:cs="Times New Roman"/>
                <w:snapToGrid w:val="0"/>
                <w:color w:val="auto"/>
                <w:kern w:val="21"/>
                <w:szCs w:val="21"/>
                <w:highlight w:val="none"/>
              </w:rPr>
            </w:pPr>
          </w:p>
        </w:tc>
        <w:tc>
          <w:tcPr>
            <w:tcW w:w="1717" w:type="dxa"/>
            <w:noWrap w:val="0"/>
            <w:vAlign w:val="center"/>
          </w:tcPr>
          <w:p w14:paraId="77F274B1">
            <w:pPr>
              <w:jc w:val="center"/>
              <w:rPr>
                <w:rFonts w:hint="eastAsia" w:ascii="Times New Roman" w:cs="Times New Roman"/>
                <w:snapToGrid w:val="0"/>
                <w:color w:val="auto"/>
                <w:kern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bidi="ar-SA"/>
              </w:rPr>
              <w:t>颗粒物</w:t>
            </w:r>
          </w:p>
        </w:tc>
        <w:tc>
          <w:tcPr>
            <w:tcW w:w="1401" w:type="dxa"/>
            <w:noWrap w:val="0"/>
            <w:vAlign w:val="center"/>
          </w:tcPr>
          <w:p w14:paraId="094210BB">
            <w:pPr>
              <w:pStyle w:val="57"/>
              <w:shd w:val="clear"/>
              <w:spacing w:beforeLines="0" w:afterLines="0" w:line="240" w:lineRule="auto"/>
              <w:rPr>
                <w:rFonts w:hint="eastAsia" w:ascii="Times New Roman"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w:t>
            </w:r>
          </w:p>
        </w:tc>
        <w:tc>
          <w:tcPr>
            <w:tcW w:w="1276" w:type="dxa"/>
            <w:noWrap w:val="0"/>
            <w:vAlign w:val="center"/>
          </w:tcPr>
          <w:p w14:paraId="73E1DA66">
            <w:pPr>
              <w:pStyle w:val="57"/>
              <w:shd w:val="clear"/>
              <w:spacing w:beforeLines="0" w:afterLines="0" w:line="240" w:lineRule="auto"/>
              <w:rPr>
                <w:rFonts w:hint="eastAsia" w:ascii="Times New Roman"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w:t>
            </w:r>
          </w:p>
        </w:tc>
        <w:tc>
          <w:tcPr>
            <w:tcW w:w="1701" w:type="dxa"/>
            <w:noWrap w:val="0"/>
            <w:vAlign w:val="center"/>
          </w:tcPr>
          <w:p w14:paraId="78C1AFEA">
            <w:pPr>
              <w:pStyle w:val="57"/>
              <w:shd w:val="clear"/>
              <w:spacing w:beforeLines="0" w:afterLines="0" w:line="240" w:lineRule="auto"/>
              <w:rPr>
                <w:rFonts w:hint="eastAsia" w:ascii="Times New Roman" w:cs="Times New Roman"/>
                <w:snapToGrid w:val="0"/>
                <w:color w:val="auto"/>
                <w:kern w:val="21"/>
                <w:szCs w:val="21"/>
                <w:highlight w:val="none"/>
                <w:lang w:val="en-US" w:eastAsia="zh-CN"/>
              </w:rPr>
            </w:pPr>
          </w:p>
        </w:tc>
        <w:tc>
          <w:tcPr>
            <w:tcW w:w="1559" w:type="dxa"/>
            <w:noWrap w:val="0"/>
            <w:vAlign w:val="center"/>
          </w:tcPr>
          <w:p w14:paraId="1203633C">
            <w:pPr>
              <w:keepNext w:val="0"/>
              <w:keepLines w:val="0"/>
              <w:widowControl/>
              <w:suppressLineNumbers w:val="0"/>
              <w:jc w:val="center"/>
              <w:textAlignment w:val="center"/>
              <w:rPr>
                <w:rFonts w:hint="default" w:ascii="Times New Roman"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3.</w:t>
            </w:r>
            <w:r>
              <w:rPr>
                <w:rFonts w:hint="eastAsia" w:cs="Times New Roman"/>
                <w:i w:val="0"/>
                <w:iCs w:val="0"/>
                <w:color w:val="auto"/>
                <w:kern w:val="0"/>
                <w:sz w:val="21"/>
                <w:szCs w:val="21"/>
                <w:highlight w:val="none"/>
                <w:u w:val="none"/>
                <w:lang w:val="en-US" w:eastAsia="zh-CN" w:bidi="ar"/>
              </w:rPr>
              <w:t>4</w:t>
            </w:r>
            <w:r>
              <w:rPr>
                <w:rFonts w:hint="default" w:ascii="Times New Roman" w:hAnsi="Times New Roman" w:eastAsia="宋体" w:cs="Times New Roman"/>
                <w:i w:val="0"/>
                <w:iCs w:val="0"/>
                <w:color w:val="auto"/>
                <w:kern w:val="0"/>
                <w:sz w:val="21"/>
                <w:szCs w:val="21"/>
                <w:highlight w:val="none"/>
                <w:u w:val="none"/>
                <w:lang w:val="en-US" w:eastAsia="zh-CN" w:bidi="ar"/>
              </w:rPr>
              <w:t>4</w:t>
            </w:r>
            <w:r>
              <w:rPr>
                <w:rFonts w:hint="eastAsia" w:cs="Times New Roman"/>
                <w:i w:val="0"/>
                <w:iCs w:val="0"/>
                <w:color w:val="auto"/>
                <w:kern w:val="0"/>
                <w:sz w:val="21"/>
                <w:szCs w:val="21"/>
                <w:highlight w:val="none"/>
                <w:u w:val="none"/>
                <w:lang w:val="en-US" w:eastAsia="zh-CN" w:bidi="ar"/>
              </w:rPr>
              <w:t>kg/a</w:t>
            </w:r>
          </w:p>
        </w:tc>
        <w:tc>
          <w:tcPr>
            <w:tcW w:w="1651" w:type="dxa"/>
            <w:noWrap w:val="0"/>
            <w:vAlign w:val="center"/>
          </w:tcPr>
          <w:p w14:paraId="02371D12">
            <w:pPr>
              <w:pStyle w:val="57"/>
              <w:shd w:val="clear"/>
              <w:spacing w:beforeLines="0" w:afterLines="0" w:line="240" w:lineRule="auto"/>
              <w:rPr>
                <w:rFonts w:hint="eastAsia" w:ascii="Times New Roman" w:cs="Times New Roman"/>
                <w:snapToGrid w:val="0"/>
                <w:color w:val="auto"/>
                <w:kern w:val="21"/>
                <w:szCs w:val="21"/>
                <w:highlight w:val="none"/>
                <w:lang w:val="en-US" w:eastAsia="zh-CN"/>
              </w:rPr>
            </w:pPr>
          </w:p>
        </w:tc>
        <w:tc>
          <w:tcPr>
            <w:tcW w:w="1521" w:type="dxa"/>
            <w:noWrap w:val="0"/>
            <w:vAlign w:val="center"/>
          </w:tcPr>
          <w:p w14:paraId="0D9D00FE">
            <w:pPr>
              <w:keepNext w:val="0"/>
              <w:keepLines w:val="0"/>
              <w:widowControl/>
              <w:suppressLineNumbers w:val="0"/>
              <w:jc w:val="center"/>
              <w:textAlignment w:val="center"/>
              <w:rPr>
                <w:rFonts w:hint="eastAsia"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3.</w:t>
            </w:r>
            <w:r>
              <w:rPr>
                <w:rFonts w:hint="eastAsia" w:cs="Times New Roman"/>
                <w:i w:val="0"/>
                <w:iCs w:val="0"/>
                <w:color w:val="auto"/>
                <w:kern w:val="0"/>
                <w:sz w:val="21"/>
                <w:szCs w:val="21"/>
                <w:highlight w:val="none"/>
                <w:u w:val="none"/>
                <w:lang w:val="en-US" w:eastAsia="zh-CN" w:bidi="ar"/>
              </w:rPr>
              <w:t>4</w:t>
            </w:r>
            <w:r>
              <w:rPr>
                <w:rFonts w:hint="default" w:ascii="Times New Roman" w:hAnsi="Times New Roman" w:eastAsia="宋体" w:cs="Times New Roman"/>
                <w:i w:val="0"/>
                <w:iCs w:val="0"/>
                <w:color w:val="auto"/>
                <w:kern w:val="0"/>
                <w:sz w:val="21"/>
                <w:szCs w:val="21"/>
                <w:highlight w:val="none"/>
                <w:u w:val="none"/>
                <w:lang w:val="en-US" w:eastAsia="zh-CN" w:bidi="ar"/>
              </w:rPr>
              <w:t>4</w:t>
            </w:r>
            <w:r>
              <w:rPr>
                <w:rFonts w:hint="eastAsia" w:cs="Times New Roman"/>
                <w:i w:val="0"/>
                <w:iCs w:val="0"/>
                <w:color w:val="auto"/>
                <w:kern w:val="0"/>
                <w:sz w:val="21"/>
                <w:szCs w:val="21"/>
                <w:highlight w:val="none"/>
                <w:u w:val="none"/>
                <w:lang w:val="en-US" w:eastAsia="zh-CN" w:bidi="ar"/>
              </w:rPr>
              <w:t>kg/a</w:t>
            </w:r>
          </w:p>
        </w:tc>
        <w:tc>
          <w:tcPr>
            <w:tcW w:w="1472" w:type="dxa"/>
            <w:noWrap w:val="0"/>
            <w:vAlign w:val="center"/>
          </w:tcPr>
          <w:p w14:paraId="634ABECA">
            <w:pPr>
              <w:keepNext w:val="0"/>
              <w:keepLines w:val="0"/>
              <w:widowControl/>
              <w:suppressLineNumbers w:val="0"/>
              <w:jc w:val="center"/>
              <w:textAlignment w:val="center"/>
              <w:rPr>
                <w:rFonts w:hint="eastAsia" w:cs="Times New Roman"/>
                <w:i w:val="0"/>
                <w:iCs w:val="0"/>
                <w:color w:val="auto"/>
                <w:sz w:val="21"/>
                <w:szCs w:val="21"/>
                <w:highlight w:val="none"/>
                <w:u w:val="none"/>
                <w:lang w:val="en-US" w:eastAsia="zh-CN"/>
              </w:rPr>
            </w:pPr>
            <w:r>
              <w:rPr>
                <w:rFonts w:hint="eastAsia" w:ascii="Times New Roman" w:hAnsi="Times New Roman" w:eastAsia="宋体" w:cs="Times New Roman"/>
                <w:i w:val="0"/>
                <w:iCs w:val="0"/>
                <w:color w:val="auto"/>
                <w:kern w:val="0"/>
                <w:sz w:val="21"/>
                <w:szCs w:val="21"/>
                <w:highlight w:val="none"/>
                <w:u w:val="none"/>
                <w:lang w:val="en-US" w:eastAsia="zh-CN" w:bidi="ar"/>
              </w:rPr>
              <w:t>+</w:t>
            </w:r>
            <w:r>
              <w:rPr>
                <w:rFonts w:hint="default" w:ascii="Times New Roman" w:hAnsi="Times New Roman" w:eastAsia="宋体" w:cs="Times New Roman"/>
                <w:i w:val="0"/>
                <w:iCs w:val="0"/>
                <w:color w:val="auto"/>
                <w:kern w:val="0"/>
                <w:sz w:val="21"/>
                <w:szCs w:val="21"/>
                <w:highlight w:val="none"/>
                <w:u w:val="none"/>
                <w:lang w:val="en-US" w:eastAsia="zh-CN" w:bidi="ar"/>
              </w:rPr>
              <w:t>3.</w:t>
            </w:r>
            <w:r>
              <w:rPr>
                <w:rFonts w:hint="eastAsia" w:cs="Times New Roman"/>
                <w:i w:val="0"/>
                <w:iCs w:val="0"/>
                <w:color w:val="auto"/>
                <w:kern w:val="0"/>
                <w:sz w:val="21"/>
                <w:szCs w:val="21"/>
                <w:highlight w:val="none"/>
                <w:u w:val="none"/>
                <w:lang w:val="en-US" w:eastAsia="zh-CN" w:bidi="ar"/>
              </w:rPr>
              <w:t>4</w:t>
            </w:r>
            <w:r>
              <w:rPr>
                <w:rFonts w:hint="default" w:ascii="Times New Roman" w:hAnsi="Times New Roman" w:eastAsia="宋体" w:cs="Times New Roman"/>
                <w:i w:val="0"/>
                <w:iCs w:val="0"/>
                <w:color w:val="auto"/>
                <w:kern w:val="0"/>
                <w:sz w:val="21"/>
                <w:szCs w:val="21"/>
                <w:highlight w:val="none"/>
                <w:u w:val="none"/>
                <w:lang w:val="en-US" w:eastAsia="zh-CN" w:bidi="ar"/>
              </w:rPr>
              <w:t>4</w:t>
            </w:r>
            <w:r>
              <w:rPr>
                <w:rFonts w:hint="eastAsia" w:cs="Times New Roman"/>
                <w:i w:val="0"/>
                <w:iCs w:val="0"/>
                <w:color w:val="auto"/>
                <w:kern w:val="0"/>
                <w:sz w:val="21"/>
                <w:szCs w:val="21"/>
                <w:highlight w:val="none"/>
                <w:u w:val="none"/>
                <w:lang w:val="en-US" w:eastAsia="zh-CN" w:bidi="ar"/>
              </w:rPr>
              <w:t>kg/a</w:t>
            </w:r>
          </w:p>
        </w:tc>
      </w:tr>
      <w:tr w14:paraId="00CFF1B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14:paraId="513FBC4A">
            <w:pPr>
              <w:pStyle w:val="57"/>
              <w:shd w:val="clear"/>
              <w:spacing w:beforeLines="0" w:afterLines="0" w:line="240" w:lineRule="auto"/>
              <w:rPr>
                <w:rFonts w:hint="default" w:ascii="Times New Roman" w:hAnsi="Times New Roman" w:eastAsia="宋体" w:cs="Times New Roman"/>
                <w:snapToGrid w:val="0"/>
                <w:color w:val="auto"/>
                <w:kern w:val="21"/>
                <w:szCs w:val="21"/>
                <w:highlight w:val="none"/>
              </w:rPr>
            </w:pPr>
          </w:p>
        </w:tc>
        <w:tc>
          <w:tcPr>
            <w:tcW w:w="1717" w:type="dxa"/>
            <w:noWrap w:val="0"/>
            <w:vAlign w:val="center"/>
          </w:tcPr>
          <w:p w14:paraId="4C66353B">
            <w:pPr>
              <w:jc w:val="center"/>
              <w:rPr>
                <w:rFonts w:hint="eastAsia" w:ascii="Times New Roman" w:cs="Times New Roman"/>
                <w:snapToGrid w:val="0"/>
                <w:color w:val="auto"/>
                <w:kern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bidi="ar-SA"/>
              </w:rPr>
              <w:t>氮氧化物</w:t>
            </w:r>
          </w:p>
        </w:tc>
        <w:tc>
          <w:tcPr>
            <w:tcW w:w="1401" w:type="dxa"/>
            <w:noWrap w:val="0"/>
            <w:vAlign w:val="center"/>
          </w:tcPr>
          <w:p w14:paraId="56699F48">
            <w:pPr>
              <w:pStyle w:val="57"/>
              <w:shd w:val="clear"/>
              <w:spacing w:beforeLines="0" w:afterLines="0" w:line="240" w:lineRule="auto"/>
              <w:rPr>
                <w:rFonts w:hint="eastAsia" w:ascii="Times New Roman"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w:t>
            </w:r>
          </w:p>
        </w:tc>
        <w:tc>
          <w:tcPr>
            <w:tcW w:w="1276" w:type="dxa"/>
            <w:noWrap w:val="0"/>
            <w:vAlign w:val="center"/>
          </w:tcPr>
          <w:p w14:paraId="12F5A000">
            <w:pPr>
              <w:pStyle w:val="57"/>
              <w:shd w:val="clear"/>
              <w:spacing w:beforeLines="0" w:afterLines="0" w:line="240" w:lineRule="auto"/>
              <w:rPr>
                <w:rFonts w:hint="eastAsia" w:ascii="Times New Roman"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w:t>
            </w:r>
          </w:p>
        </w:tc>
        <w:tc>
          <w:tcPr>
            <w:tcW w:w="1701" w:type="dxa"/>
            <w:noWrap w:val="0"/>
            <w:vAlign w:val="center"/>
          </w:tcPr>
          <w:p w14:paraId="0A76ABFB">
            <w:pPr>
              <w:pStyle w:val="57"/>
              <w:shd w:val="clear"/>
              <w:spacing w:beforeLines="0" w:afterLines="0" w:line="240" w:lineRule="auto"/>
              <w:rPr>
                <w:rFonts w:hint="eastAsia" w:ascii="Times New Roman" w:cs="Times New Roman"/>
                <w:snapToGrid w:val="0"/>
                <w:color w:val="auto"/>
                <w:kern w:val="21"/>
                <w:szCs w:val="21"/>
                <w:highlight w:val="none"/>
                <w:lang w:val="en-US" w:eastAsia="zh-CN"/>
              </w:rPr>
            </w:pPr>
          </w:p>
        </w:tc>
        <w:tc>
          <w:tcPr>
            <w:tcW w:w="1559" w:type="dxa"/>
            <w:noWrap w:val="0"/>
            <w:vAlign w:val="center"/>
          </w:tcPr>
          <w:p w14:paraId="7FBB1FE1">
            <w:pPr>
              <w:keepNext w:val="0"/>
              <w:keepLines w:val="0"/>
              <w:widowControl/>
              <w:suppressLineNumbers w:val="0"/>
              <w:jc w:val="center"/>
              <w:textAlignment w:val="center"/>
              <w:rPr>
                <w:rFonts w:hint="default" w:ascii="Times New Roman"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0.5</w:t>
            </w:r>
            <w:r>
              <w:rPr>
                <w:rFonts w:hint="eastAsia" w:cs="Times New Roman"/>
                <w:i w:val="0"/>
                <w:iCs w:val="0"/>
                <w:color w:val="auto"/>
                <w:kern w:val="0"/>
                <w:sz w:val="21"/>
                <w:szCs w:val="21"/>
                <w:highlight w:val="none"/>
                <w:u w:val="none"/>
                <w:lang w:val="en-US" w:eastAsia="zh-CN" w:bidi="ar"/>
              </w:rPr>
              <w:t>917kg/a</w:t>
            </w:r>
          </w:p>
        </w:tc>
        <w:tc>
          <w:tcPr>
            <w:tcW w:w="1651" w:type="dxa"/>
            <w:noWrap w:val="0"/>
            <w:vAlign w:val="center"/>
          </w:tcPr>
          <w:p w14:paraId="0A331B0A">
            <w:pPr>
              <w:pStyle w:val="57"/>
              <w:shd w:val="clear"/>
              <w:spacing w:beforeLines="0" w:afterLines="0" w:line="240" w:lineRule="auto"/>
              <w:rPr>
                <w:rFonts w:hint="eastAsia" w:ascii="Times New Roman" w:cs="Times New Roman"/>
                <w:snapToGrid w:val="0"/>
                <w:color w:val="auto"/>
                <w:kern w:val="21"/>
                <w:szCs w:val="21"/>
                <w:highlight w:val="none"/>
                <w:lang w:val="en-US" w:eastAsia="zh-CN"/>
              </w:rPr>
            </w:pPr>
          </w:p>
        </w:tc>
        <w:tc>
          <w:tcPr>
            <w:tcW w:w="1521" w:type="dxa"/>
            <w:noWrap w:val="0"/>
            <w:vAlign w:val="center"/>
          </w:tcPr>
          <w:p w14:paraId="63004C2E">
            <w:pPr>
              <w:keepNext w:val="0"/>
              <w:keepLines w:val="0"/>
              <w:widowControl/>
              <w:suppressLineNumbers w:val="0"/>
              <w:jc w:val="center"/>
              <w:textAlignment w:val="center"/>
              <w:rPr>
                <w:rFonts w:hint="eastAsia"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0.5</w:t>
            </w:r>
            <w:r>
              <w:rPr>
                <w:rFonts w:hint="eastAsia" w:cs="Times New Roman"/>
                <w:i w:val="0"/>
                <w:iCs w:val="0"/>
                <w:color w:val="auto"/>
                <w:kern w:val="0"/>
                <w:sz w:val="21"/>
                <w:szCs w:val="21"/>
                <w:highlight w:val="none"/>
                <w:u w:val="none"/>
                <w:lang w:val="en-US" w:eastAsia="zh-CN" w:bidi="ar"/>
              </w:rPr>
              <w:t>917kg/a</w:t>
            </w:r>
          </w:p>
        </w:tc>
        <w:tc>
          <w:tcPr>
            <w:tcW w:w="1472" w:type="dxa"/>
            <w:noWrap w:val="0"/>
            <w:vAlign w:val="center"/>
          </w:tcPr>
          <w:p w14:paraId="641F93AB">
            <w:pPr>
              <w:keepNext w:val="0"/>
              <w:keepLines w:val="0"/>
              <w:widowControl/>
              <w:suppressLineNumbers w:val="0"/>
              <w:jc w:val="center"/>
              <w:textAlignment w:val="center"/>
              <w:rPr>
                <w:rFonts w:hint="eastAsia" w:cs="Times New Roman"/>
                <w:i w:val="0"/>
                <w:iCs w:val="0"/>
                <w:color w:val="auto"/>
                <w:sz w:val="21"/>
                <w:szCs w:val="21"/>
                <w:highlight w:val="none"/>
                <w:u w:val="none"/>
                <w:lang w:val="en-US" w:eastAsia="zh-CN"/>
              </w:rPr>
            </w:pPr>
            <w:r>
              <w:rPr>
                <w:rFonts w:hint="eastAsia" w:ascii="Times New Roman" w:hAnsi="Times New Roman" w:eastAsia="宋体" w:cs="Times New Roman"/>
                <w:i w:val="0"/>
                <w:iCs w:val="0"/>
                <w:color w:val="auto"/>
                <w:kern w:val="0"/>
                <w:sz w:val="21"/>
                <w:szCs w:val="21"/>
                <w:highlight w:val="none"/>
                <w:u w:val="none"/>
                <w:lang w:val="en-US" w:eastAsia="zh-CN" w:bidi="ar"/>
              </w:rPr>
              <w:t>+</w:t>
            </w:r>
            <w:r>
              <w:rPr>
                <w:rFonts w:hint="default" w:ascii="Times New Roman" w:hAnsi="Times New Roman" w:eastAsia="宋体" w:cs="Times New Roman"/>
                <w:i w:val="0"/>
                <w:iCs w:val="0"/>
                <w:color w:val="auto"/>
                <w:kern w:val="0"/>
                <w:sz w:val="21"/>
                <w:szCs w:val="21"/>
                <w:highlight w:val="none"/>
                <w:u w:val="none"/>
                <w:lang w:val="en-US" w:eastAsia="zh-CN" w:bidi="ar"/>
              </w:rPr>
              <w:t>0.5</w:t>
            </w:r>
            <w:r>
              <w:rPr>
                <w:rFonts w:hint="eastAsia" w:cs="Times New Roman"/>
                <w:i w:val="0"/>
                <w:iCs w:val="0"/>
                <w:color w:val="auto"/>
                <w:kern w:val="0"/>
                <w:sz w:val="21"/>
                <w:szCs w:val="21"/>
                <w:highlight w:val="none"/>
                <w:u w:val="none"/>
                <w:lang w:val="en-US" w:eastAsia="zh-CN" w:bidi="ar"/>
              </w:rPr>
              <w:t>917kg/a</w:t>
            </w:r>
          </w:p>
        </w:tc>
      </w:tr>
      <w:tr w14:paraId="45F7589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restart"/>
            <w:noWrap w:val="0"/>
            <w:vAlign w:val="center"/>
          </w:tcPr>
          <w:p w14:paraId="16084ACD">
            <w:pPr>
              <w:pStyle w:val="57"/>
              <w:shd w:val="clear"/>
              <w:spacing w:beforeLines="0" w:afterLines="0" w:line="240" w:lineRule="auto"/>
              <w:rPr>
                <w:rFonts w:hint="default" w:ascii="Times New Roman" w:hAnsi="Times New Roman" w:eastAsia="宋体" w:cs="Times New Roman"/>
                <w:snapToGrid w:val="0"/>
                <w:color w:val="auto"/>
                <w:kern w:val="21"/>
                <w:szCs w:val="21"/>
                <w:highlight w:val="none"/>
              </w:rPr>
            </w:pPr>
            <w:r>
              <w:rPr>
                <w:rFonts w:hint="default" w:ascii="Times New Roman" w:hAnsi="Times New Roman" w:eastAsia="宋体" w:cs="Times New Roman"/>
                <w:snapToGrid w:val="0"/>
                <w:color w:val="auto"/>
                <w:kern w:val="21"/>
                <w:szCs w:val="21"/>
                <w:highlight w:val="none"/>
              </w:rPr>
              <w:t>废水</w:t>
            </w:r>
          </w:p>
        </w:tc>
        <w:tc>
          <w:tcPr>
            <w:tcW w:w="1717" w:type="dxa"/>
            <w:noWrap w:val="0"/>
            <w:vAlign w:val="center"/>
          </w:tcPr>
          <w:p w14:paraId="79D2231F">
            <w:pPr>
              <w:widowControl/>
              <w:shd w:val="clear"/>
              <w:spacing w:line="240" w:lineRule="auto"/>
              <w:jc w:val="center"/>
              <w:textAlignment w:val="center"/>
              <w:rPr>
                <w:rFonts w:hint="default" w:ascii="Times New Roman" w:hAnsi="Times New Roman" w:eastAsia="宋体" w:cs="Times New Roman"/>
                <w:snapToGrid w:val="0"/>
                <w:color w:val="auto"/>
                <w:kern w:val="21"/>
                <w:szCs w:val="21"/>
                <w:highlight w:val="none"/>
              </w:rPr>
            </w:pPr>
            <w:r>
              <w:rPr>
                <w:rFonts w:hint="default" w:ascii="Times New Roman" w:hAnsi="Times New Roman" w:eastAsia="宋体" w:cs="Times New Roman"/>
                <w:color w:val="auto"/>
                <w:kern w:val="0"/>
                <w:szCs w:val="21"/>
                <w:highlight w:val="none"/>
                <w:lang w:val="en-US" w:eastAsia="zh-CN" w:bidi="ar"/>
              </w:rPr>
              <w:t>C</w:t>
            </w:r>
            <w:r>
              <w:rPr>
                <w:rFonts w:hint="default" w:ascii="Times New Roman" w:hAnsi="Times New Roman" w:eastAsia="宋体" w:cs="Times New Roman"/>
                <w:color w:val="auto"/>
                <w:kern w:val="0"/>
                <w:szCs w:val="21"/>
                <w:highlight w:val="none"/>
                <w:lang w:bidi="ar"/>
              </w:rPr>
              <w:t>OD</w:t>
            </w:r>
            <w:r>
              <w:rPr>
                <w:rFonts w:hint="default" w:ascii="Times New Roman" w:hAnsi="Times New Roman" w:eastAsia="宋体" w:cs="Times New Roman"/>
                <w:color w:val="auto"/>
                <w:kern w:val="0"/>
                <w:szCs w:val="21"/>
                <w:highlight w:val="none"/>
                <w:lang w:val="en-US" w:eastAsia="zh-CN" w:bidi="ar"/>
              </w:rPr>
              <w:t>cr</w:t>
            </w:r>
          </w:p>
        </w:tc>
        <w:tc>
          <w:tcPr>
            <w:tcW w:w="1401" w:type="dxa"/>
            <w:noWrap w:val="0"/>
            <w:vAlign w:val="center"/>
          </w:tcPr>
          <w:p w14:paraId="088BE857">
            <w:pPr>
              <w:pStyle w:val="57"/>
              <w:shd w:val="clear"/>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cs="Times New Roman"/>
                <w:snapToGrid w:val="0"/>
                <w:color w:val="auto"/>
                <w:kern w:val="21"/>
                <w:szCs w:val="21"/>
                <w:highlight w:val="none"/>
                <w:lang w:val="en-US" w:eastAsia="zh-CN"/>
              </w:rPr>
              <w:t>/</w:t>
            </w:r>
          </w:p>
        </w:tc>
        <w:tc>
          <w:tcPr>
            <w:tcW w:w="1276" w:type="dxa"/>
            <w:noWrap w:val="0"/>
            <w:vAlign w:val="center"/>
          </w:tcPr>
          <w:p w14:paraId="5415B767">
            <w:pPr>
              <w:pStyle w:val="57"/>
              <w:shd w:val="clear"/>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cs="Times New Roman"/>
                <w:snapToGrid w:val="0"/>
                <w:color w:val="auto"/>
                <w:kern w:val="21"/>
                <w:szCs w:val="21"/>
                <w:highlight w:val="none"/>
                <w:lang w:val="en-US" w:eastAsia="zh-CN"/>
              </w:rPr>
              <w:t>/</w:t>
            </w:r>
          </w:p>
        </w:tc>
        <w:tc>
          <w:tcPr>
            <w:tcW w:w="1701" w:type="dxa"/>
            <w:noWrap w:val="0"/>
            <w:vAlign w:val="center"/>
          </w:tcPr>
          <w:p w14:paraId="4A6A8DDA">
            <w:pPr>
              <w:pStyle w:val="57"/>
              <w:shd w:val="clear"/>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cs="Times New Roman"/>
                <w:snapToGrid w:val="0"/>
                <w:color w:val="auto"/>
                <w:kern w:val="21"/>
                <w:szCs w:val="21"/>
                <w:highlight w:val="none"/>
                <w:lang w:val="en-US" w:eastAsia="zh-CN"/>
              </w:rPr>
              <w:t>/</w:t>
            </w:r>
          </w:p>
        </w:tc>
        <w:tc>
          <w:tcPr>
            <w:tcW w:w="1559" w:type="dxa"/>
            <w:noWrap w:val="0"/>
            <w:vAlign w:val="center"/>
          </w:tcPr>
          <w:p w14:paraId="33D1D56D">
            <w:pPr>
              <w:pStyle w:val="57"/>
              <w:shd w:val="clear"/>
              <w:spacing w:beforeLines="0" w:afterLines="0" w:line="240" w:lineRule="auto"/>
              <w:rPr>
                <w:rFonts w:hint="default" w:ascii="Times New Roman" w:hAnsi="Times New Roman" w:eastAsia="宋体" w:cs="Times New Roman"/>
                <w:snapToGrid w:val="0"/>
                <w:color w:val="auto"/>
                <w:kern w:val="21"/>
                <w:szCs w:val="21"/>
                <w:highlight w:val="none"/>
                <w:lang w:val="en-US" w:eastAsia="zh-CN"/>
              </w:rPr>
            </w:pPr>
            <w:r>
              <w:rPr>
                <w:rFonts w:hint="default" w:ascii="Times New Roman" w:hAnsi="Times New Roman" w:eastAsia="宋体" w:cs="Times New Roman"/>
                <w:snapToGrid w:val="0"/>
                <w:color w:val="auto"/>
                <w:kern w:val="21"/>
                <w:szCs w:val="21"/>
                <w:highlight w:val="none"/>
                <w:lang w:val="en-US" w:eastAsia="zh-CN"/>
              </w:rPr>
              <w:t>0.</w:t>
            </w:r>
            <w:r>
              <w:rPr>
                <w:rFonts w:hint="eastAsia" w:ascii="Times New Roman" w:cs="Times New Roman"/>
                <w:snapToGrid w:val="0"/>
                <w:color w:val="auto"/>
                <w:kern w:val="21"/>
                <w:szCs w:val="21"/>
                <w:highlight w:val="none"/>
                <w:lang w:val="en-US" w:eastAsia="zh-CN"/>
              </w:rPr>
              <w:t>0225</w:t>
            </w:r>
            <w:r>
              <w:rPr>
                <w:rFonts w:hint="default" w:ascii="Times New Roman" w:hAnsi="Times New Roman" w:cs="Times New Roman"/>
                <w:snapToGrid w:val="0"/>
                <w:color w:val="auto"/>
                <w:kern w:val="21"/>
                <w:szCs w:val="21"/>
                <w:highlight w:val="none"/>
                <w:lang w:val="en-US" w:eastAsia="zh-CN"/>
              </w:rPr>
              <w:t>t/a</w:t>
            </w:r>
          </w:p>
        </w:tc>
        <w:tc>
          <w:tcPr>
            <w:tcW w:w="1651" w:type="dxa"/>
            <w:noWrap w:val="0"/>
            <w:vAlign w:val="center"/>
          </w:tcPr>
          <w:p w14:paraId="17D0AAC1">
            <w:pPr>
              <w:pStyle w:val="57"/>
              <w:shd w:val="clear"/>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cs="Times New Roman"/>
                <w:snapToGrid w:val="0"/>
                <w:color w:val="auto"/>
                <w:kern w:val="21"/>
                <w:szCs w:val="21"/>
                <w:highlight w:val="none"/>
                <w:lang w:val="en-US" w:eastAsia="zh-CN"/>
              </w:rPr>
              <w:t>/</w:t>
            </w:r>
          </w:p>
        </w:tc>
        <w:tc>
          <w:tcPr>
            <w:tcW w:w="1521" w:type="dxa"/>
            <w:noWrap w:val="0"/>
            <w:vAlign w:val="center"/>
          </w:tcPr>
          <w:p w14:paraId="46464CA5">
            <w:pPr>
              <w:pStyle w:val="57"/>
              <w:shd w:val="clear"/>
              <w:spacing w:beforeLines="0" w:afterLines="0" w:line="240" w:lineRule="auto"/>
              <w:rPr>
                <w:rFonts w:hint="default" w:ascii="Times New Roman" w:hAnsi="Times New Roman" w:eastAsia="宋体" w:cs="Times New Roman"/>
                <w:snapToGrid w:val="0"/>
                <w:color w:val="auto"/>
                <w:kern w:val="21"/>
                <w:szCs w:val="21"/>
                <w:highlight w:val="none"/>
                <w:lang w:val="en-US"/>
              </w:rPr>
            </w:pPr>
            <w:r>
              <w:rPr>
                <w:rFonts w:hint="default" w:ascii="Times New Roman" w:hAnsi="Times New Roman" w:eastAsia="宋体" w:cs="Times New Roman"/>
                <w:snapToGrid w:val="0"/>
                <w:color w:val="auto"/>
                <w:kern w:val="21"/>
                <w:szCs w:val="21"/>
                <w:highlight w:val="none"/>
                <w:lang w:val="en-US" w:eastAsia="zh-CN"/>
              </w:rPr>
              <w:t>0.</w:t>
            </w:r>
            <w:r>
              <w:rPr>
                <w:rFonts w:hint="eastAsia" w:ascii="Times New Roman" w:cs="Times New Roman"/>
                <w:snapToGrid w:val="0"/>
                <w:color w:val="auto"/>
                <w:kern w:val="21"/>
                <w:szCs w:val="21"/>
                <w:highlight w:val="none"/>
                <w:lang w:val="en-US" w:eastAsia="zh-CN"/>
              </w:rPr>
              <w:t>0225</w:t>
            </w:r>
            <w:r>
              <w:rPr>
                <w:rFonts w:hint="default" w:ascii="Times New Roman" w:hAnsi="Times New Roman" w:cs="Times New Roman"/>
                <w:snapToGrid w:val="0"/>
                <w:color w:val="auto"/>
                <w:kern w:val="21"/>
                <w:szCs w:val="21"/>
                <w:highlight w:val="none"/>
                <w:lang w:val="en-US" w:eastAsia="zh-CN"/>
              </w:rPr>
              <w:t>t/a</w:t>
            </w:r>
          </w:p>
        </w:tc>
        <w:tc>
          <w:tcPr>
            <w:tcW w:w="1472" w:type="dxa"/>
            <w:noWrap w:val="0"/>
            <w:vAlign w:val="center"/>
          </w:tcPr>
          <w:p w14:paraId="46FB56C8">
            <w:pPr>
              <w:pStyle w:val="57"/>
              <w:shd w:val="clear"/>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hAnsi="Times New Roman" w:eastAsia="宋体" w:cs="Times New Roman"/>
                <w:snapToGrid w:val="0"/>
                <w:color w:val="auto"/>
                <w:kern w:val="21"/>
                <w:szCs w:val="21"/>
                <w:highlight w:val="none"/>
                <w:lang w:val="en-US" w:eastAsia="zh-CN"/>
              </w:rPr>
              <w:t>+</w:t>
            </w:r>
            <w:r>
              <w:rPr>
                <w:rFonts w:hint="default" w:ascii="Times New Roman" w:hAnsi="Times New Roman" w:eastAsia="宋体" w:cs="Times New Roman"/>
                <w:snapToGrid w:val="0"/>
                <w:color w:val="auto"/>
                <w:kern w:val="21"/>
                <w:szCs w:val="21"/>
                <w:highlight w:val="none"/>
                <w:lang w:val="en-US" w:eastAsia="zh-CN"/>
              </w:rPr>
              <w:t>0.</w:t>
            </w:r>
            <w:r>
              <w:rPr>
                <w:rFonts w:hint="eastAsia" w:ascii="Times New Roman" w:cs="Times New Roman"/>
                <w:snapToGrid w:val="0"/>
                <w:color w:val="auto"/>
                <w:kern w:val="21"/>
                <w:szCs w:val="21"/>
                <w:highlight w:val="none"/>
                <w:lang w:val="en-US" w:eastAsia="zh-CN"/>
              </w:rPr>
              <w:t>0225</w:t>
            </w:r>
            <w:r>
              <w:rPr>
                <w:rFonts w:hint="default" w:ascii="Times New Roman" w:hAnsi="Times New Roman" w:cs="Times New Roman"/>
                <w:snapToGrid w:val="0"/>
                <w:color w:val="auto"/>
                <w:kern w:val="21"/>
                <w:szCs w:val="21"/>
                <w:highlight w:val="none"/>
                <w:lang w:val="en-US" w:eastAsia="zh-CN"/>
              </w:rPr>
              <w:t>t/a</w:t>
            </w:r>
          </w:p>
        </w:tc>
      </w:tr>
      <w:tr w14:paraId="0D21551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14:paraId="3772816C">
            <w:pPr>
              <w:pStyle w:val="57"/>
              <w:shd w:val="clear"/>
              <w:spacing w:beforeLines="0" w:afterLines="0" w:line="240" w:lineRule="auto"/>
              <w:rPr>
                <w:rFonts w:hint="default" w:ascii="Times New Roman" w:hAnsi="Times New Roman" w:eastAsia="宋体" w:cs="Times New Roman"/>
                <w:snapToGrid w:val="0"/>
                <w:color w:val="auto"/>
                <w:kern w:val="21"/>
                <w:szCs w:val="21"/>
                <w:highlight w:val="none"/>
              </w:rPr>
            </w:pPr>
          </w:p>
        </w:tc>
        <w:tc>
          <w:tcPr>
            <w:tcW w:w="1717" w:type="dxa"/>
            <w:noWrap w:val="0"/>
            <w:vAlign w:val="center"/>
          </w:tcPr>
          <w:p w14:paraId="24E1C6D0">
            <w:pPr>
              <w:widowControl/>
              <w:shd w:val="clear"/>
              <w:spacing w:line="240" w:lineRule="auto"/>
              <w:jc w:val="center"/>
              <w:textAlignment w:val="center"/>
              <w:rPr>
                <w:rFonts w:hint="default" w:ascii="Times New Roman" w:hAnsi="Times New Roman" w:eastAsia="宋体" w:cs="Times New Roman"/>
                <w:snapToGrid w:val="0"/>
                <w:color w:val="auto"/>
                <w:kern w:val="21"/>
                <w:szCs w:val="21"/>
                <w:highlight w:val="none"/>
              </w:rPr>
            </w:pPr>
            <w:r>
              <w:rPr>
                <w:rFonts w:hint="default" w:ascii="Times New Roman" w:hAnsi="Times New Roman" w:eastAsia="宋体" w:cs="Times New Roman"/>
                <w:color w:val="auto"/>
                <w:kern w:val="0"/>
                <w:szCs w:val="21"/>
                <w:highlight w:val="none"/>
                <w:lang w:bidi="ar"/>
              </w:rPr>
              <w:t>SS</w:t>
            </w:r>
          </w:p>
        </w:tc>
        <w:tc>
          <w:tcPr>
            <w:tcW w:w="1401" w:type="dxa"/>
            <w:noWrap w:val="0"/>
            <w:vAlign w:val="center"/>
          </w:tcPr>
          <w:p w14:paraId="19846AC7">
            <w:pPr>
              <w:pStyle w:val="57"/>
              <w:shd w:val="clear"/>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cs="Times New Roman"/>
                <w:snapToGrid w:val="0"/>
                <w:color w:val="auto"/>
                <w:kern w:val="21"/>
                <w:szCs w:val="21"/>
                <w:highlight w:val="none"/>
                <w:lang w:val="en-US" w:eastAsia="zh-CN"/>
              </w:rPr>
              <w:t>/</w:t>
            </w:r>
          </w:p>
        </w:tc>
        <w:tc>
          <w:tcPr>
            <w:tcW w:w="1276" w:type="dxa"/>
            <w:noWrap w:val="0"/>
            <w:vAlign w:val="center"/>
          </w:tcPr>
          <w:p w14:paraId="5BA2C22E">
            <w:pPr>
              <w:pStyle w:val="57"/>
              <w:shd w:val="clear"/>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cs="Times New Roman"/>
                <w:snapToGrid w:val="0"/>
                <w:color w:val="auto"/>
                <w:kern w:val="21"/>
                <w:szCs w:val="21"/>
                <w:highlight w:val="none"/>
                <w:lang w:val="en-US" w:eastAsia="zh-CN"/>
              </w:rPr>
              <w:t>/</w:t>
            </w:r>
          </w:p>
        </w:tc>
        <w:tc>
          <w:tcPr>
            <w:tcW w:w="1701" w:type="dxa"/>
            <w:noWrap w:val="0"/>
            <w:vAlign w:val="center"/>
          </w:tcPr>
          <w:p w14:paraId="45EE722E">
            <w:pPr>
              <w:pStyle w:val="57"/>
              <w:shd w:val="clear"/>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cs="Times New Roman"/>
                <w:snapToGrid w:val="0"/>
                <w:color w:val="auto"/>
                <w:kern w:val="21"/>
                <w:szCs w:val="21"/>
                <w:highlight w:val="none"/>
                <w:lang w:val="en-US" w:eastAsia="zh-CN"/>
              </w:rPr>
              <w:t>/</w:t>
            </w:r>
          </w:p>
        </w:tc>
        <w:tc>
          <w:tcPr>
            <w:tcW w:w="1559" w:type="dxa"/>
            <w:noWrap w:val="0"/>
            <w:vAlign w:val="center"/>
          </w:tcPr>
          <w:p w14:paraId="2E818314">
            <w:pPr>
              <w:pStyle w:val="57"/>
              <w:shd w:val="clear"/>
              <w:spacing w:beforeLines="0" w:afterLines="0" w:line="240" w:lineRule="auto"/>
              <w:rPr>
                <w:rFonts w:hint="default" w:ascii="Times New Roman" w:hAnsi="Times New Roman" w:eastAsia="宋体" w:cs="Times New Roman"/>
                <w:snapToGrid w:val="0"/>
                <w:color w:val="auto"/>
                <w:kern w:val="21"/>
                <w:szCs w:val="21"/>
                <w:highlight w:val="none"/>
                <w:lang w:val="en-US" w:eastAsia="zh-CN"/>
              </w:rPr>
            </w:pPr>
            <w:r>
              <w:rPr>
                <w:rFonts w:hint="default" w:ascii="Times New Roman" w:hAnsi="Times New Roman" w:eastAsia="宋体" w:cs="Times New Roman"/>
                <w:snapToGrid w:val="0"/>
                <w:color w:val="auto"/>
                <w:kern w:val="21"/>
                <w:szCs w:val="21"/>
                <w:highlight w:val="none"/>
                <w:lang w:val="en-US" w:eastAsia="zh-CN"/>
              </w:rPr>
              <w:t>0.</w:t>
            </w:r>
            <w:r>
              <w:rPr>
                <w:rFonts w:hint="eastAsia" w:ascii="Times New Roman" w:cs="Times New Roman"/>
                <w:snapToGrid w:val="0"/>
                <w:color w:val="auto"/>
                <w:kern w:val="21"/>
                <w:szCs w:val="21"/>
                <w:highlight w:val="none"/>
                <w:lang w:val="en-US" w:eastAsia="zh-CN"/>
              </w:rPr>
              <w:t>0135</w:t>
            </w:r>
            <w:r>
              <w:rPr>
                <w:rFonts w:hint="default" w:ascii="Times New Roman" w:hAnsi="Times New Roman" w:cs="Times New Roman"/>
                <w:i w:val="0"/>
                <w:iCs w:val="0"/>
                <w:color w:val="auto"/>
                <w:sz w:val="21"/>
                <w:szCs w:val="21"/>
                <w:highlight w:val="none"/>
                <w:u w:val="none"/>
                <w:lang w:val="en-US" w:eastAsia="zh-CN"/>
              </w:rPr>
              <w:t>t/a</w:t>
            </w:r>
          </w:p>
        </w:tc>
        <w:tc>
          <w:tcPr>
            <w:tcW w:w="1651" w:type="dxa"/>
            <w:noWrap w:val="0"/>
            <w:vAlign w:val="center"/>
          </w:tcPr>
          <w:p w14:paraId="5B840C6B">
            <w:pPr>
              <w:pStyle w:val="57"/>
              <w:shd w:val="clear"/>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cs="Times New Roman"/>
                <w:snapToGrid w:val="0"/>
                <w:color w:val="auto"/>
                <w:kern w:val="21"/>
                <w:szCs w:val="21"/>
                <w:highlight w:val="none"/>
                <w:lang w:val="en-US" w:eastAsia="zh-CN"/>
              </w:rPr>
              <w:t>/</w:t>
            </w:r>
          </w:p>
        </w:tc>
        <w:tc>
          <w:tcPr>
            <w:tcW w:w="1521" w:type="dxa"/>
            <w:noWrap w:val="0"/>
            <w:vAlign w:val="center"/>
          </w:tcPr>
          <w:p w14:paraId="7314CD8D">
            <w:pPr>
              <w:pStyle w:val="57"/>
              <w:shd w:val="clear"/>
              <w:spacing w:beforeLines="0" w:afterLines="0" w:line="240" w:lineRule="auto"/>
              <w:rPr>
                <w:rFonts w:hint="default" w:ascii="Times New Roman" w:hAnsi="Times New Roman" w:eastAsia="宋体" w:cs="Times New Roman"/>
                <w:snapToGrid w:val="0"/>
                <w:color w:val="auto"/>
                <w:kern w:val="21"/>
                <w:szCs w:val="21"/>
                <w:highlight w:val="none"/>
                <w:lang w:val="en-US"/>
              </w:rPr>
            </w:pPr>
            <w:r>
              <w:rPr>
                <w:rFonts w:hint="default" w:ascii="Times New Roman" w:hAnsi="Times New Roman" w:eastAsia="宋体" w:cs="Times New Roman"/>
                <w:snapToGrid w:val="0"/>
                <w:color w:val="auto"/>
                <w:kern w:val="21"/>
                <w:szCs w:val="21"/>
                <w:highlight w:val="none"/>
                <w:lang w:val="en-US" w:eastAsia="zh-CN"/>
              </w:rPr>
              <w:t>0.</w:t>
            </w:r>
            <w:r>
              <w:rPr>
                <w:rFonts w:hint="eastAsia" w:ascii="Times New Roman" w:cs="Times New Roman"/>
                <w:snapToGrid w:val="0"/>
                <w:color w:val="auto"/>
                <w:kern w:val="21"/>
                <w:szCs w:val="21"/>
                <w:highlight w:val="none"/>
                <w:lang w:val="en-US" w:eastAsia="zh-CN"/>
              </w:rPr>
              <w:t>0135</w:t>
            </w:r>
            <w:r>
              <w:rPr>
                <w:rFonts w:hint="default" w:ascii="Times New Roman" w:hAnsi="Times New Roman" w:cs="Times New Roman"/>
                <w:i w:val="0"/>
                <w:iCs w:val="0"/>
                <w:color w:val="auto"/>
                <w:sz w:val="21"/>
                <w:szCs w:val="21"/>
                <w:highlight w:val="none"/>
                <w:u w:val="none"/>
                <w:lang w:val="en-US" w:eastAsia="zh-CN"/>
              </w:rPr>
              <w:t>t/a</w:t>
            </w:r>
          </w:p>
        </w:tc>
        <w:tc>
          <w:tcPr>
            <w:tcW w:w="1472" w:type="dxa"/>
            <w:noWrap w:val="0"/>
            <w:vAlign w:val="center"/>
          </w:tcPr>
          <w:p w14:paraId="111DB862">
            <w:pPr>
              <w:pStyle w:val="57"/>
              <w:shd w:val="clear"/>
              <w:spacing w:beforeLines="0" w:afterLines="0" w:line="240" w:lineRule="auto"/>
              <w:rPr>
                <w:rFonts w:hint="default" w:ascii="Times New Roman" w:hAnsi="Times New Roman" w:eastAsia="宋体" w:cs="Times New Roman"/>
                <w:snapToGrid w:val="0"/>
                <w:color w:val="auto"/>
                <w:kern w:val="21"/>
                <w:szCs w:val="21"/>
                <w:highlight w:val="none"/>
                <w:lang w:val="en-US"/>
              </w:rPr>
            </w:pPr>
            <w:r>
              <w:rPr>
                <w:rFonts w:hint="eastAsia" w:ascii="Times New Roman" w:hAnsi="Times New Roman" w:eastAsia="宋体" w:cs="Times New Roman"/>
                <w:snapToGrid w:val="0"/>
                <w:color w:val="auto"/>
                <w:kern w:val="21"/>
                <w:szCs w:val="21"/>
                <w:highlight w:val="none"/>
                <w:lang w:val="en-US" w:eastAsia="zh-CN"/>
              </w:rPr>
              <w:t>+</w:t>
            </w:r>
            <w:r>
              <w:rPr>
                <w:rFonts w:hint="default" w:ascii="Times New Roman" w:hAnsi="Times New Roman" w:eastAsia="宋体" w:cs="Times New Roman"/>
                <w:snapToGrid w:val="0"/>
                <w:color w:val="auto"/>
                <w:kern w:val="21"/>
                <w:szCs w:val="21"/>
                <w:highlight w:val="none"/>
                <w:lang w:val="en-US" w:eastAsia="zh-CN"/>
              </w:rPr>
              <w:t>0.</w:t>
            </w:r>
            <w:r>
              <w:rPr>
                <w:rFonts w:hint="eastAsia" w:ascii="Times New Roman" w:cs="Times New Roman"/>
                <w:snapToGrid w:val="0"/>
                <w:color w:val="auto"/>
                <w:kern w:val="21"/>
                <w:szCs w:val="21"/>
                <w:highlight w:val="none"/>
                <w:lang w:val="en-US" w:eastAsia="zh-CN"/>
              </w:rPr>
              <w:t>0135</w:t>
            </w:r>
            <w:r>
              <w:rPr>
                <w:rFonts w:hint="default" w:ascii="Times New Roman" w:hAnsi="Times New Roman" w:cs="Times New Roman"/>
                <w:i w:val="0"/>
                <w:iCs w:val="0"/>
                <w:color w:val="auto"/>
                <w:sz w:val="21"/>
                <w:szCs w:val="21"/>
                <w:highlight w:val="none"/>
                <w:u w:val="none"/>
                <w:lang w:val="en-US" w:eastAsia="zh-CN"/>
              </w:rPr>
              <w:t>t/a</w:t>
            </w:r>
          </w:p>
        </w:tc>
      </w:tr>
      <w:tr w14:paraId="38F8721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14:paraId="2E64EDAF">
            <w:pPr>
              <w:pStyle w:val="57"/>
              <w:shd w:val="clear"/>
              <w:spacing w:beforeLines="0" w:afterLines="0" w:line="240" w:lineRule="auto"/>
              <w:rPr>
                <w:rFonts w:hint="default" w:ascii="Times New Roman" w:hAnsi="Times New Roman" w:eastAsia="宋体" w:cs="Times New Roman"/>
                <w:snapToGrid w:val="0"/>
                <w:color w:val="auto"/>
                <w:kern w:val="21"/>
                <w:szCs w:val="21"/>
                <w:highlight w:val="none"/>
              </w:rPr>
            </w:pPr>
          </w:p>
        </w:tc>
        <w:tc>
          <w:tcPr>
            <w:tcW w:w="1717" w:type="dxa"/>
            <w:noWrap w:val="0"/>
            <w:vAlign w:val="center"/>
          </w:tcPr>
          <w:p w14:paraId="4EDF5D9A">
            <w:pPr>
              <w:widowControl/>
              <w:shd w:val="clear"/>
              <w:spacing w:line="240" w:lineRule="auto"/>
              <w:jc w:val="center"/>
              <w:textAlignment w:val="center"/>
              <w:rPr>
                <w:rFonts w:hint="default" w:ascii="Times New Roman" w:hAnsi="Times New Roman" w:eastAsia="宋体" w:cs="Times New Roman"/>
                <w:snapToGrid w:val="0"/>
                <w:color w:val="auto"/>
                <w:kern w:val="21"/>
                <w:szCs w:val="21"/>
                <w:highlight w:val="none"/>
              </w:rPr>
            </w:pPr>
            <w:r>
              <w:rPr>
                <w:rFonts w:hint="default" w:ascii="Times New Roman" w:hAnsi="Times New Roman" w:eastAsia="宋体" w:cs="Times New Roman"/>
                <w:color w:val="auto"/>
                <w:kern w:val="0"/>
                <w:szCs w:val="21"/>
                <w:highlight w:val="none"/>
                <w:lang w:bidi="ar"/>
              </w:rPr>
              <w:t>NH</w:t>
            </w:r>
            <w:r>
              <w:rPr>
                <w:rFonts w:hint="default" w:ascii="Times New Roman" w:hAnsi="Times New Roman" w:eastAsia="宋体" w:cs="Times New Roman"/>
                <w:color w:val="auto"/>
                <w:kern w:val="0"/>
                <w:szCs w:val="21"/>
                <w:highlight w:val="none"/>
                <w:vertAlign w:val="subscript"/>
                <w:lang w:bidi="ar"/>
              </w:rPr>
              <w:t>3</w:t>
            </w:r>
            <w:r>
              <w:rPr>
                <w:rFonts w:hint="default" w:ascii="Times New Roman" w:hAnsi="Times New Roman" w:eastAsia="宋体" w:cs="Times New Roman"/>
                <w:color w:val="auto"/>
                <w:kern w:val="0"/>
                <w:szCs w:val="21"/>
                <w:highlight w:val="none"/>
                <w:lang w:bidi="ar"/>
              </w:rPr>
              <w:t>-N</w:t>
            </w:r>
          </w:p>
        </w:tc>
        <w:tc>
          <w:tcPr>
            <w:tcW w:w="1401" w:type="dxa"/>
            <w:noWrap w:val="0"/>
            <w:vAlign w:val="center"/>
          </w:tcPr>
          <w:p w14:paraId="294548C5">
            <w:pPr>
              <w:pStyle w:val="57"/>
              <w:shd w:val="clear"/>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cs="Times New Roman"/>
                <w:snapToGrid w:val="0"/>
                <w:color w:val="auto"/>
                <w:kern w:val="21"/>
                <w:szCs w:val="21"/>
                <w:highlight w:val="none"/>
                <w:lang w:val="en-US" w:eastAsia="zh-CN"/>
              </w:rPr>
              <w:t>/</w:t>
            </w:r>
          </w:p>
        </w:tc>
        <w:tc>
          <w:tcPr>
            <w:tcW w:w="1276" w:type="dxa"/>
            <w:noWrap w:val="0"/>
            <w:vAlign w:val="center"/>
          </w:tcPr>
          <w:p w14:paraId="77A9BAF5">
            <w:pPr>
              <w:pStyle w:val="57"/>
              <w:shd w:val="clear"/>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cs="Times New Roman"/>
                <w:snapToGrid w:val="0"/>
                <w:color w:val="auto"/>
                <w:kern w:val="21"/>
                <w:szCs w:val="21"/>
                <w:highlight w:val="none"/>
                <w:lang w:val="en-US" w:eastAsia="zh-CN"/>
              </w:rPr>
              <w:t>/</w:t>
            </w:r>
          </w:p>
        </w:tc>
        <w:tc>
          <w:tcPr>
            <w:tcW w:w="1701" w:type="dxa"/>
            <w:noWrap w:val="0"/>
            <w:vAlign w:val="center"/>
          </w:tcPr>
          <w:p w14:paraId="1637C829">
            <w:pPr>
              <w:pStyle w:val="57"/>
              <w:shd w:val="clear"/>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cs="Times New Roman"/>
                <w:snapToGrid w:val="0"/>
                <w:color w:val="auto"/>
                <w:kern w:val="21"/>
                <w:szCs w:val="21"/>
                <w:highlight w:val="none"/>
                <w:lang w:val="en-US" w:eastAsia="zh-CN"/>
              </w:rPr>
              <w:t>/</w:t>
            </w:r>
          </w:p>
        </w:tc>
        <w:tc>
          <w:tcPr>
            <w:tcW w:w="1559" w:type="dxa"/>
            <w:noWrap w:val="0"/>
            <w:vAlign w:val="center"/>
          </w:tcPr>
          <w:p w14:paraId="33A83CF4">
            <w:pPr>
              <w:pStyle w:val="57"/>
              <w:shd w:val="clear"/>
              <w:spacing w:beforeLines="0" w:afterLines="0" w:line="240" w:lineRule="auto"/>
              <w:rPr>
                <w:rFonts w:hint="default" w:ascii="Times New Roman" w:hAnsi="Times New Roman" w:eastAsia="宋体" w:cs="Times New Roman"/>
                <w:snapToGrid w:val="0"/>
                <w:color w:val="auto"/>
                <w:kern w:val="21"/>
                <w:szCs w:val="21"/>
                <w:highlight w:val="none"/>
                <w:lang w:val="en-US" w:eastAsia="zh-CN"/>
              </w:rPr>
            </w:pPr>
            <w:r>
              <w:rPr>
                <w:rFonts w:hint="default" w:ascii="Times New Roman" w:hAnsi="Times New Roman" w:eastAsia="宋体" w:cs="Times New Roman"/>
                <w:snapToGrid w:val="0"/>
                <w:color w:val="auto"/>
                <w:kern w:val="21"/>
                <w:szCs w:val="21"/>
                <w:highlight w:val="none"/>
                <w:lang w:val="en-US" w:eastAsia="zh-CN"/>
              </w:rPr>
              <w:t>0.0</w:t>
            </w:r>
            <w:r>
              <w:rPr>
                <w:rFonts w:hint="eastAsia" w:ascii="Times New Roman" w:cs="Times New Roman"/>
                <w:snapToGrid w:val="0"/>
                <w:color w:val="auto"/>
                <w:kern w:val="21"/>
                <w:szCs w:val="21"/>
                <w:highlight w:val="none"/>
                <w:lang w:val="en-US" w:eastAsia="zh-CN"/>
              </w:rPr>
              <w:t>027</w:t>
            </w:r>
            <w:r>
              <w:rPr>
                <w:rFonts w:hint="default" w:ascii="Times New Roman" w:hAnsi="Times New Roman" w:cs="Times New Roman"/>
                <w:i w:val="0"/>
                <w:iCs w:val="0"/>
                <w:color w:val="auto"/>
                <w:sz w:val="21"/>
                <w:szCs w:val="21"/>
                <w:highlight w:val="none"/>
                <w:u w:val="none"/>
                <w:lang w:val="en-US" w:eastAsia="zh-CN"/>
              </w:rPr>
              <w:t>t/a</w:t>
            </w:r>
          </w:p>
        </w:tc>
        <w:tc>
          <w:tcPr>
            <w:tcW w:w="1651" w:type="dxa"/>
            <w:noWrap w:val="0"/>
            <w:vAlign w:val="center"/>
          </w:tcPr>
          <w:p w14:paraId="1F2508EA">
            <w:pPr>
              <w:pStyle w:val="57"/>
              <w:shd w:val="clear"/>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cs="Times New Roman"/>
                <w:snapToGrid w:val="0"/>
                <w:color w:val="auto"/>
                <w:kern w:val="21"/>
                <w:szCs w:val="21"/>
                <w:highlight w:val="none"/>
                <w:lang w:val="en-US" w:eastAsia="zh-CN"/>
              </w:rPr>
              <w:t>/</w:t>
            </w:r>
          </w:p>
        </w:tc>
        <w:tc>
          <w:tcPr>
            <w:tcW w:w="1521" w:type="dxa"/>
            <w:noWrap w:val="0"/>
            <w:vAlign w:val="center"/>
          </w:tcPr>
          <w:p w14:paraId="77F79FAF">
            <w:pPr>
              <w:pStyle w:val="57"/>
              <w:shd w:val="clear"/>
              <w:spacing w:beforeLines="0" w:afterLines="0" w:line="240" w:lineRule="auto"/>
              <w:rPr>
                <w:rFonts w:hint="default" w:ascii="Times New Roman" w:hAnsi="Times New Roman" w:eastAsia="宋体" w:cs="Times New Roman"/>
                <w:snapToGrid w:val="0"/>
                <w:color w:val="auto"/>
                <w:kern w:val="21"/>
                <w:szCs w:val="21"/>
                <w:highlight w:val="none"/>
                <w:lang w:val="en-US"/>
              </w:rPr>
            </w:pPr>
            <w:r>
              <w:rPr>
                <w:rFonts w:hint="default" w:ascii="Times New Roman" w:hAnsi="Times New Roman" w:eastAsia="宋体" w:cs="Times New Roman"/>
                <w:snapToGrid w:val="0"/>
                <w:color w:val="auto"/>
                <w:kern w:val="21"/>
                <w:szCs w:val="21"/>
                <w:highlight w:val="none"/>
                <w:lang w:val="en-US" w:eastAsia="zh-CN"/>
              </w:rPr>
              <w:t>0.0</w:t>
            </w:r>
            <w:r>
              <w:rPr>
                <w:rFonts w:hint="eastAsia" w:ascii="Times New Roman" w:cs="Times New Roman"/>
                <w:snapToGrid w:val="0"/>
                <w:color w:val="auto"/>
                <w:kern w:val="21"/>
                <w:szCs w:val="21"/>
                <w:highlight w:val="none"/>
                <w:lang w:val="en-US" w:eastAsia="zh-CN"/>
              </w:rPr>
              <w:t>027</w:t>
            </w:r>
            <w:r>
              <w:rPr>
                <w:rFonts w:hint="default" w:ascii="Times New Roman" w:hAnsi="Times New Roman" w:cs="Times New Roman"/>
                <w:i w:val="0"/>
                <w:iCs w:val="0"/>
                <w:color w:val="auto"/>
                <w:sz w:val="21"/>
                <w:szCs w:val="21"/>
                <w:highlight w:val="none"/>
                <w:u w:val="none"/>
                <w:lang w:val="en-US" w:eastAsia="zh-CN"/>
              </w:rPr>
              <w:t>t/a</w:t>
            </w:r>
          </w:p>
        </w:tc>
        <w:tc>
          <w:tcPr>
            <w:tcW w:w="1472" w:type="dxa"/>
            <w:noWrap w:val="0"/>
            <w:vAlign w:val="center"/>
          </w:tcPr>
          <w:p w14:paraId="526491AB">
            <w:pPr>
              <w:pStyle w:val="57"/>
              <w:shd w:val="clear"/>
              <w:spacing w:beforeLines="0" w:afterLines="0" w:line="240" w:lineRule="auto"/>
              <w:rPr>
                <w:rFonts w:hint="default" w:ascii="Times New Roman" w:hAnsi="Times New Roman" w:eastAsia="宋体" w:cs="Times New Roman"/>
                <w:snapToGrid w:val="0"/>
                <w:color w:val="auto"/>
                <w:kern w:val="21"/>
                <w:szCs w:val="21"/>
                <w:highlight w:val="none"/>
                <w:lang w:val="en-US"/>
              </w:rPr>
            </w:pPr>
            <w:r>
              <w:rPr>
                <w:rFonts w:hint="eastAsia" w:ascii="Times New Roman" w:hAnsi="Times New Roman" w:eastAsia="宋体" w:cs="Times New Roman"/>
                <w:snapToGrid w:val="0"/>
                <w:color w:val="auto"/>
                <w:kern w:val="21"/>
                <w:szCs w:val="21"/>
                <w:highlight w:val="none"/>
                <w:lang w:val="en-US" w:eastAsia="zh-CN"/>
              </w:rPr>
              <w:t>+</w:t>
            </w:r>
            <w:r>
              <w:rPr>
                <w:rFonts w:hint="default" w:ascii="Times New Roman" w:hAnsi="Times New Roman" w:eastAsia="宋体" w:cs="Times New Roman"/>
                <w:snapToGrid w:val="0"/>
                <w:color w:val="auto"/>
                <w:kern w:val="21"/>
                <w:szCs w:val="21"/>
                <w:highlight w:val="none"/>
                <w:lang w:val="en-US" w:eastAsia="zh-CN"/>
              </w:rPr>
              <w:t>0.0</w:t>
            </w:r>
            <w:r>
              <w:rPr>
                <w:rFonts w:hint="eastAsia" w:ascii="Times New Roman" w:cs="Times New Roman"/>
                <w:snapToGrid w:val="0"/>
                <w:color w:val="auto"/>
                <w:kern w:val="21"/>
                <w:szCs w:val="21"/>
                <w:highlight w:val="none"/>
                <w:lang w:val="en-US" w:eastAsia="zh-CN"/>
              </w:rPr>
              <w:t>027</w:t>
            </w:r>
            <w:r>
              <w:rPr>
                <w:rFonts w:hint="default" w:ascii="Times New Roman" w:hAnsi="Times New Roman" w:cs="Times New Roman"/>
                <w:i w:val="0"/>
                <w:iCs w:val="0"/>
                <w:color w:val="auto"/>
                <w:sz w:val="21"/>
                <w:szCs w:val="21"/>
                <w:highlight w:val="none"/>
                <w:u w:val="none"/>
                <w:lang w:val="en-US" w:eastAsia="zh-CN"/>
              </w:rPr>
              <w:t>t/a</w:t>
            </w:r>
          </w:p>
        </w:tc>
      </w:tr>
      <w:tr w14:paraId="7748152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14:paraId="460FEB0C">
            <w:pPr>
              <w:pStyle w:val="57"/>
              <w:shd w:val="clear"/>
              <w:spacing w:beforeLines="0" w:afterLines="0" w:line="240" w:lineRule="auto"/>
              <w:rPr>
                <w:rFonts w:hint="default" w:ascii="Times New Roman" w:hAnsi="Times New Roman" w:eastAsia="宋体" w:cs="Times New Roman"/>
                <w:snapToGrid w:val="0"/>
                <w:color w:val="auto"/>
                <w:kern w:val="21"/>
                <w:szCs w:val="21"/>
                <w:highlight w:val="none"/>
              </w:rPr>
            </w:pPr>
          </w:p>
        </w:tc>
        <w:tc>
          <w:tcPr>
            <w:tcW w:w="1717" w:type="dxa"/>
            <w:noWrap w:val="0"/>
            <w:vAlign w:val="center"/>
          </w:tcPr>
          <w:p w14:paraId="4D93CF8E">
            <w:pPr>
              <w:widowControl/>
              <w:shd w:val="clear"/>
              <w:spacing w:line="240" w:lineRule="auto"/>
              <w:jc w:val="center"/>
              <w:textAlignment w:val="center"/>
              <w:rPr>
                <w:rFonts w:hint="default" w:ascii="Times New Roman" w:hAnsi="Times New Roman" w:eastAsia="宋体" w:cs="Times New Roman"/>
                <w:snapToGrid w:val="0"/>
                <w:color w:val="auto"/>
                <w:kern w:val="21"/>
                <w:szCs w:val="21"/>
                <w:highlight w:val="none"/>
              </w:rPr>
            </w:pPr>
            <w:r>
              <w:rPr>
                <w:rFonts w:hint="default" w:ascii="Times New Roman" w:hAnsi="Times New Roman" w:eastAsia="宋体" w:cs="Times New Roman"/>
                <w:color w:val="auto"/>
                <w:kern w:val="0"/>
                <w:szCs w:val="21"/>
                <w:highlight w:val="none"/>
                <w:lang w:bidi="ar"/>
              </w:rPr>
              <w:t>BOD</w:t>
            </w:r>
            <w:r>
              <w:rPr>
                <w:rFonts w:hint="default" w:ascii="Times New Roman" w:hAnsi="Times New Roman" w:eastAsia="宋体" w:cs="Times New Roman"/>
                <w:color w:val="auto"/>
                <w:kern w:val="0"/>
                <w:szCs w:val="21"/>
                <w:highlight w:val="none"/>
                <w:vertAlign w:val="subscript"/>
                <w:lang w:bidi="ar"/>
              </w:rPr>
              <w:t>5</w:t>
            </w:r>
          </w:p>
        </w:tc>
        <w:tc>
          <w:tcPr>
            <w:tcW w:w="1401" w:type="dxa"/>
            <w:noWrap w:val="0"/>
            <w:vAlign w:val="center"/>
          </w:tcPr>
          <w:p w14:paraId="3B7112FE">
            <w:pPr>
              <w:pStyle w:val="57"/>
              <w:shd w:val="clear"/>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cs="Times New Roman"/>
                <w:snapToGrid w:val="0"/>
                <w:color w:val="auto"/>
                <w:kern w:val="21"/>
                <w:szCs w:val="21"/>
                <w:highlight w:val="none"/>
                <w:lang w:val="en-US" w:eastAsia="zh-CN"/>
              </w:rPr>
              <w:t>/</w:t>
            </w:r>
          </w:p>
        </w:tc>
        <w:tc>
          <w:tcPr>
            <w:tcW w:w="1276" w:type="dxa"/>
            <w:noWrap w:val="0"/>
            <w:vAlign w:val="center"/>
          </w:tcPr>
          <w:p w14:paraId="0BD8098F">
            <w:pPr>
              <w:pStyle w:val="57"/>
              <w:shd w:val="clear"/>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cs="Times New Roman"/>
                <w:snapToGrid w:val="0"/>
                <w:color w:val="auto"/>
                <w:kern w:val="21"/>
                <w:szCs w:val="21"/>
                <w:highlight w:val="none"/>
                <w:lang w:val="en-US" w:eastAsia="zh-CN"/>
              </w:rPr>
              <w:t>/</w:t>
            </w:r>
          </w:p>
        </w:tc>
        <w:tc>
          <w:tcPr>
            <w:tcW w:w="1701" w:type="dxa"/>
            <w:noWrap w:val="0"/>
            <w:vAlign w:val="center"/>
          </w:tcPr>
          <w:p w14:paraId="4EA6430D">
            <w:pPr>
              <w:pStyle w:val="57"/>
              <w:shd w:val="clear"/>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cs="Times New Roman"/>
                <w:snapToGrid w:val="0"/>
                <w:color w:val="auto"/>
                <w:kern w:val="21"/>
                <w:szCs w:val="21"/>
                <w:highlight w:val="none"/>
                <w:lang w:val="en-US" w:eastAsia="zh-CN"/>
              </w:rPr>
              <w:t>/</w:t>
            </w:r>
          </w:p>
        </w:tc>
        <w:tc>
          <w:tcPr>
            <w:tcW w:w="1559" w:type="dxa"/>
            <w:noWrap w:val="0"/>
            <w:vAlign w:val="center"/>
          </w:tcPr>
          <w:p w14:paraId="1462998B">
            <w:pPr>
              <w:pStyle w:val="57"/>
              <w:shd w:val="clear"/>
              <w:spacing w:beforeLines="0" w:afterLines="0" w:line="240" w:lineRule="auto"/>
              <w:rPr>
                <w:rFonts w:hint="default" w:ascii="Times New Roman" w:hAnsi="Times New Roman" w:eastAsia="宋体" w:cs="Times New Roman"/>
                <w:snapToGrid w:val="0"/>
                <w:color w:val="auto"/>
                <w:kern w:val="21"/>
                <w:szCs w:val="21"/>
                <w:highlight w:val="none"/>
                <w:lang w:val="en-US" w:eastAsia="zh-CN"/>
              </w:rPr>
            </w:pPr>
            <w:r>
              <w:rPr>
                <w:rFonts w:hint="default" w:ascii="Times New Roman" w:hAnsi="Times New Roman" w:eastAsia="宋体" w:cs="Times New Roman"/>
                <w:snapToGrid w:val="0"/>
                <w:color w:val="auto"/>
                <w:kern w:val="21"/>
                <w:szCs w:val="21"/>
                <w:highlight w:val="none"/>
                <w:lang w:val="en-US" w:eastAsia="zh-CN"/>
              </w:rPr>
              <w:t>0.</w:t>
            </w:r>
            <w:r>
              <w:rPr>
                <w:rFonts w:hint="eastAsia" w:ascii="Times New Roman" w:cs="Times New Roman"/>
                <w:snapToGrid w:val="0"/>
                <w:color w:val="auto"/>
                <w:kern w:val="21"/>
                <w:szCs w:val="21"/>
                <w:highlight w:val="none"/>
                <w:lang w:val="en-US" w:eastAsia="zh-CN"/>
              </w:rPr>
              <w:t>0135</w:t>
            </w:r>
            <w:r>
              <w:rPr>
                <w:rFonts w:hint="default" w:ascii="Times New Roman" w:hAnsi="Times New Roman" w:cs="Times New Roman"/>
                <w:i w:val="0"/>
                <w:iCs w:val="0"/>
                <w:color w:val="auto"/>
                <w:sz w:val="21"/>
                <w:szCs w:val="21"/>
                <w:highlight w:val="none"/>
                <w:u w:val="none"/>
                <w:lang w:val="en-US" w:eastAsia="zh-CN"/>
              </w:rPr>
              <w:t>t/a</w:t>
            </w:r>
          </w:p>
        </w:tc>
        <w:tc>
          <w:tcPr>
            <w:tcW w:w="1651" w:type="dxa"/>
            <w:noWrap w:val="0"/>
            <w:vAlign w:val="center"/>
          </w:tcPr>
          <w:p w14:paraId="6718D03F">
            <w:pPr>
              <w:pStyle w:val="57"/>
              <w:shd w:val="clear"/>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cs="Times New Roman"/>
                <w:snapToGrid w:val="0"/>
                <w:color w:val="auto"/>
                <w:kern w:val="21"/>
                <w:szCs w:val="21"/>
                <w:highlight w:val="none"/>
                <w:lang w:val="en-US" w:eastAsia="zh-CN"/>
              </w:rPr>
              <w:t>/</w:t>
            </w:r>
          </w:p>
        </w:tc>
        <w:tc>
          <w:tcPr>
            <w:tcW w:w="1521" w:type="dxa"/>
            <w:noWrap w:val="0"/>
            <w:vAlign w:val="center"/>
          </w:tcPr>
          <w:p w14:paraId="379D44D6">
            <w:pPr>
              <w:pStyle w:val="57"/>
              <w:shd w:val="clear"/>
              <w:spacing w:beforeLines="0" w:afterLines="0" w:line="240" w:lineRule="auto"/>
              <w:rPr>
                <w:rFonts w:hint="default" w:ascii="Times New Roman" w:hAnsi="Times New Roman" w:eastAsia="宋体" w:cs="Times New Roman"/>
                <w:snapToGrid w:val="0"/>
                <w:color w:val="auto"/>
                <w:kern w:val="21"/>
                <w:szCs w:val="21"/>
                <w:highlight w:val="none"/>
                <w:lang w:val="en-US"/>
              </w:rPr>
            </w:pPr>
            <w:r>
              <w:rPr>
                <w:rFonts w:hint="default" w:ascii="Times New Roman" w:hAnsi="Times New Roman" w:eastAsia="宋体" w:cs="Times New Roman"/>
                <w:snapToGrid w:val="0"/>
                <w:color w:val="auto"/>
                <w:kern w:val="21"/>
                <w:szCs w:val="21"/>
                <w:highlight w:val="none"/>
                <w:lang w:val="en-US" w:eastAsia="zh-CN"/>
              </w:rPr>
              <w:t>0.</w:t>
            </w:r>
            <w:r>
              <w:rPr>
                <w:rFonts w:hint="eastAsia" w:ascii="Times New Roman" w:cs="Times New Roman"/>
                <w:snapToGrid w:val="0"/>
                <w:color w:val="auto"/>
                <w:kern w:val="21"/>
                <w:szCs w:val="21"/>
                <w:highlight w:val="none"/>
                <w:lang w:val="en-US" w:eastAsia="zh-CN"/>
              </w:rPr>
              <w:t>0135</w:t>
            </w:r>
            <w:r>
              <w:rPr>
                <w:rFonts w:hint="default" w:ascii="Times New Roman" w:hAnsi="Times New Roman" w:cs="Times New Roman"/>
                <w:i w:val="0"/>
                <w:iCs w:val="0"/>
                <w:color w:val="auto"/>
                <w:sz w:val="21"/>
                <w:szCs w:val="21"/>
                <w:highlight w:val="none"/>
                <w:u w:val="none"/>
                <w:lang w:val="en-US" w:eastAsia="zh-CN"/>
              </w:rPr>
              <w:t>t/a</w:t>
            </w:r>
          </w:p>
        </w:tc>
        <w:tc>
          <w:tcPr>
            <w:tcW w:w="1472" w:type="dxa"/>
            <w:noWrap w:val="0"/>
            <w:vAlign w:val="center"/>
          </w:tcPr>
          <w:p w14:paraId="10C81D09">
            <w:pPr>
              <w:pStyle w:val="57"/>
              <w:shd w:val="clear"/>
              <w:spacing w:beforeLines="0" w:afterLines="0" w:line="240" w:lineRule="auto"/>
              <w:rPr>
                <w:rFonts w:hint="default" w:ascii="Times New Roman" w:hAnsi="Times New Roman" w:eastAsia="宋体" w:cs="Times New Roman"/>
                <w:snapToGrid w:val="0"/>
                <w:color w:val="auto"/>
                <w:kern w:val="21"/>
                <w:szCs w:val="21"/>
                <w:highlight w:val="none"/>
                <w:lang w:val="en-US"/>
              </w:rPr>
            </w:pPr>
            <w:r>
              <w:rPr>
                <w:rFonts w:hint="eastAsia" w:ascii="Times New Roman" w:hAnsi="Times New Roman" w:eastAsia="宋体" w:cs="Times New Roman"/>
                <w:snapToGrid w:val="0"/>
                <w:color w:val="auto"/>
                <w:kern w:val="21"/>
                <w:szCs w:val="21"/>
                <w:highlight w:val="none"/>
                <w:lang w:val="en-US" w:eastAsia="zh-CN"/>
              </w:rPr>
              <w:t>+</w:t>
            </w:r>
            <w:r>
              <w:rPr>
                <w:rFonts w:hint="default" w:ascii="Times New Roman" w:hAnsi="Times New Roman" w:eastAsia="宋体" w:cs="Times New Roman"/>
                <w:snapToGrid w:val="0"/>
                <w:color w:val="auto"/>
                <w:kern w:val="21"/>
                <w:szCs w:val="21"/>
                <w:highlight w:val="none"/>
                <w:lang w:val="en-US" w:eastAsia="zh-CN"/>
              </w:rPr>
              <w:t>0.</w:t>
            </w:r>
            <w:r>
              <w:rPr>
                <w:rFonts w:hint="eastAsia" w:ascii="Times New Roman" w:cs="Times New Roman"/>
                <w:snapToGrid w:val="0"/>
                <w:color w:val="auto"/>
                <w:kern w:val="21"/>
                <w:szCs w:val="21"/>
                <w:highlight w:val="none"/>
                <w:lang w:val="en-US" w:eastAsia="zh-CN"/>
              </w:rPr>
              <w:t>0135</w:t>
            </w:r>
            <w:r>
              <w:rPr>
                <w:rFonts w:hint="default" w:ascii="Times New Roman" w:hAnsi="Times New Roman" w:cs="Times New Roman"/>
                <w:i w:val="0"/>
                <w:iCs w:val="0"/>
                <w:color w:val="auto"/>
                <w:sz w:val="21"/>
                <w:szCs w:val="21"/>
                <w:highlight w:val="none"/>
                <w:u w:val="none"/>
                <w:lang w:val="en-US" w:eastAsia="zh-CN"/>
              </w:rPr>
              <w:t>t/a</w:t>
            </w:r>
          </w:p>
        </w:tc>
      </w:tr>
      <w:tr w14:paraId="31D75F5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restart"/>
            <w:noWrap w:val="0"/>
            <w:vAlign w:val="center"/>
          </w:tcPr>
          <w:p w14:paraId="611114A8">
            <w:pPr>
              <w:pStyle w:val="57"/>
              <w:shd w:val="clear"/>
              <w:spacing w:beforeLines="0" w:afterLines="0" w:line="240" w:lineRule="auto"/>
              <w:rPr>
                <w:rFonts w:hint="default" w:ascii="Times New Roman" w:hAnsi="Times New Roman" w:eastAsia="宋体" w:cs="Times New Roman"/>
                <w:snapToGrid w:val="0"/>
                <w:color w:val="auto"/>
                <w:kern w:val="21"/>
                <w:szCs w:val="21"/>
                <w:highlight w:val="none"/>
              </w:rPr>
            </w:pPr>
            <w:r>
              <w:rPr>
                <w:rFonts w:hint="default" w:ascii="Times New Roman" w:hAnsi="Times New Roman" w:eastAsia="宋体" w:cs="Times New Roman"/>
                <w:snapToGrid w:val="0"/>
                <w:color w:val="auto"/>
                <w:kern w:val="21"/>
                <w:szCs w:val="21"/>
                <w:highlight w:val="none"/>
              </w:rPr>
              <w:t>一般工业</w:t>
            </w:r>
          </w:p>
          <w:p w14:paraId="5FAB6BD0">
            <w:pPr>
              <w:pStyle w:val="57"/>
              <w:shd w:val="clear"/>
              <w:spacing w:beforeLines="0" w:afterLines="0" w:line="240" w:lineRule="auto"/>
              <w:rPr>
                <w:rFonts w:hint="default" w:ascii="Times New Roman" w:hAnsi="Times New Roman" w:eastAsia="宋体" w:cs="Times New Roman"/>
                <w:snapToGrid w:val="0"/>
                <w:color w:val="auto"/>
                <w:kern w:val="21"/>
                <w:szCs w:val="21"/>
                <w:highlight w:val="none"/>
              </w:rPr>
            </w:pPr>
            <w:r>
              <w:rPr>
                <w:rFonts w:hint="default" w:ascii="Times New Roman" w:hAnsi="Times New Roman" w:eastAsia="宋体" w:cs="Times New Roman"/>
                <w:snapToGrid w:val="0"/>
                <w:color w:val="auto"/>
                <w:kern w:val="21"/>
                <w:szCs w:val="21"/>
                <w:highlight w:val="none"/>
              </w:rPr>
              <w:t>固体废物</w:t>
            </w:r>
          </w:p>
        </w:tc>
        <w:tc>
          <w:tcPr>
            <w:tcW w:w="1717" w:type="dxa"/>
            <w:noWrap w:val="0"/>
            <w:vAlign w:val="center"/>
          </w:tcPr>
          <w:p w14:paraId="58D43460">
            <w:pPr>
              <w:keepNext w:val="0"/>
              <w:keepLines w:val="0"/>
              <w:pageBreakBefore w:val="0"/>
              <w:shd w:val="clear"/>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snapToGrid w:val="0"/>
                <w:color w:val="auto"/>
                <w:kern w:val="21"/>
                <w:szCs w:val="21"/>
                <w:highlight w:val="none"/>
                <w:lang w:val="en-US" w:eastAsia="zh-CN"/>
              </w:rPr>
            </w:pPr>
            <w:r>
              <w:rPr>
                <w:rFonts w:hint="eastAsia" w:cs="Times New Roman"/>
                <w:snapToGrid w:val="0"/>
                <w:color w:val="auto"/>
                <w:kern w:val="21"/>
                <w:szCs w:val="21"/>
                <w:highlight w:val="none"/>
                <w:lang w:val="en-US" w:eastAsia="zh-CN"/>
              </w:rPr>
              <w:t>废反渗透膜</w:t>
            </w:r>
          </w:p>
        </w:tc>
        <w:tc>
          <w:tcPr>
            <w:tcW w:w="1401" w:type="dxa"/>
            <w:noWrap w:val="0"/>
            <w:vAlign w:val="center"/>
          </w:tcPr>
          <w:p w14:paraId="0884DBB3">
            <w:pPr>
              <w:pStyle w:val="57"/>
              <w:shd w:val="clear"/>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cs="Times New Roman"/>
                <w:snapToGrid w:val="0"/>
                <w:color w:val="auto"/>
                <w:kern w:val="21"/>
                <w:szCs w:val="21"/>
                <w:highlight w:val="none"/>
                <w:lang w:val="en-US" w:eastAsia="zh-CN"/>
              </w:rPr>
              <w:t>/</w:t>
            </w:r>
          </w:p>
        </w:tc>
        <w:tc>
          <w:tcPr>
            <w:tcW w:w="1276" w:type="dxa"/>
            <w:noWrap w:val="0"/>
            <w:vAlign w:val="center"/>
          </w:tcPr>
          <w:p w14:paraId="4B0DDDD5">
            <w:pPr>
              <w:pStyle w:val="57"/>
              <w:shd w:val="clear"/>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cs="Times New Roman"/>
                <w:snapToGrid w:val="0"/>
                <w:color w:val="auto"/>
                <w:kern w:val="21"/>
                <w:szCs w:val="21"/>
                <w:highlight w:val="none"/>
                <w:lang w:val="en-US" w:eastAsia="zh-CN"/>
              </w:rPr>
              <w:t>/</w:t>
            </w:r>
          </w:p>
        </w:tc>
        <w:tc>
          <w:tcPr>
            <w:tcW w:w="1701" w:type="dxa"/>
            <w:noWrap w:val="0"/>
            <w:vAlign w:val="center"/>
          </w:tcPr>
          <w:p w14:paraId="58C32E38">
            <w:pPr>
              <w:pStyle w:val="57"/>
              <w:shd w:val="clear"/>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cs="Times New Roman"/>
                <w:snapToGrid w:val="0"/>
                <w:color w:val="auto"/>
                <w:kern w:val="21"/>
                <w:szCs w:val="21"/>
                <w:highlight w:val="none"/>
                <w:lang w:val="en-US" w:eastAsia="zh-CN"/>
              </w:rPr>
              <w:t>/</w:t>
            </w:r>
          </w:p>
        </w:tc>
        <w:tc>
          <w:tcPr>
            <w:tcW w:w="1559" w:type="dxa"/>
            <w:noWrap w:val="0"/>
            <w:vAlign w:val="center"/>
          </w:tcPr>
          <w:p w14:paraId="66015F11">
            <w:pPr>
              <w:pStyle w:val="57"/>
              <w:shd w:val="clear"/>
              <w:spacing w:beforeLines="0" w:afterLines="0" w:line="240" w:lineRule="auto"/>
              <w:rPr>
                <w:rFonts w:hint="default" w:ascii="Times New Roman" w:hAnsi="Times New Roman" w:eastAsia="宋体"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0.002</w:t>
            </w:r>
            <w:r>
              <w:rPr>
                <w:rFonts w:hint="default" w:ascii="Times New Roman" w:hAnsi="Times New Roman" w:cs="Times New Roman"/>
                <w:i w:val="0"/>
                <w:iCs w:val="0"/>
                <w:color w:val="auto"/>
                <w:sz w:val="21"/>
                <w:szCs w:val="21"/>
                <w:highlight w:val="none"/>
                <w:u w:val="none"/>
                <w:lang w:val="en-US" w:eastAsia="zh-CN"/>
              </w:rPr>
              <w:t>t/a</w:t>
            </w:r>
          </w:p>
        </w:tc>
        <w:tc>
          <w:tcPr>
            <w:tcW w:w="1651" w:type="dxa"/>
            <w:noWrap w:val="0"/>
            <w:vAlign w:val="center"/>
          </w:tcPr>
          <w:p w14:paraId="53C29D83">
            <w:pPr>
              <w:pStyle w:val="57"/>
              <w:shd w:val="clear"/>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cs="Times New Roman"/>
                <w:snapToGrid w:val="0"/>
                <w:color w:val="auto"/>
                <w:kern w:val="21"/>
                <w:szCs w:val="21"/>
                <w:highlight w:val="none"/>
                <w:lang w:val="en-US" w:eastAsia="zh-CN"/>
              </w:rPr>
              <w:t>/</w:t>
            </w:r>
          </w:p>
        </w:tc>
        <w:tc>
          <w:tcPr>
            <w:tcW w:w="1521" w:type="dxa"/>
            <w:noWrap w:val="0"/>
            <w:vAlign w:val="center"/>
          </w:tcPr>
          <w:p w14:paraId="05920140">
            <w:pPr>
              <w:pStyle w:val="57"/>
              <w:shd w:val="clear"/>
              <w:spacing w:beforeLines="0" w:afterLines="0" w:line="240" w:lineRule="auto"/>
              <w:rPr>
                <w:rFonts w:hint="default" w:ascii="Times New Roman" w:hAnsi="Times New Roman" w:eastAsia="宋体" w:cs="Times New Roman"/>
                <w:snapToGrid w:val="0"/>
                <w:color w:val="auto"/>
                <w:kern w:val="21"/>
                <w:szCs w:val="21"/>
                <w:highlight w:val="none"/>
                <w:lang w:val="en-US"/>
              </w:rPr>
            </w:pPr>
            <w:r>
              <w:rPr>
                <w:rFonts w:hint="eastAsia" w:ascii="Times New Roman" w:cs="Times New Roman"/>
                <w:snapToGrid w:val="0"/>
                <w:color w:val="auto"/>
                <w:kern w:val="21"/>
                <w:szCs w:val="21"/>
                <w:highlight w:val="none"/>
                <w:lang w:val="en-US" w:eastAsia="zh-CN"/>
              </w:rPr>
              <w:t>0.002</w:t>
            </w:r>
            <w:r>
              <w:rPr>
                <w:rFonts w:hint="default" w:ascii="Times New Roman" w:hAnsi="Times New Roman" w:cs="Times New Roman"/>
                <w:i w:val="0"/>
                <w:iCs w:val="0"/>
                <w:color w:val="auto"/>
                <w:sz w:val="21"/>
                <w:szCs w:val="21"/>
                <w:highlight w:val="none"/>
                <w:u w:val="none"/>
                <w:lang w:val="en-US" w:eastAsia="zh-CN"/>
              </w:rPr>
              <w:t>t/a</w:t>
            </w:r>
          </w:p>
        </w:tc>
        <w:tc>
          <w:tcPr>
            <w:tcW w:w="1472" w:type="dxa"/>
            <w:noWrap w:val="0"/>
            <w:vAlign w:val="center"/>
          </w:tcPr>
          <w:p w14:paraId="2FB5EB61">
            <w:pPr>
              <w:pStyle w:val="57"/>
              <w:shd w:val="clear"/>
              <w:spacing w:beforeLines="0" w:afterLines="0" w:line="240" w:lineRule="auto"/>
              <w:rPr>
                <w:rFonts w:hint="default" w:ascii="Times New Roman" w:hAnsi="Times New Roman" w:eastAsia="宋体" w:cs="Times New Roman"/>
                <w:snapToGrid w:val="0"/>
                <w:color w:val="auto"/>
                <w:kern w:val="21"/>
                <w:szCs w:val="21"/>
                <w:highlight w:val="none"/>
                <w:lang w:val="en-US"/>
              </w:rPr>
            </w:pPr>
            <w:r>
              <w:rPr>
                <w:rFonts w:hint="eastAsia" w:ascii="Times New Roman" w:cs="Times New Roman"/>
                <w:snapToGrid w:val="0"/>
                <w:color w:val="auto"/>
                <w:kern w:val="21"/>
                <w:szCs w:val="21"/>
                <w:highlight w:val="none"/>
                <w:lang w:val="en-US" w:eastAsia="zh-CN"/>
              </w:rPr>
              <w:t>+0.002</w:t>
            </w:r>
            <w:r>
              <w:rPr>
                <w:rFonts w:hint="default" w:ascii="Times New Roman" w:hAnsi="Times New Roman" w:cs="Times New Roman"/>
                <w:i w:val="0"/>
                <w:iCs w:val="0"/>
                <w:color w:val="auto"/>
                <w:sz w:val="21"/>
                <w:szCs w:val="21"/>
                <w:highlight w:val="none"/>
                <w:u w:val="none"/>
                <w:lang w:val="en-US" w:eastAsia="zh-CN"/>
              </w:rPr>
              <w:t>t/a</w:t>
            </w:r>
          </w:p>
        </w:tc>
      </w:tr>
      <w:tr w14:paraId="2A6C4C5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14:paraId="74D7273D">
            <w:pPr>
              <w:pStyle w:val="57"/>
              <w:shd w:val="clear"/>
              <w:spacing w:beforeLines="0" w:afterLines="0" w:line="240" w:lineRule="auto"/>
              <w:rPr>
                <w:rFonts w:hint="default" w:ascii="Times New Roman" w:hAnsi="Times New Roman" w:eastAsia="宋体" w:cs="Times New Roman"/>
                <w:snapToGrid w:val="0"/>
                <w:color w:val="auto"/>
                <w:kern w:val="21"/>
                <w:szCs w:val="21"/>
                <w:highlight w:val="none"/>
              </w:rPr>
            </w:pPr>
          </w:p>
        </w:tc>
        <w:tc>
          <w:tcPr>
            <w:tcW w:w="1717" w:type="dxa"/>
            <w:noWrap w:val="0"/>
            <w:vAlign w:val="center"/>
          </w:tcPr>
          <w:p w14:paraId="3EA32A27">
            <w:pPr>
              <w:keepNext w:val="0"/>
              <w:keepLines w:val="0"/>
              <w:pageBreakBefore w:val="0"/>
              <w:shd w:val="clear"/>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snapToGrid w:val="0"/>
                <w:color w:val="auto"/>
                <w:kern w:val="21"/>
                <w:szCs w:val="21"/>
                <w:highlight w:val="none"/>
                <w:lang w:val="en-US" w:eastAsia="zh-CN"/>
              </w:rPr>
            </w:pPr>
            <w:r>
              <w:rPr>
                <w:rFonts w:hint="eastAsia" w:cs="Times New Roman"/>
                <w:snapToGrid w:val="0"/>
                <w:color w:val="auto"/>
                <w:kern w:val="21"/>
                <w:szCs w:val="21"/>
                <w:highlight w:val="none"/>
                <w:lang w:val="en-US" w:eastAsia="zh-CN"/>
              </w:rPr>
              <w:t>废样品</w:t>
            </w:r>
          </w:p>
        </w:tc>
        <w:tc>
          <w:tcPr>
            <w:tcW w:w="1401" w:type="dxa"/>
            <w:noWrap w:val="0"/>
            <w:vAlign w:val="center"/>
          </w:tcPr>
          <w:p w14:paraId="391C1AFC">
            <w:pPr>
              <w:pStyle w:val="57"/>
              <w:shd w:val="clear"/>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cs="Times New Roman"/>
                <w:snapToGrid w:val="0"/>
                <w:color w:val="auto"/>
                <w:kern w:val="21"/>
                <w:szCs w:val="21"/>
                <w:highlight w:val="none"/>
                <w:lang w:val="en-US" w:eastAsia="zh-CN"/>
              </w:rPr>
              <w:t>/</w:t>
            </w:r>
          </w:p>
        </w:tc>
        <w:tc>
          <w:tcPr>
            <w:tcW w:w="1276" w:type="dxa"/>
            <w:noWrap w:val="0"/>
            <w:vAlign w:val="center"/>
          </w:tcPr>
          <w:p w14:paraId="0DA13423">
            <w:pPr>
              <w:pStyle w:val="57"/>
              <w:shd w:val="clear"/>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cs="Times New Roman"/>
                <w:snapToGrid w:val="0"/>
                <w:color w:val="auto"/>
                <w:kern w:val="21"/>
                <w:szCs w:val="21"/>
                <w:highlight w:val="none"/>
                <w:lang w:val="en-US" w:eastAsia="zh-CN"/>
              </w:rPr>
              <w:t>/</w:t>
            </w:r>
          </w:p>
        </w:tc>
        <w:tc>
          <w:tcPr>
            <w:tcW w:w="1701" w:type="dxa"/>
            <w:noWrap w:val="0"/>
            <w:vAlign w:val="center"/>
          </w:tcPr>
          <w:p w14:paraId="01E5C818">
            <w:pPr>
              <w:pStyle w:val="57"/>
              <w:shd w:val="clear"/>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cs="Times New Roman"/>
                <w:snapToGrid w:val="0"/>
                <w:color w:val="auto"/>
                <w:kern w:val="21"/>
                <w:szCs w:val="21"/>
                <w:highlight w:val="none"/>
                <w:lang w:val="en-US" w:eastAsia="zh-CN"/>
              </w:rPr>
              <w:t>/</w:t>
            </w:r>
          </w:p>
        </w:tc>
        <w:tc>
          <w:tcPr>
            <w:tcW w:w="1559" w:type="dxa"/>
            <w:noWrap w:val="0"/>
            <w:vAlign w:val="center"/>
          </w:tcPr>
          <w:p w14:paraId="6793A91E">
            <w:pPr>
              <w:pStyle w:val="57"/>
              <w:shd w:val="clear"/>
              <w:spacing w:beforeLines="0" w:afterLines="0" w:line="240" w:lineRule="auto"/>
              <w:rPr>
                <w:rFonts w:hint="default" w:ascii="Times New Roman" w:hAnsi="Times New Roman" w:eastAsia="宋体" w:cs="Times New Roman"/>
                <w:snapToGrid w:val="0"/>
                <w:color w:val="auto"/>
                <w:kern w:val="21"/>
                <w:szCs w:val="21"/>
                <w:highlight w:val="none"/>
                <w:lang w:val="en-US" w:eastAsia="zh-CN"/>
              </w:rPr>
            </w:pPr>
            <w:r>
              <w:rPr>
                <w:rFonts w:hint="default" w:ascii="Times New Roman" w:hAnsi="Times New Roman" w:eastAsia="宋体" w:cs="Times New Roman"/>
                <w:snapToGrid w:val="0"/>
                <w:color w:val="auto"/>
                <w:kern w:val="21"/>
                <w:szCs w:val="21"/>
                <w:highlight w:val="none"/>
                <w:lang w:val="en-US" w:eastAsia="zh-CN"/>
              </w:rPr>
              <w:t>0.</w:t>
            </w:r>
            <w:r>
              <w:rPr>
                <w:rFonts w:hint="eastAsia" w:ascii="Times New Roman" w:cs="Times New Roman"/>
                <w:snapToGrid w:val="0"/>
                <w:color w:val="auto"/>
                <w:kern w:val="21"/>
                <w:szCs w:val="21"/>
                <w:highlight w:val="none"/>
                <w:lang w:val="en-US" w:eastAsia="zh-CN"/>
              </w:rPr>
              <w:t>24</w:t>
            </w:r>
            <w:r>
              <w:rPr>
                <w:rFonts w:hint="default" w:ascii="Times New Roman" w:hAnsi="Times New Roman" w:cs="Times New Roman"/>
                <w:i w:val="0"/>
                <w:iCs w:val="0"/>
                <w:color w:val="auto"/>
                <w:sz w:val="21"/>
                <w:szCs w:val="21"/>
                <w:highlight w:val="none"/>
                <w:u w:val="none"/>
                <w:lang w:val="en-US" w:eastAsia="zh-CN"/>
              </w:rPr>
              <w:t>t/a</w:t>
            </w:r>
          </w:p>
        </w:tc>
        <w:tc>
          <w:tcPr>
            <w:tcW w:w="1651" w:type="dxa"/>
            <w:noWrap w:val="0"/>
            <w:vAlign w:val="center"/>
          </w:tcPr>
          <w:p w14:paraId="2A164BF5">
            <w:pPr>
              <w:pStyle w:val="57"/>
              <w:shd w:val="clear"/>
              <w:spacing w:beforeLines="0" w:afterLines="0" w:line="240" w:lineRule="auto"/>
              <w:rPr>
                <w:rFonts w:hint="default" w:ascii="Times New Roman" w:hAnsi="Times New Roman" w:eastAsia="宋体"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w:t>
            </w:r>
          </w:p>
        </w:tc>
        <w:tc>
          <w:tcPr>
            <w:tcW w:w="1521" w:type="dxa"/>
            <w:noWrap w:val="0"/>
            <w:vAlign w:val="center"/>
          </w:tcPr>
          <w:p w14:paraId="03199BE4">
            <w:pPr>
              <w:pStyle w:val="57"/>
              <w:shd w:val="clear"/>
              <w:spacing w:beforeLines="0" w:afterLines="0" w:line="240" w:lineRule="auto"/>
              <w:rPr>
                <w:rFonts w:hint="default" w:ascii="Times New Roman" w:hAnsi="Times New Roman" w:eastAsia="宋体" w:cs="Times New Roman"/>
                <w:snapToGrid w:val="0"/>
                <w:color w:val="auto"/>
                <w:kern w:val="21"/>
                <w:szCs w:val="21"/>
                <w:highlight w:val="none"/>
                <w:lang w:val="en-US" w:eastAsia="zh-CN"/>
              </w:rPr>
            </w:pPr>
            <w:r>
              <w:rPr>
                <w:rFonts w:hint="default" w:ascii="Times New Roman" w:hAnsi="Times New Roman" w:eastAsia="宋体" w:cs="Times New Roman"/>
                <w:snapToGrid w:val="0"/>
                <w:color w:val="auto"/>
                <w:kern w:val="21"/>
                <w:szCs w:val="21"/>
                <w:highlight w:val="none"/>
                <w:lang w:val="en-US" w:eastAsia="zh-CN"/>
              </w:rPr>
              <w:t>0</w:t>
            </w:r>
            <w:r>
              <w:rPr>
                <w:rFonts w:hint="eastAsia" w:ascii="Times New Roman" w:cs="Times New Roman"/>
                <w:snapToGrid w:val="0"/>
                <w:color w:val="auto"/>
                <w:kern w:val="21"/>
                <w:szCs w:val="21"/>
                <w:highlight w:val="none"/>
                <w:lang w:val="en-US" w:eastAsia="zh-CN"/>
              </w:rPr>
              <w:t>.24</w:t>
            </w:r>
            <w:r>
              <w:rPr>
                <w:rFonts w:hint="default" w:ascii="Times New Roman" w:hAnsi="Times New Roman" w:cs="Times New Roman"/>
                <w:i w:val="0"/>
                <w:iCs w:val="0"/>
                <w:color w:val="auto"/>
                <w:sz w:val="21"/>
                <w:szCs w:val="21"/>
                <w:highlight w:val="none"/>
                <w:u w:val="none"/>
                <w:lang w:val="en-US" w:eastAsia="zh-CN"/>
              </w:rPr>
              <w:t>t/a</w:t>
            </w:r>
          </w:p>
        </w:tc>
        <w:tc>
          <w:tcPr>
            <w:tcW w:w="1472" w:type="dxa"/>
            <w:noWrap w:val="0"/>
            <w:vAlign w:val="center"/>
          </w:tcPr>
          <w:p w14:paraId="0C7103B6">
            <w:pPr>
              <w:pStyle w:val="57"/>
              <w:shd w:val="clear"/>
              <w:spacing w:beforeLines="0" w:afterLines="0" w:line="240" w:lineRule="auto"/>
              <w:rPr>
                <w:rFonts w:hint="default" w:ascii="Times New Roman" w:hAnsi="Times New Roman" w:eastAsia="宋体"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w:t>
            </w:r>
            <w:r>
              <w:rPr>
                <w:rFonts w:hint="default" w:ascii="Times New Roman" w:hAnsi="Times New Roman" w:eastAsia="宋体" w:cs="Times New Roman"/>
                <w:snapToGrid w:val="0"/>
                <w:color w:val="auto"/>
                <w:kern w:val="21"/>
                <w:szCs w:val="21"/>
                <w:highlight w:val="none"/>
                <w:lang w:val="en-US" w:eastAsia="zh-CN"/>
              </w:rPr>
              <w:t>0.</w:t>
            </w:r>
            <w:r>
              <w:rPr>
                <w:rFonts w:hint="eastAsia" w:ascii="Times New Roman" w:cs="Times New Roman"/>
                <w:snapToGrid w:val="0"/>
                <w:color w:val="auto"/>
                <w:kern w:val="21"/>
                <w:szCs w:val="21"/>
                <w:highlight w:val="none"/>
                <w:lang w:val="en-US" w:eastAsia="zh-CN"/>
              </w:rPr>
              <w:t>24</w:t>
            </w:r>
            <w:r>
              <w:rPr>
                <w:rFonts w:hint="default" w:ascii="Times New Roman" w:hAnsi="Times New Roman" w:cs="Times New Roman"/>
                <w:i w:val="0"/>
                <w:iCs w:val="0"/>
                <w:color w:val="auto"/>
                <w:sz w:val="21"/>
                <w:szCs w:val="21"/>
                <w:highlight w:val="none"/>
                <w:u w:val="none"/>
                <w:lang w:val="en-US" w:eastAsia="zh-CN"/>
              </w:rPr>
              <w:t>t/a</w:t>
            </w:r>
          </w:p>
        </w:tc>
      </w:tr>
      <w:tr w14:paraId="20D4A58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14:paraId="32BB4961">
            <w:pPr>
              <w:pStyle w:val="57"/>
              <w:shd w:val="clear"/>
              <w:spacing w:beforeLines="0" w:afterLines="0" w:line="240" w:lineRule="auto"/>
              <w:rPr>
                <w:rFonts w:hint="default" w:ascii="Times New Roman" w:hAnsi="Times New Roman" w:eastAsia="宋体" w:cs="Times New Roman"/>
                <w:snapToGrid w:val="0"/>
                <w:color w:val="auto"/>
                <w:kern w:val="21"/>
                <w:szCs w:val="21"/>
                <w:highlight w:val="none"/>
              </w:rPr>
            </w:pPr>
          </w:p>
        </w:tc>
        <w:tc>
          <w:tcPr>
            <w:tcW w:w="1717" w:type="dxa"/>
            <w:noWrap w:val="0"/>
            <w:vAlign w:val="center"/>
          </w:tcPr>
          <w:p w14:paraId="452BF651">
            <w:pPr>
              <w:keepNext w:val="0"/>
              <w:keepLines w:val="0"/>
              <w:pageBreakBefore w:val="0"/>
              <w:shd w:val="clear"/>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废气瓶</w:t>
            </w:r>
          </w:p>
        </w:tc>
        <w:tc>
          <w:tcPr>
            <w:tcW w:w="1401" w:type="dxa"/>
            <w:noWrap w:val="0"/>
            <w:vAlign w:val="center"/>
          </w:tcPr>
          <w:p w14:paraId="798484DD">
            <w:pPr>
              <w:pStyle w:val="57"/>
              <w:shd w:val="clear"/>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cs="Times New Roman"/>
                <w:snapToGrid w:val="0"/>
                <w:color w:val="auto"/>
                <w:kern w:val="21"/>
                <w:szCs w:val="21"/>
                <w:highlight w:val="none"/>
                <w:lang w:val="en-US" w:eastAsia="zh-CN"/>
              </w:rPr>
              <w:t>/</w:t>
            </w:r>
          </w:p>
        </w:tc>
        <w:tc>
          <w:tcPr>
            <w:tcW w:w="1276" w:type="dxa"/>
            <w:noWrap w:val="0"/>
            <w:vAlign w:val="center"/>
          </w:tcPr>
          <w:p w14:paraId="68FF9734">
            <w:pPr>
              <w:pStyle w:val="57"/>
              <w:shd w:val="clear"/>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cs="Times New Roman"/>
                <w:snapToGrid w:val="0"/>
                <w:color w:val="auto"/>
                <w:kern w:val="21"/>
                <w:szCs w:val="21"/>
                <w:highlight w:val="none"/>
                <w:lang w:val="en-US" w:eastAsia="zh-CN"/>
              </w:rPr>
              <w:t>/</w:t>
            </w:r>
          </w:p>
        </w:tc>
        <w:tc>
          <w:tcPr>
            <w:tcW w:w="1701" w:type="dxa"/>
            <w:noWrap w:val="0"/>
            <w:vAlign w:val="center"/>
          </w:tcPr>
          <w:p w14:paraId="584AFC41">
            <w:pPr>
              <w:pStyle w:val="57"/>
              <w:shd w:val="clear"/>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cs="Times New Roman"/>
                <w:snapToGrid w:val="0"/>
                <w:color w:val="auto"/>
                <w:kern w:val="21"/>
                <w:szCs w:val="21"/>
                <w:highlight w:val="none"/>
                <w:lang w:val="en-US" w:eastAsia="zh-CN"/>
              </w:rPr>
              <w:t>/</w:t>
            </w:r>
          </w:p>
        </w:tc>
        <w:tc>
          <w:tcPr>
            <w:tcW w:w="1559" w:type="dxa"/>
            <w:noWrap w:val="0"/>
            <w:vAlign w:val="center"/>
          </w:tcPr>
          <w:p w14:paraId="29A0F2DE">
            <w:pPr>
              <w:pStyle w:val="57"/>
              <w:shd w:val="clear"/>
              <w:spacing w:beforeLines="0" w:afterLines="0" w:line="240" w:lineRule="auto"/>
              <w:rPr>
                <w:rFonts w:hint="default" w:ascii="Times New Roman" w:hAnsi="Times New Roman" w:eastAsia="宋体"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0.206t/a</w:t>
            </w:r>
          </w:p>
        </w:tc>
        <w:tc>
          <w:tcPr>
            <w:tcW w:w="1651" w:type="dxa"/>
            <w:noWrap w:val="0"/>
            <w:vAlign w:val="center"/>
          </w:tcPr>
          <w:p w14:paraId="2EAD2748">
            <w:pPr>
              <w:pStyle w:val="57"/>
              <w:shd w:val="clear"/>
              <w:spacing w:beforeLines="0" w:afterLines="0" w:line="240" w:lineRule="auto"/>
              <w:rPr>
                <w:rFonts w:hint="default" w:ascii="Times New Roman" w:hAnsi="Times New Roman" w:eastAsia="宋体"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w:t>
            </w:r>
          </w:p>
        </w:tc>
        <w:tc>
          <w:tcPr>
            <w:tcW w:w="1521" w:type="dxa"/>
            <w:noWrap w:val="0"/>
            <w:vAlign w:val="center"/>
          </w:tcPr>
          <w:p w14:paraId="17A5FB17">
            <w:pPr>
              <w:pStyle w:val="57"/>
              <w:shd w:val="clear"/>
              <w:spacing w:beforeLines="0" w:afterLines="0" w:line="240" w:lineRule="auto"/>
              <w:rPr>
                <w:rFonts w:hint="default" w:ascii="Times New Roman" w:hAnsi="Times New Roman" w:eastAsia="宋体"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0.206t/a</w:t>
            </w:r>
          </w:p>
        </w:tc>
        <w:tc>
          <w:tcPr>
            <w:tcW w:w="1472" w:type="dxa"/>
            <w:noWrap w:val="0"/>
            <w:vAlign w:val="center"/>
          </w:tcPr>
          <w:p w14:paraId="3C2A63FE">
            <w:pPr>
              <w:pStyle w:val="57"/>
              <w:shd w:val="clear"/>
              <w:spacing w:beforeLines="0" w:afterLines="0" w:line="240" w:lineRule="auto"/>
              <w:rPr>
                <w:rFonts w:hint="default" w:ascii="Times New Roman" w:hAnsi="Times New Roman" w:eastAsia="宋体"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+0.206t/a</w:t>
            </w:r>
          </w:p>
        </w:tc>
      </w:tr>
      <w:tr w14:paraId="1C85C1D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14:paraId="2DAEF791">
            <w:pPr>
              <w:pStyle w:val="57"/>
              <w:shd w:val="clear"/>
              <w:spacing w:beforeLines="0" w:afterLines="0" w:line="240" w:lineRule="auto"/>
              <w:rPr>
                <w:rFonts w:hint="default" w:ascii="Times New Roman" w:hAnsi="Times New Roman" w:eastAsia="宋体" w:cs="Times New Roman"/>
                <w:snapToGrid w:val="0"/>
                <w:color w:val="auto"/>
                <w:kern w:val="21"/>
                <w:szCs w:val="21"/>
                <w:highlight w:val="none"/>
              </w:rPr>
            </w:pPr>
          </w:p>
        </w:tc>
        <w:tc>
          <w:tcPr>
            <w:tcW w:w="1717" w:type="dxa"/>
            <w:noWrap w:val="0"/>
            <w:vAlign w:val="center"/>
          </w:tcPr>
          <w:p w14:paraId="067D48A5">
            <w:pPr>
              <w:keepNext w:val="0"/>
              <w:keepLines w:val="0"/>
              <w:pageBreakBefore w:val="0"/>
              <w:shd w:val="clear"/>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color w:val="auto"/>
                <w:szCs w:val="21"/>
                <w:highlight w:val="none"/>
                <w:lang w:val="en-US" w:eastAsia="zh-CN"/>
              </w:rPr>
            </w:pPr>
            <w:r>
              <w:rPr>
                <w:rFonts w:hint="eastAsia" w:cs="Times New Roman"/>
                <w:color w:val="auto"/>
                <w:szCs w:val="21"/>
                <w:highlight w:val="none"/>
                <w:lang w:val="en-US" w:eastAsia="zh-CN"/>
              </w:rPr>
              <w:t>废包装材料</w:t>
            </w:r>
          </w:p>
        </w:tc>
        <w:tc>
          <w:tcPr>
            <w:tcW w:w="1401" w:type="dxa"/>
            <w:noWrap w:val="0"/>
            <w:vAlign w:val="center"/>
          </w:tcPr>
          <w:p w14:paraId="21AAA943">
            <w:pPr>
              <w:pStyle w:val="57"/>
              <w:shd w:val="clear"/>
              <w:spacing w:beforeLines="0" w:afterLines="0" w:line="240" w:lineRule="auto"/>
              <w:rPr>
                <w:rFonts w:hint="eastAsia" w:ascii="Times New Roman"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w:t>
            </w:r>
          </w:p>
        </w:tc>
        <w:tc>
          <w:tcPr>
            <w:tcW w:w="1276" w:type="dxa"/>
            <w:noWrap w:val="0"/>
            <w:vAlign w:val="center"/>
          </w:tcPr>
          <w:p w14:paraId="7B4FB7ED">
            <w:pPr>
              <w:pStyle w:val="57"/>
              <w:shd w:val="clear"/>
              <w:spacing w:beforeLines="0" w:afterLines="0" w:line="240" w:lineRule="auto"/>
              <w:rPr>
                <w:rFonts w:hint="eastAsia" w:ascii="Times New Roman"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w:t>
            </w:r>
          </w:p>
        </w:tc>
        <w:tc>
          <w:tcPr>
            <w:tcW w:w="1701" w:type="dxa"/>
            <w:noWrap w:val="0"/>
            <w:vAlign w:val="center"/>
          </w:tcPr>
          <w:p w14:paraId="5A270612">
            <w:pPr>
              <w:pStyle w:val="57"/>
              <w:shd w:val="clear"/>
              <w:spacing w:beforeLines="0" w:afterLines="0" w:line="240" w:lineRule="auto"/>
              <w:rPr>
                <w:rFonts w:hint="eastAsia" w:ascii="Times New Roman"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w:t>
            </w:r>
          </w:p>
        </w:tc>
        <w:tc>
          <w:tcPr>
            <w:tcW w:w="1559" w:type="dxa"/>
            <w:noWrap w:val="0"/>
            <w:vAlign w:val="center"/>
          </w:tcPr>
          <w:p w14:paraId="5A08A376">
            <w:pPr>
              <w:pStyle w:val="57"/>
              <w:shd w:val="clear"/>
              <w:spacing w:beforeLines="0" w:afterLines="0" w:line="240" w:lineRule="auto"/>
              <w:rPr>
                <w:rFonts w:hint="default" w:ascii="Times New Roman"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0.9t/a</w:t>
            </w:r>
          </w:p>
        </w:tc>
        <w:tc>
          <w:tcPr>
            <w:tcW w:w="1651" w:type="dxa"/>
            <w:noWrap w:val="0"/>
            <w:vAlign w:val="center"/>
          </w:tcPr>
          <w:p w14:paraId="2ED8DAB6">
            <w:pPr>
              <w:pStyle w:val="57"/>
              <w:shd w:val="clear"/>
              <w:spacing w:beforeLines="0" w:afterLines="0" w:line="240" w:lineRule="auto"/>
              <w:rPr>
                <w:rFonts w:hint="default" w:ascii="Times New Roman"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w:t>
            </w:r>
          </w:p>
        </w:tc>
        <w:tc>
          <w:tcPr>
            <w:tcW w:w="1521" w:type="dxa"/>
            <w:noWrap w:val="0"/>
            <w:vAlign w:val="center"/>
          </w:tcPr>
          <w:p w14:paraId="65E608DD">
            <w:pPr>
              <w:pStyle w:val="57"/>
              <w:shd w:val="clear"/>
              <w:spacing w:beforeLines="0" w:afterLines="0" w:line="240" w:lineRule="auto"/>
              <w:rPr>
                <w:rFonts w:hint="default" w:ascii="Times New Roman"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0.9t/a</w:t>
            </w:r>
          </w:p>
        </w:tc>
        <w:tc>
          <w:tcPr>
            <w:tcW w:w="1472" w:type="dxa"/>
            <w:noWrap w:val="0"/>
            <w:vAlign w:val="center"/>
          </w:tcPr>
          <w:p w14:paraId="1A69EAF9">
            <w:pPr>
              <w:pStyle w:val="57"/>
              <w:shd w:val="clear"/>
              <w:spacing w:beforeLines="0" w:afterLines="0" w:line="240" w:lineRule="auto"/>
              <w:rPr>
                <w:rFonts w:hint="default" w:ascii="Times New Roman"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0.9t/a</w:t>
            </w:r>
          </w:p>
        </w:tc>
      </w:tr>
      <w:tr w14:paraId="7718966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restart"/>
            <w:noWrap w:val="0"/>
            <w:vAlign w:val="center"/>
          </w:tcPr>
          <w:p w14:paraId="050531AB">
            <w:pPr>
              <w:pStyle w:val="57"/>
              <w:shd w:val="clear"/>
              <w:spacing w:beforeLines="0" w:afterLines="0" w:line="240" w:lineRule="auto"/>
              <w:rPr>
                <w:rFonts w:hint="default" w:ascii="Times New Roman" w:hAnsi="Times New Roman" w:eastAsia="宋体" w:cs="Times New Roman"/>
                <w:snapToGrid w:val="0"/>
                <w:color w:val="auto"/>
                <w:kern w:val="21"/>
                <w:szCs w:val="21"/>
                <w:highlight w:val="none"/>
              </w:rPr>
            </w:pPr>
            <w:r>
              <w:rPr>
                <w:rFonts w:hint="default" w:ascii="Times New Roman" w:hAnsi="Times New Roman" w:eastAsia="宋体" w:cs="Times New Roman"/>
                <w:snapToGrid w:val="0"/>
                <w:color w:val="auto"/>
                <w:kern w:val="21"/>
                <w:szCs w:val="21"/>
                <w:highlight w:val="none"/>
              </w:rPr>
              <w:t>危险废物</w:t>
            </w:r>
          </w:p>
        </w:tc>
        <w:tc>
          <w:tcPr>
            <w:tcW w:w="1717" w:type="dxa"/>
            <w:noWrap w:val="0"/>
            <w:vAlign w:val="center"/>
          </w:tcPr>
          <w:p w14:paraId="709ECD22">
            <w:pPr>
              <w:topLinePunct/>
              <w:adjustRightInd w:val="0"/>
              <w:snapToGrid w:val="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kern w:val="0"/>
                <w:szCs w:val="21"/>
                <w:highlight w:val="none"/>
              </w:rPr>
              <w:t>实验废物</w:t>
            </w:r>
            <w:r>
              <w:rPr>
                <w:rFonts w:hint="eastAsia"/>
                <w:color w:val="auto"/>
                <w:highlight w:val="none"/>
                <w:lang w:eastAsia="zh-CN"/>
              </w:rPr>
              <w:t>（</w:t>
            </w:r>
            <w:r>
              <w:rPr>
                <w:rFonts w:hint="eastAsia"/>
                <w:color w:val="auto"/>
                <w:highlight w:val="none"/>
                <w:lang w:val="en-US" w:eastAsia="zh-CN"/>
              </w:rPr>
              <w:t>含废液</w:t>
            </w:r>
            <w:r>
              <w:rPr>
                <w:rFonts w:hint="eastAsia"/>
                <w:color w:val="auto"/>
                <w:highlight w:val="none"/>
                <w:lang w:eastAsia="zh-CN"/>
              </w:rPr>
              <w:t>）</w:t>
            </w:r>
          </w:p>
        </w:tc>
        <w:tc>
          <w:tcPr>
            <w:tcW w:w="1401" w:type="dxa"/>
            <w:noWrap w:val="0"/>
            <w:vAlign w:val="center"/>
          </w:tcPr>
          <w:p w14:paraId="7A8F3C33">
            <w:pPr>
              <w:pStyle w:val="57"/>
              <w:shd w:val="clear"/>
              <w:spacing w:beforeLines="0" w:afterLines="0" w:line="240" w:lineRule="auto"/>
              <w:rPr>
                <w:rFonts w:hint="default" w:ascii="Times New Roman" w:hAnsi="Times New Roman" w:eastAsia="宋体"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w:t>
            </w:r>
          </w:p>
        </w:tc>
        <w:tc>
          <w:tcPr>
            <w:tcW w:w="1276" w:type="dxa"/>
            <w:noWrap w:val="0"/>
            <w:vAlign w:val="center"/>
          </w:tcPr>
          <w:p w14:paraId="70D539CC">
            <w:pPr>
              <w:pStyle w:val="57"/>
              <w:shd w:val="clear"/>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cs="Times New Roman"/>
                <w:snapToGrid w:val="0"/>
                <w:color w:val="auto"/>
                <w:kern w:val="21"/>
                <w:szCs w:val="21"/>
                <w:highlight w:val="none"/>
                <w:lang w:val="en-US" w:eastAsia="zh-CN"/>
              </w:rPr>
              <w:t>/</w:t>
            </w:r>
          </w:p>
        </w:tc>
        <w:tc>
          <w:tcPr>
            <w:tcW w:w="1701" w:type="dxa"/>
            <w:noWrap w:val="0"/>
            <w:vAlign w:val="center"/>
          </w:tcPr>
          <w:p w14:paraId="1E910DB0">
            <w:pPr>
              <w:pStyle w:val="57"/>
              <w:shd w:val="clear"/>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cs="Times New Roman"/>
                <w:snapToGrid w:val="0"/>
                <w:color w:val="auto"/>
                <w:kern w:val="21"/>
                <w:szCs w:val="21"/>
                <w:highlight w:val="none"/>
                <w:lang w:val="en-US" w:eastAsia="zh-CN"/>
              </w:rPr>
              <w:t>/</w:t>
            </w:r>
          </w:p>
        </w:tc>
        <w:tc>
          <w:tcPr>
            <w:tcW w:w="1559" w:type="dxa"/>
            <w:noWrap w:val="0"/>
            <w:vAlign w:val="center"/>
          </w:tcPr>
          <w:p w14:paraId="7BF0B7DB">
            <w:pPr>
              <w:topLinePunct/>
              <w:adjustRightInd w:val="0"/>
              <w:snapToGrid w:val="0"/>
              <w:jc w:val="center"/>
              <w:rPr>
                <w:rFonts w:hint="default" w:ascii="Times New Roman" w:hAnsi="Times New Roman" w:eastAsia="宋体" w:cs="Times New Roman"/>
                <w:snapToGrid w:val="0"/>
                <w:color w:val="auto"/>
                <w:kern w:val="21"/>
                <w:szCs w:val="21"/>
                <w:highlight w:val="none"/>
                <w:lang w:val="en-US"/>
              </w:rPr>
            </w:pPr>
            <w:r>
              <w:rPr>
                <w:rFonts w:hint="eastAsia" w:cs="Times New Roman"/>
                <w:color w:val="auto"/>
                <w:kern w:val="0"/>
                <w:szCs w:val="21"/>
                <w:highlight w:val="none"/>
                <w:lang w:val="en-US" w:eastAsia="zh-CN"/>
              </w:rPr>
              <w:t>1.536t/a</w:t>
            </w:r>
          </w:p>
        </w:tc>
        <w:tc>
          <w:tcPr>
            <w:tcW w:w="1651" w:type="dxa"/>
            <w:noWrap w:val="0"/>
            <w:vAlign w:val="center"/>
          </w:tcPr>
          <w:p w14:paraId="0DBF4623">
            <w:pPr>
              <w:pStyle w:val="57"/>
              <w:shd w:val="clear"/>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cs="Times New Roman"/>
                <w:snapToGrid w:val="0"/>
                <w:color w:val="auto"/>
                <w:kern w:val="21"/>
                <w:szCs w:val="21"/>
                <w:highlight w:val="none"/>
                <w:lang w:val="en-US" w:eastAsia="zh-CN"/>
              </w:rPr>
              <w:t>/</w:t>
            </w:r>
          </w:p>
        </w:tc>
        <w:tc>
          <w:tcPr>
            <w:tcW w:w="1521" w:type="dxa"/>
            <w:noWrap w:val="0"/>
            <w:vAlign w:val="center"/>
          </w:tcPr>
          <w:p w14:paraId="16A23C0F">
            <w:pPr>
              <w:topLinePunct/>
              <w:adjustRightInd w:val="0"/>
              <w:snapToGrid w:val="0"/>
              <w:jc w:val="center"/>
              <w:rPr>
                <w:rFonts w:hint="default" w:ascii="Times New Roman" w:hAnsi="Times New Roman" w:eastAsia="宋体" w:cs="Times New Roman"/>
                <w:snapToGrid w:val="0"/>
                <w:color w:val="auto"/>
                <w:kern w:val="21"/>
                <w:szCs w:val="21"/>
                <w:highlight w:val="none"/>
                <w:lang w:val="en-US"/>
              </w:rPr>
            </w:pPr>
            <w:r>
              <w:rPr>
                <w:rFonts w:hint="eastAsia" w:cs="Times New Roman"/>
                <w:color w:val="auto"/>
                <w:kern w:val="0"/>
                <w:szCs w:val="21"/>
                <w:highlight w:val="none"/>
                <w:lang w:val="en-US" w:eastAsia="zh-CN"/>
              </w:rPr>
              <w:t>1.536t/a</w:t>
            </w:r>
          </w:p>
        </w:tc>
        <w:tc>
          <w:tcPr>
            <w:tcW w:w="1472" w:type="dxa"/>
            <w:noWrap w:val="0"/>
            <w:vAlign w:val="center"/>
          </w:tcPr>
          <w:p w14:paraId="476B1076">
            <w:pPr>
              <w:topLinePunct/>
              <w:adjustRightInd w:val="0"/>
              <w:snapToGrid w:val="0"/>
              <w:jc w:val="center"/>
              <w:rPr>
                <w:rFonts w:hint="default" w:ascii="Times New Roman" w:hAnsi="Times New Roman" w:eastAsia="宋体" w:cs="Times New Roman"/>
                <w:snapToGrid w:val="0"/>
                <w:color w:val="auto"/>
                <w:kern w:val="21"/>
                <w:szCs w:val="21"/>
                <w:highlight w:val="none"/>
                <w:lang w:val="en-US"/>
              </w:rPr>
            </w:pPr>
            <w:r>
              <w:rPr>
                <w:rFonts w:hint="eastAsia" w:cs="Times New Roman"/>
                <w:color w:val="auto"/>
                <w:kern w:val="0"/>
                <w:szCs w:val="21"/>
                <w:highlight w:val="none"/>
                <w:lang w:val="en-US" w:eastAsia="zh-CN"/>
              </w:rPr>
              <w:t>+1.536t/a</w:t>
            </w:r>
          </w:p>
        </w:tc>
      </w:tr>
      <w:tr w14:paraId="5154601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14:paraId="598DB79C">
            <w:pPr>
              <w:pStyle w:val="57"/>
              <w:shd w:val="clear"/>
              <w:spacing w:beforeLines="0" w:afterLines="0" w:line="240" w:lineRule="auto"/>
              <w:rPr>
                <w:rFonts w:hint="default" w:ascii="Times New Roman" w:hAnsi="Times New Roman" w:eastAsia="宋体" w:cs="Times New Roman"/>
                <w:snapToGrid w:val="0"/>
                <w:color w:val="auto"/>
                <w:kern w:val="21"/>
                <w:szCs w:val="21"/>
                <w:highlight w:val="none"/>
              </w:rPr>
            </w:pPr>
          </w:p>
        </w:tc>
        <w:tc>
          <w:tcPr>
            <w:tcW w:w="1717" w:type="dxa"/>
            <w:noWrap w:val="0"/>
            <w:vAlign w:val="center"/>
          </w:tcPr>
          <w:p w14:paraId="70006D66">
            <w:pPr>
              <w:topLinePunct/>
              <w:adjustRightInd w:val="0"/>
              <w:snapToGrid w:val="0"/>
              <w:jc w:val="center"/>
              <w:rPr>
                <w:rFonts w:hint="default" w:ascii="Times New Roman" w:hAnsi="Times New Roman" w:eastAsia="宋体" w:cs="Times New Roman"/>
                <w:snapToGrid w:val="0"/>
                <w:color w:val="auto"/>
                <w:kern w:val="21"/>
                <w:szCs w:val="21"/>
                <w:highlight w:val="none"/>
              </w:rPr>
            </w:pPr>
            <w:r>
              <w:rPr>
                <w:rFonts w:hint="default" w:ascii="Times New Roman" w:hAnsi="Times New Roman" w:cs="Times New Roman"/>
                <w:color w:val="auto"/>
                <w:kern w:val="0"/>
                <w:szCs w:val="21"/>
                <w:highlight w:val="none"/>
              </w:rPr>
              <w:t>废</w:t>
            </w:r>
            <w:r>
              <w:rPr>
                <w:rFonts w:hint="eastAsia" w:cs="Times New Roman"/>
                <w:color w:val="auto"/>
                <w:kern w:val="0"/>
                <w:szCs w:val="21"/>
                <w:highlight w:val="none"/>
                <w:lang w:val="en-US" w:eastAsia="zh-CN"/>
              </w:rPr>
              <w:t>饱和</w:t>
            </w:r>
            <w:r>
              <w:rPr>
                <w:rFonts w:hint="default" w:ascii="Times New Roman" w:hAnsi="Times New Roman" w:cs="Times New Roman"/>
                <w:color w:val="auto"/>
                <w:kern w:val="0"/>
                <w:szCs w:val="21"/>
                <w:highlight w:val="none"/>
              </w:rPr>
              <w:t>活性炭</w:t>
            </w:r>
          </w:p>
        </w:tc>
        <w:tc>
          <w:tcPr>
            <w:tcW w:w="1401" w:type="dxa"/>
            <w:noWrap w:val="0"/>
            <w:vAlign w:val="center"/>
          </w:tcPr>
          <w:p w14:paraId="12D68E22">
            <w:pPr>
              <w:pStyle w:val="57"/>
              <w:shd w:val="clear"/>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cs="Times New Roman"/>
                <w:snapToGrid w:val="0"/>
                <w:color w:val="auto"/>
                <w:kern w:val="21"/>
                <w:szCs w:val="21"/>
                <w:highlight w:val="none"/>
                <w:lang w:val="en-US" w:eastAsia="zh-CN"/>
              </w:rPr>
              <w:t>/</w:t>
            </w:r>
          </w:p>
        </w:tc>
        <w:tc>
          <w:tcPr>
            <w:tcW w:w="1276" w:type="dxa"/>
            <w:noWrap w:val="0"/>
            <w:vAlign w:val="center"/>
          </w:tcPr>
          <w:p w14:paraId="6252C314">
            <w:pPr>
              <w:pStyle w:val="57"/>
              <w:shd w:val="clear"/>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cs="Times New Roman"/>
                <w:snapToGrid w:val="0"/>
                <w:color w:val="auto"/>
                <w:kern w:val="21"/>
                <w:szCs w:val="21"/>
                <w:highlight w:val="none"/>
                <w:lang w:val="en-US" w:eastAsia="zh-CN"/>
              </w:rPr>
              <w:t>/</w:t>
            </w:r>
          </w:p>
        </w:tc>
        <w:tc>
          <w:tcPr>
            <w:tcW w:w="1701" w:type="dxa"/>
            <w:noWrap w:val="0"/>
            <w:vAlign w:val="center"/>
          </w:tcPr>
          <w:p w14:paraId="6125C66E">
            <w:pPr>
              <w:pStyle w:val="57"/>
              <w:shd w:val="clear"/>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cs="Times New Roman"/>
                <w:snapToGrid w:val="0"/>
                <w:color w:val="auto"/>
                <w:kern w:val="21"/>
                <w:szCs w:val="21"/>
                <w:highlight w:val="none"/>
                <w:lang w:val="en-US" w:eastAsia="zh-CN"/>
              </w:rPr>
              <w:t>/</w:t>
            </w:r>
          </w:p>
        </w:tc>
        <w:tc>
          <w:tcPr>
            <w:tcW w:w="1559" w:type="dxa"/>
            <w:noWrap w:val="0"/>
            <w:vAlign w:val="center"/>
          </w:tcPr>
          <w:p w14:paraId="673B15CB">
            <w:pPr>
              <w:topLinePunct/>
              <w:adjustRightInd w:val="0"/>
              <w:snapToGrid w:val="0"/>
              <w:jc w:val="center"/>
              <w:rPr>
                <w:rFonts w:hint="default" w:ascii="Times New Roman" w:hAnsi="Times New Roman" w:eastAsia="宋体" w:cs="Times New Roman"/>
                <w:snapToGrid w:val="0"/>
                <w:color w:val="auto"/>
                <w:kern w:val="21"/>
                <w:szCs w:val="21"/>
                <w:highlight w:val="none"/>
                <w:lang w:val="en-US" w:eastAsia="zh-CN"/>
              </w:rPr>
            </w:pPr>
            <w:r>
              <w:rPr>
                <w:rFonts w:hint="eastAsia" w:cs="Times New Roman"/>
                <w:color w:val="auto"/>
                <w:szCs w:val="21"/>
                <w:highlight w:val="none"/>
                <w:lang w:val="en-US" w:eastAsia="zh-CN"/>
              </w:rPr>
              <w:t>3.9t/a</w:t>
            </w:r>
          </w:p>
        </w:tc>
        <w:tc>
          <w:tcPr>
            <w:tcW w:w="1651" w:type="dxa"/>
            <w:noWrap w:val="0"/>
            <w:vAlign w:val="center"/>
          </w:tcPr>
          <w:p w14:paraId="0EBF2EA6">
            <w:pPr>
              <w:pStyle w:val="57"/>
              <w:shd w:val="clear"/>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cs="Times New Roman"/>
                <w:snapToGrid w:val="0"/>
                <w:color w:val="auto"/>
                <w:kern w:val="21"/>
                <w:szCs w:val="21"/>
                <w:highlight w:val="none"/>
                <w:lang w:val="en-US" w:eastAsia="zh-CN"/>
              </w:rPr>
              <w:t>/</w:t>
            </w:r>
          </w:p>
        </w:tc>
        <w:tc>
          <w:tcPr>
            <w:tcW w:w="1521" w:type="dxa"/>
            <w:noWrap w:val="0"/>
            <w:vAlign w:val="center"/>
          </w:tcPr>
          <w:p w14:paraId="2924A3BD">
            <w:pPr>
              <w:topLinePunct/>
              <w:adjustRightInd w:val="0"/>
              <w:snapToGrid w:val="0"/>
              <w:jc w:val="center"/>
              <w:rPr>
                <w:rFonts w:hint="default" w:ascii="Times New Roman" w:hAnsi="Times New Roman" w:eastAsia="宋体" w:cs="Times New Roman"/>
                <w:snapToGrid w:val="0"/>
                <w:color w:val="auto"/>
                <w:kern w:val="21"/>
                <w:szCs w:val="21"/>
                <w:highlight w:val="none"/>
                <w:lang w:val="en-US"/>
              </w:rPr>
            </w:pPr>
            <w:r>
              <w:rPr>
                <w:rFonts w:hint="eastAsia" w:cs="Times New Roman"/>
                <w:color w:val="auto"/>
                <w:szCs w:val="21"/>
                <w:highlight w:val="none"/>
                <w:lang w:val="en-US" w:eastAsia="zh-CN"/>
              </w:rPr>
              <w:t>3.9t/a</w:t>
            </w:r>
          </w:p>
        </w:tc>
        <w:tc>
          <w:tcPr>
            <w:tcW w:w="1472" w:type="dxa"/>
            <w:noWrap w:val="0"/>
            <w:vAlign w:val="center"/>
          </w:tcPr>
          <w:p w14:paraId="5FAB1983">
            <w:pPr>
              <w:topLinePunct/>
              <w:adjustRightInd w:val="0"/>
              <w:snapToGrid w:val="0"/>
              <w:jc w:val="center"/>
              <w:rPr>
                <w:rFonts w:hint="default" w:ascii="Times New Roman" w:hAnsi="Times New Roman" w:eastAsia="宋体" w:cs="Times New Roman"/>
                <w:snapToGrid w:val="0"/>
                <w:color w:val="auto"/>
                <w:kern w:val="21"/>
                <w:szCs w:val="21"/>
                <w:highlight w:val="none"/>
                <w:lang w:val="en-US"/>
              </w:rPr>
            </w:pPr>
            <w:r>
              <w:rPr>
                <w:rFonts w:hint="eastAsia" w:cs="Times New Roman"/>
                <w:color w:val="auto"/>
                <w:szCs w:val="21"/>
                <w:highlight w:val="none"/>
                <w:lang w:val="en-US" w:eastAsia="zh-CN"/>
              </w:rPr>
              <w:t>+3.9t/a</w:t>
            </w:r>
          </w:p>
        </w:tc>
      </w:tr>
      <w:tr w14:paraId="5724FF3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14:paraId="09F043E0">
            <w:pPr>
              <w:pStyle w:val="57"/>
              <w:shd w:val="clear"/>
              <w:spacing w:beforeLines="0" w:afterLines="0" w:line="240" w:lineRule="auto"/>
              <w:rPr>
                <w:rFonts w:hint="default" w:ascii="Times New Roman" w:hAnsi="Times New Roman" w:eastAsia="宋体" w:cs="Times New Roman"/>
                <w:snapToGrid w:val="0"/>
                <w:color w:val="auto"/>
                <w:kern w:val="21"/>
                <w:szCs w:val="21"/>
                <w:highlight w:val="none"/>
              </w:rPr>
            </w:pPr>
          </w:p>
        </w:tc>
        <w:tc>
          <w:tcPr>
            <w:tcW w:w="1717" w:type="dxa"/>
            <w:noWrap w:val="0"/>
            <w:vAlign w:val="center"/>
          </w:tcPr>
          <w:p w14:paraId="4209A955">
            <w:pPr>
              <w:topLinePunct/>
              <w:adjustRightInd w:val="0"/>
              <w:snapToGrid w:val="0"/>
              <w:jc w:val="center"/>
              <w:rPr>
                <w:rFonts w:hint="default" w:ascii="Times New Roman" w:hAnsi="Times New Roman" w:eastAsia="宋体" w:cs="Times New Roman"/>
                <w:snapToGrid w:val="0"/>
                <w:color w:val="auto"/>
                <w:kern w:val="21"/>
                <w:szCs w:val="21"/>
                <w:highlight w:val="none"/>
              </w:rPr>
            </w:pPr>
            <w:r>
              <w:rPr>
                <w:rFonts w:hint="default" w:ascii="Times New Roman" w:hAnsi="Times New Roman" w:cs="Times New Roman"/>
                <w:color w:val="auto"/>
                <w:kern w:val="0"/>
                <w:szCs w:val="21"/>
                <w:highlight w:val="none"/>
                <w:lang w:val="en-US" w:eastAsia="zh-CN"/>
              </w:rPr>
              <w:t>废灯管</w:t>
            </w:r>
          </w:p>
        </w:tc>
        <w:tc>
          <w:tcPr>
            <w:tcW w:w="1401" w:type="dxa"/>
            <w:noWrap w:val="0"/>
            <w:vAlign w:val="center"/>
          </w:tcPr>
          <w:p w14:paraId="1924B2FD">
            <w:pPr>
              <w:pStyle w:val="57"/>
              <w:shd w:val="clear"/>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cs="Times New Roman"/>
                <w:snapToGrid w:val="0"/>
                <w:color w:val="auto"/>
                <w:kern w:val="21"/>
                <w:szCs w:val="21"/>
                <w:highlight w:val="none"/>
                <w:lang w:val="en-US" w:eastAsia="zh-CN"/>
              </w:rPr>
              <w:t>/</w:t>
            </w:r>
          </w:p>
        </w:tc>
        <w:tc>
          <w:tcPr>
            <w:tcW w:w="1276" w:type="dxa"/>
            <w:noWrap w:val="0"/>
            <w:vAlign w:val="center"/>
          </w:tcPr>
          <w:p w14:paraId="3B8D317F">
            <w:pPr>
              <w:pStyle w:val="57"/>
              <w:shd w:val="clear"/>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cs="Times New Roman"/>
                <w:snapToGrid w:val="0"/>
                <w:color w:val="auto"/>
                <w:kern w:val="21"/>
                <w:szCs w:val="21"/>
                <w:highlight w:val="none"/>
                <w:lang w:val="en-US" w:eastAsia="zh-CN"/>
              </w:rPr>
              <w:t>/</w:t>
            </w:r>
          </w:p>
        </w:tc>
        <w:tc>
          <w:tcPr>
            <w:tcW w:w="1701" w:type="dxa"/>
            <w:noWrap w:val="0"/>
            <w:vAlign w:val="center"/>
          </w:tcPr>
          <w:p w14:paraId="10BFFC27">
            <w:pPr>
              <w:pStyle w:val="57"/>
              <w:shd w:val="clear"/>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cs="Times New Roman"/>
                <w:snapToGrid w:val="0"/>
                <w:color w:val="auto"/>
                <w:kern w:val="21"/>
                <w:szCs w:val="21"/>
                <w:highlight w:val="none"/>
                <w:lang w:val="en-US" w:eastAsia="zh-CN"/>
              </w:rPr>
              <w:t>/</w:t>
            </w:r>
          </w:p>
        </w:tc>
        <w:tc>
          <w:tcPr>
            <w:tcW w:w="1559" w:type="dxa"/>
            <w:noWrap w:val="0"/>
            <w:vAlign w:val="center"/>
          </w:tcPr>
          <w:p w14:paraId="2192F0A1">
            <w:pPr>
              <w:topLinePunct/>
              <w:adjustRightInd w:val="0"/>
              <w:snapToGrid w:val="0"/>
              <w:jc w:val="center"/>
              <w:rPr>
                <w:rFonts w:hint="default" w:ascii="Times New Roman" w:hAnsi="Times New Roman" w:eastAsia="宋体" w:cs="Times New Roman"/>
                <w:snapToGrid w:val="0"/>
                <w:color w:val="auto"/>
                <w:kern w:val="21"/>
                <w:szCs w:val="21"/>
                <w:highlight w:val="none"/>
                <w:lang w:val="en-US" w:eastAsia="zh-CN"/>
              </w:rPr>
            </w:pPr>
            <w:r>
              <w:rPr>
                <w:rFonts w:hint="default" w:ascii="Times New Roman" w:hAnsi="Times New Roman" w:eastAsia="宋体" w:cs="Times New Roman"/>
                <w:color w:val="auto"/>
                <w:kern w:val="0"/>
                <w:szCs w:val="21"/>
                <w:highlight w:val="none"/>
                <w:lang w:val="en-US" w:eastAsia="zh-CN"/>
              </w:rPr>
              <w:t>0.005</w:t>
            </w:r>
            <w:r>
              <w:rPr>
                <w:rFonts w:hint="eastAsia" w:cs="Times New Roman"/>
                <w:color w:val="auto"/>
                <w:kern w:val="0"/>
                <w:szCs w:val="21"/>
                <w:highlight w:val="none"/>
                <w:lang w:val="en-US" w:eastAsia="zh-CN"/>
              </w:rPr>
              <w:t>t/a</w:t>
            </w:r>
          </w:p>
        </w:tc>
        <w:tc>
          <w:tcPr>
            <w:tcW w:w="1651" w:type="dxa"/>
            <w:noWrap w:val="0"/>
            <w:vAlign w:val="center"/>
          </w:tcPr>
          <w:p w14:paraId="0F38DC4B">
            <w:pPr>
              <w:pStyle w:val="57"/>
              <w:shd w:val="clear"/>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cs="Times New Roman"/>
                <w:snapToGrid w:val="0"/>
                <w:color w:val="auto"/>
                <w:kern w:val="21"/>
                <w:szCs w:val="21"/>
                <w:highlight w:val="none"/>
                <w:lang w:val="en-US" w:eastAsia="zh-CN"/>
              </w:rPr>
              <w:t>/</w:t>
            </w:r>
          </w:p>
        </w:tc>
        <w:tc>
          <w:tcPr>
            <w:tcW w:w="1521" w:type="dxa"/>
            <w:noWrap w:val="0"/>
            <w:vAlign w:val="center"/>
          </w:tcPr>
          <w:p w14:paraId="1A2B49F9">
            <w:pPr>
              <w:topLinePunct/>
              <w:adjustRightInd w:val="0"/>
              <w:snapToGrid w:val="0"/>
              <w:jc w:val="center"/>
              <w:rPr>
                <w:rFonts w:hint="default" w:ascii="Times New Roman" w:hAnsi="Times New Roman" w:eastAsia="宋体" w:cs="Times New Roman"/>
                <w:snapToGrid w:val="0"/>
                <w:color w:val="auto"/>
                <w:kern w:val="21"/>
                <w:szCs w:val="21"/>
                <w:highlight w:val="none"/>
                <w:lang w:val="en-US" w:eastAsia="zh-CN"/>
              </w:rPr>
            </w:pPr>
            <w:r>
              <w:rPr>
                <w:rFonts w:hint="default" w:ascii="Times New Roman" w:hAnsi="Times New Roman" w:eastAsia="宋体" w:cs="Times New Roman"/>
                <w:color w:val="auto"/>
                <w:kern w:val="0"/>
                <w:szCs w:val="21"/>
                <w:highlight w:val="none"/>
                <w:lang w:val="en-US" w:eastAsia="zh-CN"/>
              </w:rPr>
              <w:t>0.005</w:t>
            </w:r>
            <w:r>
              <w:rPr>
                <w:rFonts w:hint="eastAsia" w:cs="Times New Roman"/>
                <w:color w:val="auto"/>
                <w:kern w:val="0"/>
                <w:szCs w:val="21"/>
                <w:highlight w:val="none"/>
                <w:lang w:val="en-US" w:eastAsia="zh-CN"/>
              </w:rPr>
              <w:t>t/a</w:t>
            </w:r>
          </w:p>
        </w:tc>
        <w:tc>
          <w:tcPr>
            <w:tcW w:w="1472" w:type="dxa"/>
            <w:noWrap w:val="0"/>
            <w:vAlign w:val="center"/>
          </w:tcPr>
          <w:p w14:paraId="7DA14CC4">
            <w:pPr>
              <w:topLinePunct/>
              <w:adjustRightInd w:val="0"/>
              <w:snapToGrid w:val="0"/>
              <w:jc w:val="center"/>
              <w:rPr>
                <w:rFonts w:hint="default" w:ascii="Times New Roman" w:hAnsi="Times New Roman" w:eastAsia="宋体" w:cs="Times New Roman"/>
                <w:snapToGrid w:val="0"/>
                <w:color w:val="auto"/>
                <w:kern w:val="21"/>
                <w:szCs w:val="21"/>
                <w:highlight w:val="none"/>
                <w:lang w:val="en-US"/>
              </w:rPr>
            </w:pPr>
            <w:r>
              <w:rPr>
                <w:rFonts w:hint="eastAsia" w:cs="Times New Roman"/>
                <w:color w:val="auto"/>
                <w:kern w:val="0"/>
                <w:szCs w:val="21"/>
                <w:highlight w:val="none"/>
                <w:lang w:val="en-US" w:eastAsia="zh-CN"/>
              </w:rPr>
              <w:t>+</w:t>
            </w:r>
            <w:r>
              <w:rPr>
                <w:rFonts w:hint="default" w:ascii="Times New Roman" w:hAnsi="Times New Roman" w:eastAsia="宋体" w:cs="Times New Roman"/>
                <w:color w:val="auto"/>
                <w:kern w:val="0"/>
                <w:szCs w:val="21"/>
                <w:highlight w:val="none"/>
                <w:lang w:val="en-US" w:eastAsia="zh-CN"/>
              </w:rPr>
              <w:t>0.005</w:t>
            </w:r>
            <w:r>
              <w:rPr>
                <w:rFonts w:hint="eastAsia" w:cs="Times New Roman"/>
                <w:color w:val="auto"/>
                <w:kern w:val="0"/>
                <w:szCs w:val="21"/>
                <w:highlight w:val="none"/>
                <w:lang w:val="en-US" w:eastAsia="zh-CN"/>
              </w:rPr>
              <w:t>t/a</w:t>
            </w:r>
          </w:p>
        </w:tc>
      </w:tr>
      <w:tr w14:paraId="51C5575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14:paraId="4113C973">
            <w:pPr>
              <w:pStyle w:val="57"/>
              <w:shd w:val="clear"/>
              <w:spacing w:beforeLines="0" w:afterLines="0" w:line="240" w:lineRule="auto"/>
              <w:rPr>
                <w:rFonts w:hint="default" w:ascii="Times New Roman" w:hAnsi="Times New Roman" w:eastAsia="宋体" w:cs="Times New Roman"/>
                <w:snapToGrid w:val="0"/>
                <w:color w:val="auto"/>
                <w:kern w:val="21"/>
                <w:szCs w:val="21"/>
                <w:highlight w:val="none"/>
              </w:rPr>
            </w:pPr>
          </w:p>
        </w:tc>
        <w:tc>
          <w:tcPr>
            <w:tcW w:w="1717" w:type="dxa"/>
            <w:noWrap w:val="0"/>
            <w:vAlign w:val="center"/>
          </w:tcPr>
          <w:p w14:paraId="5F65CCF6">
            <w:pPr>
              <w:topLinePunct/>
              <w:adjustRightInd w:val="0"/>
              <w:snapToGrid w:val="0"/>
              <w:jc w:val="center"/>
              <w:rPr>
                <w:rFonts w:hint="default" w:ascii="Times New Roman" w:hAnsi="Times New Roman" w:eastAsia="宋体" w:cs="Times New Roman"/>
                <w:color w:val="auto"/>
                <w:szCs w:val="21"/>
                <w:highlight w:val="none"/>
                <w:lang w:val="en-US" w:eastAsia="zh-CN"/>
              </w:rPr>
            </w:pPr>
            <w:r>
              <w:rPr>
                <w:rFonts w:hint="eastAsia" w:cs="Times New Roman"/>
                <w:color w:val="auto"/>
                <w:sz w:val="21"/>
                <w:szCs w:val="21"/>
                <w:highlight w:val="none"/>
                <w:lang w:val="en-US" w:eastAsia="zh-CN"/>
              </w:rPr>
              <w:t>危废样品废物</w:t>
            </w:r>
          </w:p>
        </w:tc>
        <w:tc>
          <w:tcPr>
            <w:tcW w:w="1401" w:type="dxa"/>
            <w:noWrap w:val="0"/>
            <w:vAlign w:val="center"/>
          </w:tcPr>
          <w:p w14:paraId="30685694">
            <w:pPr>
              <w:pStyle w:val="57"/>
              <w:shd w:val="clear"/>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cs="Times New Roman"/>
                <w:snapToGrid w:val="0"/>
                <w:color w:val="auto"/>
                <w:kern w:val="21"/>
                <w:szCs w:val="21"/>
                <w:highlight w:val="none"/>
                <w:lang w:val="en-US" w:eastAsia="zh-CN"/>
              </w:rPr>
              <w:t>/</w:t>
            </w:r>
          </w:p>
        </w:tc>
        <w:tc>
          <w:tcPr>
            <w:tcW w:w="1276" w:type="dxa"/>
            <w:noWrap w:val="0"/>
            <w:vAlign w:val="center"/>
          </w:tcPr>
          <w:p w14:paraId="33C41D63">
            <w:pPr>
              <w:pStyle w:val="57"/>
              <w:shd w:val="clear"/>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cs="Times New Roman"/>
                <w:snapToGrid w:val="0"/>
                <w:color w:val="auto"/>
                <w:kern w:val="21"/>
                <w:szCs w:val="21"/>
                <w:highlight w:val="none"/>
                <w:lang w:val="en-US" w:eastAsia="zh-CN"/>
              </w:rPr>
              <w:t>/</w:t>
            </w:r>
          </w:p>
        </w:tc>
        <w:tc>
          <w:tcPr>
            <w:tcW w:w="1701" w:type="dxa"/>
            <w:noWrap w:val="0"/>
            <w:vAlign w:val="center"/>
          </w:tcPr>
          <w:p w14:paraId="3C968AFF">
            <w:pPr>
              <w:pStyle w:val="57"/>
              <w:shd w:val="clear"/>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cs="Times New Roman"/>
                <w:snapToGrid w:val="0"/>
                <w:color w:val="auto"/>
                <w:kern w:val="21"/>
                <w:szCs w:val="21"/>
                <w:highlight w:val="none"/>
                <w:lang w:val="en-US" w:eastAsia="zh-CN"/>
              </w:rPr>
              <w:t>/</w:t>
            </w:r>
          </w:p>
        </w:tc>
        <w:tc>
          <w:tcPr>
            <w:tcW w:w="1559" w:type="dxa"/>
            <w:noWrap w:val="0"/>
            <w:vAlign w:val="center"/>
          </w:tcPr>
          <w:p w14:paraId="67DFBF32">
            <w:pPr>
              <w:topLinePunct/>
              <w:adjustRightInd w:val="0"/>
              <w:snapToGrid w:val="0"/>
              <w:jc w:val="center"/>
              <w:rPr>
                <w:rFonts w:hint="default" w:ascii="Times New Roman" w:cs="Times New Roman"/>
                <w:i w:val="0"/>
                <w:iCs w:val="0"/>
                <w:color w:val="auto"/>
                <w:sz w:val="21"/>
                <w:szCs w:val="21"/>
                <w:highlight w:val="none"/>
                <w:u w:val="none"/>
                <w:lang w:val="en-US" w:eastAsia="zh-CN"/>
              </w:rPr>
            </w:pPr>
            <w:r>
              <w:rPr>
                <w:rFonts w:hint="default" w:ascii="Times New Roman" w:hAnsi="Times New Roman" w:eastAsia="宋体" w:cs="Times New Roman"/>
                <w:color w:val="auto"/>
                <w:kern w:val="0"/>
                <w:szCs w:val="21"/>
                <w:highlight w:val="none"/>
                <w:lang w:val="en-US" w:eastAsia="zh-CN"/>
              </w:rPr>
              <w:t>0.</w:t>
            </w:r>
            <w:r>
              <w:rPr>
                <w:rFonts w:hint="eastAsia" w:cs="Times New Roman"/>
                <w:color w:val="auto"/>
                <w:kern w:val="0"/>
                <w:szCs w:val="21"/>
                <w:highlight w:val="none"/>
                <w:lang w:val="en-US" w:eastAsia="zh-CN"/>
              </w:rPr>
              <w:t>56t/a</w:t>
            </w:r>
          </w:p>
        </w:tc>
        <w:tc>
          <w:tcPr>
            <w:tcW w:w="1651" w:type="dxa"/>
            <w:noWrap w:val="0"/>
            <w:vAlign w:val="center"/>
          </w:tcPr>
          <w:p w14:paraId="1B9BA10F">
            <w:pPr>
              <w:pStyle w:val="57"/>
              <w:shd w:val="clear"/>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cs="Times New Roman"/>
                <w:snapToGrid w:val="0"/>
                <w:color w:val="auto"/>
                <w:kern w:val="21"/>
                <w:szCs w:val="21"/>
                <w:highlight w:val="none"/>
                <w:lang w:val="en-US" w:eastAsia="zh-CN"/>
              </w:rPr>
              <w:t>/</w:t>
            </w:r>
          </w:p>
        </w:tc>
        <w:tc>
          <w:tcPr>
            <w:tcW w:w="1521" w:type="dxa"/>
            <w:noWrap w:val="0"/>
            <w:vAlign w:val="center"/>
          </w:tcPr>
          <w:p w14:paraId="2170F740">
            <w:pPr>
              <w:topLinePunct/>
              <w:adjustRightInd w:val="0"/>
              <w:snapToGrid w:val="0"/>
              <w:jc w:val="center"/>
              <w:rPr>
                <w:rFonts w:hint="default" w:cs="Times New Roman"/>
                <w:i w:val="0"/>
                <w:iCs w:val="0"/>
                <w:color w:val="auto"/>
                <w:sz w:val="21"/>
                <w:szCs w:val="21"/>
                <w:highlight w:val="none"/>
                <w:u w:val="none"/>
                <w:lang w:val="en-US" w:eastAsia="zh-CN"/>
              </w:rPr>
            </w:pPr>
            <w:r>
              <w:rPr>
                <w:rFonts w:hint="default" w:ascii="Times New Roman" w:hAnsi="Times New Roman" w:eastAsia="宋体" w:cs="Times New Roman"/>
                <w:color w:val="auto"/>
                <w:kern w:val="0"/>
                <w:szCs w:val="21"/>
                <w:highlight w:val="none"/>
                <w:lang w:val="en-US" w:eastAsia="zh-CN"/>
              </w:rPr>
              <w:t>0.</w:t>
            </w:r>
            <w:r>
              <w:rPr>
                <w:rFonts w:hint="eastAsia" w:cs="Times New Roman"/>
                <w:color w:val="auto"/>
                <w:kern w:val="0"/>
                <w:szCs w:val="21"/>
                <w:highlight w:val="none"/>
                <w:lang w:val="en-US" w:eastAsia="zh-CN"/>
              </w:rPr>
              <w:t>56t/a</w:t>
            </w:r>
          </w:p>
        </w:tc>
        <w:tc>
          <w:tcPr>
            <w:tcW w:w="1472" w:type="dxa"/>
            <w:noWrap w:val="0"/>
            <w:vAlign w:val="center"/>
          </w:tcPr>
          <w:p w14:paraId="3E085807">
            <w:pPr>
              <w:topLinePunct/>
              <w:adjustRightInd w:val="0"/>
              <w:snapToGrid w:val="0"/>
              <w:jc w:val="center"/>
              <w:rPr>
                <w:rFonts w:hint="default" w:ascii="Times New Roman" w:hAnsi="Times New Roman" w:eastAsia="宋体" w:cs="Times New Roman"/>
                <w:snapToGrid w:val="0"/>
                <w:color w:val="auto"/>
                <w:kern w:val="21"/>
                <w:szCs w:val="21"/>
                <w:highlight w:val="none"/>
                <w:lang w:val="en-US" w:eastAsia="zh-CN"/>
              </w:rPr>
            </w:pPr>
            <w:r>
              <w:rPr>
                <w:rFonts w:hint="eastAsia" w:cs="Times New Roman"/>
                <w:color w:val="auto"/>
                <w:kern w:val="0"/>
                <w:szCs w:val="21"/>
                <w:highlight w:val="none"/>
                <w:lang w:val="en-US" w:eastAsia="zh-CN"/>
              </w:rPr>
              <w:t>+</w:t>
            </w:r>
            <w:r>
              <w:rPr>
                <w:rFonts w:hint="default" w:ascii="Times New Roman" w:hAnsi="Times New Roman" w:eastAsia="宋体" w:cs="Times New Roman"/>
                <w:color w:val="auto"/>
                <w:kern w:val="0"/>
                <w:szCs w:val="21"/>
                <w:highlight w:val="none"/>
                <w:lang w:val="en-US" w:eastAsia="zh-CN"/>
              </w:rPr>
              <w:t>0.</w:t>
            </w:r>
            <w:r>
              <w:rPr>
                <w:rFonts w:hint="eastAsia" w:cs="Times New Roman"/>
                <w:color w:val="auto"/>
                <w:kern w:val="0"/>
                <w:szCs w:val="21"/>
                <w:highlight w:val="none"/>
                <w:lang w:val="en-US" w:eastAsia="zh-CN"/>
              </w:rPr>
              <w:t>56t/a</w:t>
            </w:r>
          </w:p>
        </w:tc>
      </w:tr>
      <w:tr w14:paraId="69763D8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14:paraId="20F3D6A3">
            <w:pPr>
              <w:pStyle w:val="57"/>
              <w:shd w:val="clear"/>
              <w:spacing w:beforeLines="0" w:afterLines="0" w:line="240" w:lineRule="auto"/>
              <w:rPr>
                <w:rFonts w:hint="default" w:ascii="Times New Roman" w:hAnsi="Times New Roman" w:eastAsia="宋体" w:cs="Times New Roman"/>
                <w:snapToGrid w:val="0"/>
                <w:color w:val="auto"/>
                <w:kern w:val="21"/>
                <w:szCs w:val="21"/>
                <w:highlight w:val="none"/>
              </w:rPr>
            </w:pPr>
          </w:p>
        </w:tc>
        <w:tc>
          <w:tcPr>
            <w:tcW w:w="1717" w:type="dxa"/>
            <w:noWrap w:val="0"/>
            <w:vAlign w:val="center"/>
          </w:tcPr>
          <w:p w14:paraId="5354AB5E">
            <w:pPr>
              <w:topLinePunct/>
              <w:adjustRightInd w:val="0"/>
              <w:snapToGrid w:val="0"/>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废试剂瓶</w:t>
            </w:r>
          </w:p>
        </w:tc>
        <w:tc>
          <w:tcPr>
            <w:tcW w:w="1401" w:type="dxa"/>
            <w:noWrap w:val="0"/>
            <w:vAlign w:val="center"/>
          </w:tcPr>
          <w:p w14:paraId="538CB4FF">
            <w:pPr>
              <w:pStyle w:val="57"/>
              <w:shd w:val="clear"/>
              <w:spacing w:beforeLines="0" w:afterLines="0" w:line="240" w:lineRule="auto"/>
              <w:rPr>
                <w:rFonts w:hint="eastAsia" w:ascii="Times New Roman"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w:t>
            </w:r>
          </w:p>
        </w:tc>
        <w:tc>
          <w:tcPr>
            <w:tcW w:w="1276" w:type="dxa"/>
            <w:noWrap w:val="0"/>
            <w:vAlign w:val="center"/>
          </w:tcPr>
          <w:p w14:paraId="76D4C1BE">
            <w:pPr>
              <w:pStyle w:val="57"/>
              <w:shd w:val="clear"/>
              <w:spacing w:beforeLines="0" w:afterLines="0" w:line="240" w:lineRule="auto"/>
              <w:rPr>
                <w:rFonts w:hint="eastAsia" w:ascii="Times New Roman"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w:t>
            </w:r>
          </w:p>
        </w:tc>
        <w:tc>
          <w:tcPr>
            <w:tcW w:w="1701" w:type="dxa"/>
            <w:noWrap w:val="0"/>
            <w:vAlign w:val="center"/>
          </w:tcPr>
          <w:p w14:paraId="69B2BAEF">
            <w:pPr>
              <w:pStyle w:val="57"/>
              <w:shd w:val="clear"/>
              <w:spacing w:beforeLines="0" w:afterLines="0" w:line="240" w:lineRule="auto"/>
              <w:rPr>
                <w:rFonts w:hint="eastAsia" w:ascii="Times New Roman"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w:t>
            </w:r>
          </w:p>
        </w:tc>
        <w:tc>
          <w:tcPr>
            <w:tcW w:w="1559" w:type="dxa"/>
            <w:noWrap w:val="0"/>
            <w:vAlign w:val="center"/>
          </w:tcPr>
          <w:p w14:paraId="1E1335F2">
            <w:pPr>
              <w:topLinePunct/>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eastAsia" w:cs="Times New Roman"/>
                <w:color w:val="auto"/>
                <w:kern w:val="0"/>
                <w:szCs w:val="21"/>
                <w:highlight w:val="none"/>
                <w:lang w:val="en-US" w:eastAsia="zh-CN"/>
              </w:rPr>
              <w:t>0.0326t/a</w:t>
            </w:r>
          </w:p>
        </w:tc>
        <w:tc>
          <w:tcPr>
            <w:tcW w:w="1651" w:type="dxa"/>
            <w:noWrap w:val="0"/>
            <w:vAlign w:val="center"/>
          </w:tcPr>
          <w:p w14:paraId="6247DFA5">
            <w:pPr>
              <w:pStyle w:val="57"/>
              <w:shd w:val="clear"/>
              <w:spacing w:beforeLines="0" w:afterLines="0" w:line="240" w:lineRule="auto"/>
              <w:rPr>
                <w:rFonts w:hint="default" w:ascii="Times New Roman"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w:t>
            </w:r>
          </w:p>
        </w:tc>
        <w:tc>
          <w:tcPr>
            <w:tcW w:w="1521" w:type="dxa"/>
            <w:noWrap w:val="0"/>
            <w:vAlign w:val="center"/>
          </w:tcPr>
          <w:p w14:paraId="2BD6871A">
            <w:pPr>
              <w:topLinePunct/>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eastAsia" w:cs="Times New Roman"/>
                <w:color w:val="auto"/>
                <w:kern w:val="0"/>
                <w:szCs w:val="21"/>
                <w:highlight w:val="none"/>
                <w:lang w:val="en-US" w:eastAsia="zh-CN"/>
              </w:rPr>
              <w:t>0.0326t/a</w:t>
            </w:r>
          </w:p>
        </w:tc>
        <w:tc>
          <w:tcPr>
            <w:tcW w:w="1472" w:type="dxa"/>
            <w:noWrap w:val="0"/>
            <w:vAlign w:val="center"/>
          </w:tcPr>
          <w:p w14:paraId="1EA14F6C">
            <w:pPr>
              <w:topLinePunct/>
              <w:adjustRightInd w:val="0"/>
              <w:snapToGrid w:val="0"/>
              <w:jc w:val="center"/>
              <w:rPr>
                <w:rFonts w:hint="eastAsia" w:cs="Times New Roman"/>
                <w:color w:val="auto"/>
                <w:kern w:val="0"/>
                <w:szCs w:val="21"/>
                <w:highlight w:val="none"/>
                <w:lang w:val="en-US" w:eastAsia="zh-CN"/>
              </w:rPr>
            </w:pPr>
            <w:r>
              <w:rPr>
                <w:rFonts w:hint="eastAsia" w:cs="Times New Roman"/>
                <w:color w:val="auto"/>
                <w:kern w:val="0"/>
                <w:szCs w:val="21"/>
                <w:highlight w:val="none"/>
                <w:lang w:val="en-US" w:eastAsia="zh-CN"/>
              </w:rPr>
              <w:t>+0.0326t/a</w:t>
            </w:r>
          </w:p>
        </w:tc>
      </w:tr>
      <w:tr w14:paraId="2112685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14:paraId="32F3648C">
            <w:pPr>
              <w:pStyle w:val="57"/>
              <w:shd w:val="clear"/>
              <w:spacing w:beforeLines="0" w:afterLines="0" w:line="240" w:lineRule="auto"/>
              <w:rPr>
                <w:rFonts w:hint="default" w:ascii="Times New Roman" w:hAnsi="Times New Roman" w:eastAsia="宋体" w:cs="Times New Roman"/>
                <w:snapToGrid w:val="0"/>
                <w:color w:val="auto"/>
                <w:kern w:val="21"/>
                <w:szCs w:val="21"/>
                <w:highlight w:val="none"/>
              </w:rPr>
            </w:pPr>
          </w:p>
        </w:tc>
        <w:tc>
          <w:tcPr>
            <w:tcW w:w="1717" w:type="dxa"/>
            <w:noWrap w:val="0"/>
            <w:vAlign w:val="center"/>
          </w:tcPr>
          <w:p w14:paraId="159100A2">
            <w:pPr>
              <w:topLinePunct/>
              <w:adjustRightInd w:val="0"/>
              <w:snapToGrid w:val="0"/>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沾染化学品的废包装袋</w:t>
            </w:r>
          </w:p>
        </w:tc>
        <w:tc>
          <w:tcPr>
            <w:tcW w:w="1401" w:type="dxa"/>
            <w:noWrap w:val="0"/>
            <w:vAlign w:val="center"/>
          </w:tcPr>
          <w:p w14:paraId="6B30BC03">
            <w:pPr>
              <w:pStyle w:val="57"/>
              <w:shd w:val="clear"/>
              <w:spacing w:beforeLines="0" w:afterLines="0" w:line="240" w:lineRule="auto"/>
              <w:rPr>
                <w:rFonts w:hint="eastAsia" w:ascii="Times New Roman"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w:t>
            </w:r>
          </w:p>
        </w:tc>
        <w:tc>
          <w:tcPr>
            <w:tcW w:w="1276" w:type="dxa"/>
            <w:noWrap w:val="0"/>
            <w:vAlign w:val="center"/>
          </w:tcPr>
          <w:p w14:paraId="6C9B5BBC">
            <w:pPr>
              <w:pStyle w:val="57"/>
              <w:shd w:val="clear"/>
              <w:spacing w:beforeLines="0" w:afterLines="0" w:line="240" w:lineRule="auto"/>
              <w:rPr>
                <w:rFonts w:hint="eastAsia" w:ascii="Times New Roman"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w:t>
            </w:r>
          </w:p>
        </w:tc>
        <w:tc>
          <w:tcPr>
            <w:tcW w:w="1701" w:type="dxa"/>
            <w:noWrap w:val="0"/>
            <w:vAlign w:val="center"/>
          </w:tcPr>
          <w:p w14:paraId="4516E411">
            <w:pPr>
              <w:pStyle w:val="57"/>
              <w:shd w:val="clear"/>
              <w:spacing w:beforeLines="0" w:afterLines="0" w:line="240" w:lineRule="auto"/>
              <w:rPr>
                <w:rFonts w:hint="eastAsia" w:ascii="Times New Roman"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w:t>
            </w:r>
          </w:p>
        </w:tc>
        <w:tc>
          <w:tcPr>
            <w:tcW w:w="1559" w:type="dxa"/>
            <w:noWrap w:val="0"/>
            <w:vAlign w:val="center"/>
          </w:tcPr>
          <w:p w14:paraId="4D78EAD6">
            <w:pPr>
              <w:topLinePunct/>
              <w:adjustRightInd w:val="0"/>
              <w:snapToGrid w:val="0"/>
              <w:jc w:val="center"/>
              <w:rPr>
                <w:rFonts w:hint="default" w:cs="Times New Roman"/>
                <w:color w:val="auto"/>
                <w:kern w:val="0"/>
                <w:szCs w:val="21"/>
                <w:highlight w:val="none"/>
                <w:lang w:val="en-US" w:eastAsia="zh-CN"/>
              </w:rPr>
            </w:pPr>
            <w:r>
              <w:rPr>
                <w:rFonts w:hint="eastAsia" w:cs="Times New Roman"/>
                <w:color w:val="auto"/>
                <w:kern w:val="0"/>
                <w:szCs w:val="21"/>
                <w:highlight w:val="none"/>
                <w:lang w:val="en-US" w:eastAsia="zh-CN"/>
              </w:rPr>
              <w:t>0.013t/a</w:t>
            </w:r>
          </w:p>
        </w:tc>
        <w:tc>
          <w:tcPr>
            <w:tcW w:w="1651" w:type="dxa"/>
            <w:noWrap w:val="0"/>
            <w:vAlign w:val="center"/>
          </w:tcPr>
          <w:p w14:paraId="091B7874">
            <w:pPr>
              <w:pStyle w:val="57"/>
              <w:shd w:val="clear"/>
              <w:spacing w:beforeLines="0" w:afterLines="0" w:line="240" w:lineRule="auto"/>
              <w:rPr>
                <w:rFonts w:hint="default" w:ascii="Times New Roman"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w:t>
            </w:r>
          </w:p>
        </w:tc>
        <w:tc>
          <w:tcPr>
            <w:tcW w:w="1521" w:type="dxa"/>
            <w:noWrap w:val="0"/>
            <w:vAlign w:val="center"/>
          </w:tcPr>
          <w:p w14:paraId="626DE5A1">
            <w:pPr>
              <w:topLinePunct/>
              <w:adjustRightInd w:val="0"/>
              <w:snapToGrid w:val="0"/>
              <w:jc w:val="center"/>
              <w:rPr>
                <w:rFonts w:hint="default" w:cs="Times New Roman"/>
                <w:color w:val="auto"/>
                <w:kern w:val="0"/>
                <w:szCs w:val="21"/>
                <w:highlight w:val="none"/>
                <w:lang w:val="en-US" w:eastAsia="zh-CN"/>
              </w:rPr>
            </w:pPr>
            <w:r>
              <w:rPr>
                <w:rFonts w:hint="eastAsia" w:cs="Times New Roman"/>
                <w:color w:val="auto"/>
                <w:kern w:val="0"/>
                <w:szCs w:val="21"/>
                <w:highlight w:val="none"/>
                <w:lang w:val="en-US" w:eastAsia="zh-CN"/>
              </w:rPr>
              <w:t>0.013t/a</w:t>
            </w:r>
          </w:p>
        </w:tc>
        <w:tc>
          <w:tcPr>
            <w:tcW w:w="1472" w:type="dxa"/>
            <w:noWrap w:val="0"/>
            <w:vAlign w:val="center"/>
          </w:tcPr>
          <w:p w14:paraId="262F6C49">
            <w:pPr>
              <w:topLinePunct/>
              <w:adjustRightInd w:val="0"/>
              <w:snapToGrid w:val="0"/>
              <w:jc w:val="center"/>
              <w:rPr>
                <w:rFonts w:hint="default" w:cs="Times New Roman"/>
                <w:color w:val="auto"/>
                <w:kern w:val="0"/>
                <w:szCs w:val="21"/>
                <w:highlight w:val="none"/>
                <w:lang w:val="en-US" w:eastAsia="zh-CN"/>
              </w:rPr>
            </w:pPr>
            <w:r>
              <w:rPr>
                <w:rFonts w:hint="eastAsia" w:cs="Times New Roman"/>
                <w:color w:val="auto"/>
                <w:kern w:val="0"/>
                <w:szCs w:val="21"/>
                <w:highlight w:val="none"/>
                <w:lang w:val="en-US" w:eastAsia="zh-CN"/>
              </w:rPr>
              <w:t>+0.013t/a</w:t>
            </w:r>
          </w:p>
        </w:tc>
      </w:tr>
      <w:tr w14:paraId="596263B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14:paraId="45CADD65">
            <w:pPr>
              <w:pStyle w:val="57"/>
              <w:shd w:val="clear"/>
              <w:spacing w:beforeLines="0" w:afterLines="0" w:line="240" w:lineRule="auto"/>
              <w:rPr>
                <w:rFonts w:hint="default" w:ascii="Times New Roman" w:hAnsi="Times New Roman" w:eastAsia="宋体" w:cs="Times New Roman"/>
                <w:snapToGrid w:val="0"/>
                <w:color w:val="auto"/>
                <w:kern w:val="21"/>
                <w:szCs w:val="21"/>
                <w:highlight w:val="none"/>
              </w:rPr>
            </w:pPr>
          </w:p>
        </w:tc>
        <w:tc>
          <w:tcPr>
            <w:tcW w:w="1717" w:type="dxa"/>
            <w:noWrap w:val="0"/>
            <w:vAlign w:val="center"/>
          </w:tcPr>
          <w:p w14:paraId="2FE532E7">
            <w:pPr>
              <w:shd w:val="clear"/>
              <w:spacing w:line="240" w:lineRule="auto"/>
              <w:jc w:val="center"/>
              <w:rPr>
                <w:rFonts w:hint="eastAsia"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废</w:t>
            </w:r>
            <w:r>
              <w:rPr>
                <w:rFonts w:hint="eastAsia" w:cs="Times New Roman"/>
                <w:color w:val="auto"/>
                <w:sz w:val="21"/>
                <w:szCs w:val="21"/>
                <w:highlight w:val="none"/>
                <w:lang w:val="en-US" w:eastAsia="zh-CN"/>
              </w:rPr>
              <w:t>机</w:t>
            </w:r>
            <w:r>
              <w:rPr>
                <w:rFonts w:hint="default" w:ascii="Times New Roman" w:hAnsi="Times New Roman" w:eastAsia="宋体" w:cs="Times New Roman"/>
                <w:color w:val="auto"/>
                <w:sz w:val="21"/>
                <w:szCs w:val="21"/>
                <w:highlight w:val="none"/>
              </w:rPr>
              <w:t>油</w:t>
            </w:r>
            <w:r>
              <w:rPr>
                <w:rFonts w:hint="default" w:ascii="Times New Roman" w:hAnsi="Times New Roman" w:eastAsia="宋体" w:cs="Times New Roman"/>
                <w:color w:val="auto"/>
                <w:sz w:val="21"/>
                <w:szCs w:val="21"/>
                <w:highlight w:val="none"/>
                <w:lang w:val="en-US" w:eastAsia="zh-CN"/>
              </w:rPr>
              <w:t>及其包装物</w:t>
            </w:r>
          </w:p>
        </w:tc>
        <w:tc>
          <w:tcPr>
            <w:tcW w:w="1401" w:type="dxa"/>
            <w:noWrap w:val="0"/>
            <w:vAlign w:val="center"/>
          </w:tcPr>
          <w:p w14:paraId="5BC1B297">
            <w:pPr>
              <w:pStyle w:val="57"/>
              <w:shd w:val="clear"/>
              <w:spacing w:beforeLines="0" w:afterLines="0" w:line="240" w:lineRule="auto"/>
              <w:rPr>
                <w:rFonts w:hint="eastAsia" w:ascii="Times New Roman"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w:t>
            </w:r>
          </w:p>
        </w:tc>
        <w:tc>
          <w:tcPr>
            <w:tcW w:w="1276" w:type="dxa"/>
            <w:noWrap w:val="0"/>
            <w:vAlign w:val="center"/>
          </w:tcPr>
          <w:p w14:paraId="73666F58">
            <w:pPr>
              <w:pStyle w:val="57"/>
              <w:shd w:val="clear"/>
              <w:spacing w:beforeLines="0" w:afterLines="0" w:line="240" w:lineRule="auto"/>
              <w:rPr>
                <w:rFonts w:hint="eastAsia" w:ascii="Times New Roman"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w:t>
            </w:r>
          </w:p>
        </w:tc>
        <w:tc>
          <w:tcPr>
            <w:tcW w:w="1701" w:type="dxa"/>
            <w:noWrap w:val="0"/>
            <w:vAlign w:val="center"/>
          </w:tcPr>
          <w:p w14:paraId="36DEE11F">
            <w:pPr>
              <w:pStyle w:val="57"/>
              <w:shd w:val="clear"/>
              <w:spacing w:beforeLines="0" w:afterLines="0" w:line="240" w:lineRule="auto"/>
              <w:rPr>
                <w:rFonts w:hint="eastAsia" w:ascii="Times New Roman"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w:t>
            </w:r>
          </w:p>
        </w:tc>
        <w:tc>
          <w:tcPr>
            <w:tcW w:w="1559" w:type="dxa"/>
            <w:noWrap w:val="0"/>
            <w:vAlign w:val="center"/>
          </w:tcPr>
          <w:p w14:paraId="4CBFB7F9">
            <w:pPr>
              <w:topLinePunct/>
              <w:adjustRightInd w:val="0"/>
              <w:snapToGrid w:val="0"/>
              <w:jc w:val="center"/>
              <w:rPr>
                <w:rFonts w:hint="default" w:cs="Times New Roman"/>
                <w:color w:val="auto"/>
                <w:kern w:val="0"/>
                <w:szCs w:val="21"/>
                <w:highlight w:val="none"/>
                <w:lang w:val="en-US" w:eastAsia="zh-CN"/>
              </w:rPr>
            </w:pPr>
            <w:r>
              <w:rPr>
                <w:rFonts w:hint="eastAsia" w:cs="Times New Roman"/>
                <w:color w:val="auto"/>
                <w:kern w:val="0"/>
                <w:szCs w:val="21"/>
                <w:highlight w:val="none"/>
                <w:lang w:val="en-US" w:eastAsia="zh-CN"/>
              </w:rPr>
              <w:t>0.025t/a</w:t>
            </w:r>
          </w:p>
        </w:tc>
        <w:tc>
          <w:tcPr>
            <w:tcW w:w="1651" w:type="dxa"/>
            <w:noWrap w:val="0"/>
            <w:vAlign w:val="center"/>
          </w:tcPr>
          <w:p w14:paraId="188F1A64">
            <w:pPr>
              <w:pStyle w:val="57"/>
              <w:shd w:val="clear"/>
              <w:spacing w:beforeLines="0" w:afterLines="0" w:line="240" w:lineRule="auto"/>
              <w:rPr>
                <w:rFonts w:hint="eastAsia" w:ascii="Times New Roman"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w:t>
            </w:r>
          </w:p>
        </w:tc>
        <w:tc>
          <w:tcPr>
            <w:tcW w:w="1521" w:type="dxa"/>
            <w:noWrap w:val="0"/>
            <w:vAlign w:val="center"/>
          </w:tcPr>
          <w:p w14:paraId="7D7EDC40">
            <w:pPr>
              <w:topLinePunct/>
              <w:adjustRightInd w:val="0"/>
              <w:snapToGrid w:val="0"/>
              <w:jc w:val="center"/>
              <w:rPr>
                <w:rFonts w:hint="eastAsia" w:cs="Times New Roman"/>
                <w:color w:val="auto"/>
                <w:kern w:val="0"/>
                <w:szCs w:val="21"/>
                <w:highlight w:val="none"/>
                <w:lang w:val="en-US" w:eastAsia="zh-CN"/>
              </w:rPr>
            </w:pPr>
            <w:r>
              <w:rPr>
                <w:rFonts w:hint="eastAsia" w:cs="Times New Roman"/>
                <w:color w:val="auto"/>
                <w:kern w:val="0"/>
                <w:szCs w:val="21"/>
                <w:highlight w:val="none"/>
                <w:lang w:val="en-US" w:eastAsia="zh-CN"/>
              </w:rPr>
              <w:t>0.025t/a</w:t>
            </w:r>
          </w:p>
        </w:tc>
        <w:tc>
          <w:tcPr>
            <w:tcW w:w="1472" w:type="dxa"/>
            <w:noWrap w:val="0"/>
            <w:vAlign w:val="center"/>
          </w:tcPr>
          <w:p w14:paraId="0C96FC16">
            <w:pPr>
              <w:topLinePunct/>
              <w:adjustRightInd w:val="0"/>
              <w:snapToGrid w:val="0"/>
              <w:jc w:val="center"/>
              <w:rPr>
                <w:rFonts w:hint="eastAsia" w:cs="Times New Roman"/>
                <w:color w:val="auto"/>
                <w:kern w:val="0"/>
                <w:szCs w:val="21"/>
                <w:highlight w:val="none"/>
                <w:lang w:val="en-US" w:eastAsia="zh-CN"/>
              </w:rPr>
            </w:pPr>
            <w:r>
              <w:rPr>
                <w:rFonts w:hint="eastAsia" w:cs="Times New Roman"/>
                <w:color w:val="auto"/>
                <w:kern w:val="0"/>
                <w:szCs w:val="21"/>
                <w:highlight w:val="none"/>
                <w:lang w:val="en-US" w:eastAsia="zh-CN"/>
              </w:rPr>
              <w:t>+0.025t/a</w:t>
            </w:r>
          </w:p>
        </w:tc>
      </w:tr>
      <w:tr w14:paraId="227C596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14:paraId="206D64EB">
            <w:pPr>
              <w:pStyle w:val="57"/>
              <w:shd w:val="clear"/>
              <w:spacing w:beforeLines="0" w:afterLines="0" w:line="240" w:lineRule="auto"/>
              <w:rPr>
                <w:rFonts w:hint="default" w:ascii="Times New Roman" w:hAnsi="Times New Roman" w:eastAsia="宋体" w:cs="Times New Roman"/>
                <w:snapToGrid w:val="0"/>
                <w:color w:val="auto"/>
                <w:kern w:val="21"/>
                <w:szCs w:val="21"/>
                <w:highlight w:val="none"/>
              </w:rPr>
            </w:pPr>
          </w:p>
        </w:tc>
        <w:tc>
          <w:tcPr>
            <w:tcW w:w="1717" w:type="dxa"/>
            <w:noWrap w:val="0"/>
            <w:vAlign w:val="center"/>
          </w:tcPr>
          <w:p w14:paraId="55D57BA2">
            <w:pPr>
              <w:shd w:val="clear"/>
              <w:adjustRightInd w:val="0"/>
              <w:snapToGrid w:val="0"/>
              <w:spacing w:line="240" w:lineRule="auto"/>
              <w:jc w:val="center"/>
              <w:rPr>
                <w:rFonts w:hint="eastAsia" w:cs="Times New Roman"/>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eastAsia="zh-CN"/>
              </w:rPr>
              <w:t>废抹布及废手套</w:t>
            </w:r>
          </w:p>
        </w:tc>
        <w:tc>
          <w:tcPr>
            <w:tcW w:w="1401" w:type="dxa"/>
            <w:noWrap w:val="0"/>
            <w:vAlign w:val="center"/>
          </w:tcPr>
          <w:p w14:paraId="4ACA9613">
            <w:pPr>
              <w:pStyle w:val="57"/>
              <w:shd w:val="clear"/>
              <w:spacing w:beforeLines="0" w:afterLines="0" w:line="240" w:lineRule="auto"/>
              <w:rPr>
                <w:rFonts w:hint="eastAsia" w:ascii="Times New Roman"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w:t>
            </w:r>
          </w:p>
        </w:tc>
        <w:tc>
          <w:tcPr>
            <w:tcW w:w="1276" w:type="dxa"/>
            <w:noWrap w:val="0"/>
            <w:vAlign w:val="center"/>
          </w:tcPr>
          <w:p w14:paraId="1E89A008">
            <w:pPr>
              <w:pStyle w:val="57"/>
              <w:shd w:val="clear"/>
              <w:spacing w:beforeLines="0" w:afterLines="0" w:line="240" w:lineRule="auto"/>
              <w:rPr>
                <w:rFonts w:hint="eastAsia" w:ascii="Times New Roman"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w:t>
            </w:r>
          </w:p>
        </w:tc>
        <w:tc>
          <w:tcPr>
            <w:tcW w:w="1701" w:type="dxa"/>
            <w:noWrap w:val="0"/>
            <w:vAlign w:val="center"/>
          </w:tcPr>
          <w:p w14:paraId="5E27E065">
            <w:pPr>
              <w:pStyle w:val="57"/>
              <w:shd w:val="clear"/>
              <w:spacing w:beforeLines="0" w:afterLines="0" w:line="240" w:lineRule="auto"/>
              <w:rPr>
                <w:rFonts w:hint="eastAsia" w:ascii="Times New Roman"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w:t>
            </w:r>
          </w:p>
        </w:tc>
        <w:tc>
          <w:tcPr>
            <w:tcW w:w="1559" w:type="dxa"/>
            <w:noWrap w:val="0"/>
            <w:vAlign w:val="center"/>
          </w:tcPr>
          <w:p w14:paraId="6F4E84ED">
            <w:pPr>
              <w:topLinePunct/>
              <w:adjustRightInd w:val="0"/>
              <w:snapToGrid w:val="0"/>
              <w:jc w:val="center"/>
              <w:rPr>
                <w:rFonts w:hint="default" w:cs="Times New Roman"/>
                <w:color w:val="auto"/>
                <w:kern w:val="0"/>
                <w:szCs w:val="21"/>
                <w:highlight w:val="none"/>
                <w:lang w:val="en-US" w:eastAsia="zh-CN"/>
              </w:rPr>
            </w:pPr>
            <w:r>
              <w:rPr>
                <w:rFonts w:hint="eastAsia" w:cs="Times New Roman"/>
                <w:color w:val="auto"/>
                <w:kern w:val="0"/>
                <w:szCs w:val="21"/>
                <w:highlight w:val="none"/>
                <w:lang w:val="en-US" w:eastAsia="zh-CN"/>
              </w:rPr>
              <w:t>0.031t/a</w:t>
            </w:r>
          </w:p>
        </w:tc>
        <w:tc>
          <w:tcPr>
            <w:tcW w:w="1651" w:type="dxa"/>
            <w:noWrap w:val="0"/>
            <w:vAlign w:val="center"/>
          </w:tcPr>
          <w:p w14:paraId="46DB55D9">
            <w:pPr>
              <w:pStyle w:val="57"/>
              <w:shd w:val="clear"/>
              <w:spacing w:beforeLines="0" w:afterLines="0" w:line="240" w:lineRule="auto"/>
              <w:rPr>
                <w:rFonts w:hint="eastAsia" w:ascii="Times New Roman"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w:t>
            </w:r>
          </w:p>
        </w:tc>
        <w:tc>
          <w:tcPr>
            <w:tcW w:w="1521" w:type="dxa"/>
            <w:noWrap w:val="0"/>
            <w:vAlign w:val="center"/>
          </w:tcPr>
          <w:p w14:paraId="705F561F">
            <w:pPr>
              <w:topLinePunct/>
              <w:adjustRightInd w:val="0"/>
              <w:snapToGrid w:val="0"/>
              <w:jc w:val="center"/>
              <w:rPr>
                <w:rFonts w:hint="eastAsia" w:cs="Times New Roman"/>
                <w:color w:val="auto"/>
                <w:kern w:val="0"/>
                <w:szCs w:val="21"/>
                <w:highlight w:val="none"/>
                <w:lang w:val="en-US" w:eastAsia="zh-CN"/>
              </w:rPr>
            </w:pPr>
            <w:r>
              <w:rPr>
                <w:rFonts w:hint="eastAsia" w:cs="Times New Roman"/>
                <w:color w:val="auto"/>
                <w:kern w:val="0"/>
                <w:szCs w:val="21"/>
                <w:highlight w:val="none"/>
                <w:lang w:val="en-US" w:eastAsia="zh-CN"/>
              </w:rPr>
              <w:t>0.031t/a</w:t>
            </w:r>
          </w:p>
        </w:tc>
        <w:tc>
          <w:tcPr>
            <w:tcW w:w="1472" w:type="dxa"/>
            <w:noWrap w:val="0"/>
            <w:vAlign w:val="center"/>
          </w:tcPr>
          <w:p w14:paraId="05CDFB79">
            <w:pPr>
              <w:topLinePunct/>
              <w:adjustRightInd w:val="0"/>
              <w:snapToGrid w:val="0"/>
              <w:jc w:val="center"/>
              <w:rPr>
                <w:rFonts w:hint="eastAsia" w:cs="Times New Roman"/>
                <w:color w:val="auto"/>
                <w:kern w:val="0"/>
                <w:szCs w:val="21"/>
                <w:highlight w:val="none"/>
                <w:lang w:val="en-US" w:eastAsia="zh-CN"/>
              </w:rPr>
            </w:pPr>
            <w:r>
              <w:rPr>
                <w:rFonts w:hint="eastAsia" w:cs="Times New Roman"/>
                <w:color w:val="auto"/>
                <w:kern w:val="0"/>
                <w:szCs w:val="21"/>
                <w:highlight w:val="none"/>
                <w:lang w:val="en-US" w:eastAsia="zh-CN"/>
              </w:rPr>
              <w:t>+0.031t/a</w:t>
            </w:r>
          </w:p>
        </w:tc>
      </w:tr>
    </w:tbl>
    <w:p w14:paraId="56FDFC86">
      <w:pPr>
        <w:pStyle w:val="57"/>
        <w:shd w:val="clear"/>
        <w:spacing w:before="192" w:beforeLines="80" w:after="24"/>
        <w:jc w:val="left"/>
        <w:rPr>
          <w:rFonts w:hint="default" w:ascii="Times New Roman" w:hAnsi="Times New Roman" w:eastAsia="宋体" w:cs="Times New Roman"/>
          <w:snapToGrid w:val="0"/>
          <w:color w:val="auto"/>
          <w:spacing w:val="-6"/>
          <w:kern w:val="21"/>
          <w:szCs w:val="21"/>
          <w:highlight w:val="none"/>
        </w:rPr>
      </w:pPr>
      <w:r>
        <w:rPr>
          <w:rFonts w:hint="default" w:ascii="Times New Roman" w:hAnsi="Times New Roman" w:eastAsia="宋体" w:cs="Times New Roman"/>
          <w:snapToGrid w:val="0"/>
          <w:color w:val="auto"/>
          <w:kern w:val="21"/>
          <w:szCs w:val="21"/>
          <w:highlight w:val="none"/>
        </w:rPr>
        <w:t>注：</w:t>
      </w:r>
      <w:r>
        <w:rPr>
          <w:rFonts w:hint="default" w:ascii="Times New Roman" w:hAnsi="Times New Roman" w:eastAsia="宋体" w:cs="Times New Roman"/>
          <w:snapToGrid w:val="0"/>
          <w:color w:val="auto"/>
          <w:spacing w:val="-16"/>
          <w:kern w:val="21"/>
          <w:szCs w:val="21"/>
          <w:highlight w:val="none"/>
        </w:rPr>
        <w:fldChar w:fldCharType="begin"/>
      </w:r>
      <w:r>
        <w:rPr>
          <w:rFonts w:hint="default" w:ascii="Times New Roman" w:hAnsi="Times New Roman" w:eastAsia="宋体" w:cs="Times New Roman"/>
          <w:snapToGrid w:val="0"/>
          <w:color w:val="auto"/>
          <w:spacing w:val="-16"/>
          <w:kern w:val="21"/>
          <w:szCs w:val="21"/>
          <w:highlight w:val="none"/>
        </w:rPr>
        <w:instrText xml:space="preserve"> = 6 \* GB3 \* MERGEFORMAT </w:instrText>
      </w:r>
      <w:r>
        <w:rPr>
          <w:rFonts w:hint="default" w:ascii="Times New Roman" w:hAnsi="Times New Roman" w:eastAsia="宋体" w:cs="Times New Roman"/>
          <w:snapToGrid w:val="0"/>
          <w:color w:val="auto"/>
          <w:spacing w:val="-16"/>
          <w:kern w:val="21"/>
          <w:szCs w:val="21"/>
          <w:highlight w:val="none"/>
        </w:rPr>
        <w:fldChar w:fldCharType="separate"/>
      </w:r>
      <w:r>
        <w:rPr>
          <w:rFonts w:hint="default" w:ascii="Times New Roman" w:hAnsi="Times New Roman" w:eastAsia="宋体" w:cs="Times New Roman"/>
          <w:color w:val="auto"/>
          <w:szCs w:val="21"/>
          <w:highlight w:val="none"/>
        </w:rPr>
        <w:t>⑥</w:t>
      </w:r>
      <w:r>
        <w:rPr>
          <w:rFonts w:hint="default" w:ascii="Times New Roman" w:hAnsi="Times New Roman" w:eastAsia="宋体" w:cs="Times New Roman"/>
          <w:snapToGrid w:val="0"/>
          <w:color w:val="auto"/>
          <w:spacing w:val="-16"/>
          <w:kern w:val="21"/>
          <w:szCs w:val="21"/>
          <w:highlight w:val="none"/>
        </w:rPr>
        <w:fldChar w:fldCharType="end"/>
      </w:r>
      <w:r>
        <w:rPr>
          <w:rFonts w:hint="default" w:ascii="Times New Roman" w:hAnsi="Times New Roman" w:eastAsia="宋体" w:cs="Times New Roman"/>
          <w:snapToGrid w:val="0"/>
          <w:color w:val="auto"/>
          <w:spacing w:val="-16"/>
          <w:kern w:val="21"/>
          <w:szCs w:val="21"/>
          <w:highlight w:val="none"/>
        </w:rPr>
        <w:t>=</w:t>
      </w:r>
      <w:r>
        <w:rPr>
          <w:rFonts w:hint="default" w:ascii="Times New Roman" w:hAnsi="Times New Roman" w:eastAsia="宋体" w:cs="Times New Roman"/>
          <w:snapToGrid w:val="0"/>
          <w:color w:val="auto"/>
          <w:spacing w:val="-6"/>
          <w:kern w:val="21"/>
          <w:szCs w:val="21"/>
          <w:highlight w:val="none"/>
        </w:rPr>
        <w:fldChar w:fldCharType="begin"/>
      </w:r>
      <w:r>
        <w:rPr>
          <w:rFonts w:hint="default" w:ascii="Times New Roman" w:hAnsi="Times New Roman" w:eastAsia="宋体" w:cs="Times New Roman"/>
          <w:snapToGrid w:val="0"/>
          <w:color w:val="auto"/>
          <w:spacing w:val="-6"/>
          <w:kern w:val="21"/>
          <w:szCs w:val="21"/>
          <w:highlight w:val="none"/>
        </w:rPr>
        <w:instrText xml:space="preserve"> = 1 \* GB3 \* MERGEFORMAT </w:instrText>
      </w:r>
      <w:r>
        <w:rPr>
          <w:rFonts w:hint="default" w:ascii="Times New Roman" w:hAnsi="Times New Roman" w:eastAsia="宋体" w:cs="Times New Roman"/>
          <w:snapToGrid w:val="0"/>
          <w:color w:val="auto"/>
          <w:spacing w:val="-6"/>
          <w:kern w:val="21"/>
          <w:szCs w:val="21"/>
          <w:highlight w:val="none"/>
        </w:rPr>
        <w:fldChar w:fldCharType="separate"/>
      </w:r>
      <w:r>
        <w:rPr>
          <w:rFonts w:hint="default" w:ascii="Times New Roman" w:hAnsi="Times New Roman" w:eastAsia="宋体" w:cs="Times New Roman"/>
          <w:color w:val="auto"/>
          <w:szCs w:val="21"/>
          <w:highlight w:val="none"/>
        </w:rPr>
        <w:t>①</w:t>
      </w:r>
      <w:r>
        <w:rPr>
          <w:rFonts w:hint="default" w:ascii="Times New Roman" w:hAnsi="Times New Roman" w:eastAsia="宋体" w:cs="Times New Roman"/>
          <w:snapToGrid w:val="0"/>
          <w:color w:val="auto"/>
          <w:spacing w:val="-6"/>
          <w:kern w:val="21"/>
          <w:szCs w:val="21"/>
          <w:highlight w:val="none"/>
        </w:rPr>
        <w:fldChar w:fldCharType="end"/>
      </w:r>
      <w:r>
        <w:rPr>
          <w:rFonts w:hint="default" w:ascii="Times New Roman" w:hAnsi="Times New Roman" w:eastAsia="宋体" w:cs="Times New Roman"/>
          <w:snapToGrid w:val="0"/>
          <w:color w:val="auto"/>
          <w:spacing w:val="-6"/>
          <w:kern w:val="21"/>
          <w:szCs w:val="21"/>
          <w:highlight w:val="none"/>
        </w:rPr>
        <w:t>+</w:t>
      </w:r>
      <w:r>
        <w:rPr>
          <w:rFonts w:hint="default" w:ascii="Times New Roman" w:hAnsi="Times New Roman" w:eastAsia="宋体" w:cs="Times New Roman"/>
          <w:snapToGrid w:val="0"/>
          <w:color w:val="auto"/>
          <w:spacing w:val="-6"/>
          <w:kern w:val="21"/>
          <w:szCs w:val="21"/>
          <w:highlight w:val="none"/>
        </w:rPr>
        <w:fldChar w:fldCharType="begin"/>
      </w:r>
      <w:r>
        <w:rPr>
          <w:rFonts w:hint="default" w:ascii="Times New Roman" w:hAnsi="Times New Roman" w:eastAsia="宋体" w:cs="Times New Roman"/>
          <w:snapToGrid w:val="0"/>
          <w:color w:val="auto"/>
          <w:spacing w:val="-6"/>
          <w:kern w:val="21"/>
          <w:szCs w:val="21"/>
          <w:highlight w:val="none"/>
        </w:rPr>
        <w:instrText xml:space="preserve"> = 3 \* GB3 \* MERGEFORMAT </w:instrText>
      </w:r>
      <w:r>
        <w:rPr>
          <w:rFonts w:hint="default" w:ascii="Times New Roman" w:hAnsi="Times New Roman" w:eastAsia="宋体" w:cs="Times New Roman"/>
          <w:snapToGrid w:val="0"/>
          <w:color w:val="auto"/>
          <w:spacing w:val="-6"/>
          <w:kern w:val="21"/>
          <w:szCs w:val="21"/>
          <w:highlight w:val="none"/>
        </w:rPr>
        <w:fldChar w:fldCharType="separate"/>
      </w:r>
      <w:r>
        <w:rPr>
          <w:rFonts w:hint="default" w:ascii="Times New Roman" w:hAnsi="Times New Roman" w:eastAsia="宋体" w:cs="Times New Roman"/>
          <w:color w:val="auto"/>
          <w:szCs w:val="21"/>
          <w:highlight w:val="none"/>
        </w:rPr>
        <w:t>③</w:t>
      </w:r>
      <w:r>
        <w:rPr>
          <w:rFonts w:hint="default" w:ascii="Times New Roman" w:hAnsi="Times New Roman" w:eastAsia="宋体" w:cs="Times New Roman"/>
          <w:snapToGrid w:val="0"/>
          <w:color w:val="auto"/>
          <w:spacing w:val="-6"/>
          <w:kern w:val="21"/>
          <w:szCs w:val="21"/>
          <w:highlight w:val="none"/>
        </w:rPr>
        <w:fldChar w:fldCharType="end"/>
      </w:r>
      <w:r>
        <w:rPr>
          <w:rFonts w:hint="default" w:ascii="Times New Roman" w:hAnsi="Times New Roman" w:eastAsia="宋体" w:cs="Times New Roman"/>
          <w:snapToGrid w:val="0"/>
          <w:color w:val="auto"/>
          <w:spacing w:val="-6"/>
          <w:kern w:val="21"/>
          <w:szCs w:val="21"/>
          <w:highlight w:val="none"/>
        </w:rPr>
        <w:t>+</w:t>
      </w:r>
      <w:r>
        <w:rPr>
          <w:rFonts w:hint="default" w:ascii="Times New Roman" w:hAnsi="Times New Roman" w:eastAsia="宋体" w:cs="Times New Roman"/>
          <w:snapToGrid w:val="0"/>
          <w:color w:val="auto"/>
          <w:spacing w:val="-6"/>
          <w:kern w:val="21"/>
          <w:szCs w:val="21"/>
          <w:highlight w:val="none"/>
        </w:rPr>
        <w:fldChar w:fldCharType="begin"/>
      </w:r>
      <w:r>
        <w:rPr>
          <w:rFonts w:hint="default" w:ascii="Times New Roman" w:hAnsi="Times New Roman" w:eastAsia="宋体" w:cs="Times New Roman"/>
          <w:snapToGrid w:val="0"/>
          <w:color w:val="auto"/>
          <w:spacing w:val="-6"/>
          <w:kern w:val="21"/>
          <w:szCs w:val="21"/>
          <w:highlight w:val="none"/>
        </w:rPr>
        <w:instrText xml:space="preserve"> = 4 \* GB3 \* MERGEFORMAT </w:instrText>
      </w:r>
      <w:r>
        <w:rPr>
          <w:rFonts w:hint="default" w:ascii="Times New Roman" w:hAnsi="Times New Roman" w:eastAsia="宋体" w:cs="Times New Roman"/>
          <w:snapToGrid w:val="0"/>
          <w:color w:val="auto"/>
          <w:spacing w:val="-6"/>
          <w:kern w:val="21"/>
          <w:szCs w:val="21"/>
          <w:highlight w:val="none"/>
        </w:rPr>
        <w:fldChar w:fldCharType="separate"/>
      </w:r>
      <w:r>
        <w:rPr>
          <w:rFonts w:hint="default" w:ascii="Times New Roman" w:hAnsi="Times New Roman" w:eastAsia="宋体" w:cs="Times New Roman"/>
          <w:color w:val="auto"/>
          <w:szCs w:val="21"/>
          <w:highlight w:val="none"/>
        </w:rPr>
        <w:t>④</w:t>
      </w:r>
      <w:r>
        <w:rPr>
          <w:rFonts w:hint="default" w:ascii="Times New Roman" w:hAnsi="Times New Roman" w:eastAsia="宋体" w:cs="Times New Roman"/>
          <w:snapToGrid w:val="0"/>
          <w:color w:val="auto"/>
          <w:spacing w:val="-6"/>
          <w:kern w:val="21"/>
          <w:szCs w:val="21"/>
          <w:highlight w:val="none"/>
        </w:rPr>
        <w:fldChar w:fldCharType="end"/>
      </w:r>
      <w:r>
        <w:rPr>
          <w:rFonts w:hint="default" w:ascii="Times New Roman" w:hAnsi="Times New Roman" w:eastAsia="宋体" w:cs="Times New Roman"/>
          <w:snapToGrid w:val="0"/>
          <w:color w:val="auto"/>
          <w:spacing w:val="-6"/>
          <w:kern w:val="21"/>
          <w:szCs w:val="21"/>
          <w:highlight w:val="none"/>
        </w:rPr>
        <w:t>-</w:t>
      </w:r>
      <w:r>
        <w:rPr>
          <w:rFonts w:hint="default" w:ascii="Times New Roman" w:hAnsi="Times New Roman" w:eastAsia="宋体" w:cs="Times New Roman"/>
          <w:snapToGrid w:val="0"/>
          <w:color w:val="auto"/>
          <w:spacing w:val="-16"/>
          <w:kern w:val="21"/>
          <w:szCs w:val="21"/>
          <w:highlight w:val="none"/>
        </w:rPr>
        <w:fldChar w:fldCharType="begin"/>
      </w:r>
      <w:r>
        <w:rPr>
          <w:rFonts w:hint="default" w:ascii="Times New Roman" w:hAnsi="Times New Roman" w:eastAsia="宋体" w:cs="Times New Roman"/>
          <w:snapToGrid w:val="0"/>
          <w:color w:val="auto"/>
          <w:spacing w:val="-16"/>
          <w:kern w:val="21"/>
          <w:szCs w:val="21"/>
          <w:highlight w:val="none"/>
        </w:rPr>
        <w:instrText xml:space="preserve"> = 5 \* GB3 \* MERGEFORMAT </w:instrText>
      </w:r>
      <w:r>
        <w:rPr>
          <w:rFonts w:hint="default" w:ascii="Times New Roman" w:hAnsi="Times New Roman" w:eastAsia="宋体" w:cs="Times New Roman"/>
          <w:snapToGrid w:val="0"/>
          <w:color w:val="auto"/>
          <w:spacing w:val="-16"/>
          <w:kern w:val="21"/>
          <w:szCs w:val="21"/>
          <w:highlight w:val="none"/>
        </w:rPr>
        <w:fldChar w:fldCharType="separate"/>
      </w:r>
      <w:r>
        <w:rPr>
          <w:rFonts w:hint="default" w:ascii="Times New Roman" w:hAnsi="Times New Roman" w:eastAsia="宋体" w:cs="Times New Roman"/>
          <w:color w:val="auto"/>
          <w:szCs w:val="21"/>
          <w:highlight w:val="none"/>
        </w:rPr>
        <w:t>⑤</w:t>
      </w:r>
      <w:r>
        <w:rPr>
          <w:rFonts w:hint="default" w:ascii="Times New Roman" w:hAnsi="Times New Roman" w:eastAsia="宋体" w:cs="Times New Roman"/>
          <w:snapToGrid w:val="0"/>
          <w:color w:val="auto"/>
          <w:spacing w:val="-16"/>
          <w:kern w:val="21"/>
          <w:szCs w:val="21"/>
          <w:highlight w:val="none"/>
        </w:rPr>
        <w:fldChar w:fldCharType="end"/>
      </w:r>
      <w:r>
        <w:rPr>
          <w:rFonts w:hint="default" w:ascii="Times New Roman" w:hAnsi="Times New Roman" w:eastAsia="宋体" w:cs="Times New Roman"/>
          <w:snapToGrid w:val="0"/>
          <w:color w:val="auto"/>
          <w:spacing w:val="-16"/>
          <w:kern w:val="21"/>
          <w:szCs w:val="21"/>
          <w:highlight w:val="none"/>
        </w:rPr>
        <w:t>；</w:t>
      </w:r>
      <w:r>
        <w:rPr>
          <w:rFonts w:hint="default" w:ascii="Times New Roman" w:hAnsi="Times New Roman" w:eastAsia="宋体" w:cs="Times New Roman"/>
          <w:snapToGrid w:val="0"/>
          <w:color w:val="auto"/>
          <w:spacing w:val="-6"/>
          <w:kern w:val="21"/>
          <w:szCs w:val="21"/>
          <w:highlight w:val="none"/>
        </w:rPr>
        <w:fldChar w:fldCharType="begin"/>
      </w:r>
      <w:r>
        <w:rPr>
          <w:rFonts w:hint="default" w:ascii="Times New Roman" w:hAnsi="Times New Roman" w:eastAsia="宋体" w:cs="Times New Roman"/>
          <w:snapToGrid w:val="0"/>
          <w:color w:val="auto"/>
          <w:spacing w:val="-6"/>
          <w:kern w:val="21"/>
          <w:szCs w:val="21"/>
          <w:highlight w:val="none"/>
        </w:rPr>
        <w:instrText xml:space="preserve"> = 7 \* GB3 \* MERGEFORMAT </w:instrText>
      </w:r>
      <w:r>
        <w:rPr>
          <w:rFonts w:hint="default" w:ascii="Times New Roman" w:hAnsi="Times New Roman" w:eastAsia="宋体" w:cs="Times New Roman"/>
          <w:snapToGrid w:val="0"/>
          <w:color w:val="auto"/>
          <w:spacing w:val="-6"/>
          <w:kern w:val="21"/>
          <w:szCs w:val="21"/>
          <w:highlight w:val="none"/>
        </w:rPr>
        <w:fldChar w:fldCharType="separate"/>
      </w:r>
      <w:r>
        <w:rPr>
          <w:rFonts w:hint="default" w:ascii="Times New Roman" w:hAnsi="Times New Roman" w:eastAsia="宋体" w:cs="Times New Roman"/>
          <w:color w:val="auto"/>
          <w:szCs w:val="21"/>
          <w:highlight w:val="none"/>
        </w:rPr>
        <w:t>⑦</w:t>
      </w:r>
      <w:r>
        <w:rPr>
          <w:rFonts w:hint="default" w:ascii="Times New Roman" w:hAnsi="Times New Roman" w:eastAsia="宋体" w:cs="Times New Roman"/>
          <w:snapToGrid w:val="0"/>
          <w:color w:val="auto"/>
          <w:spacing w:val="-6"/>
          <w:kern w:val="21"/>
          <w:szCs w:val="21"/>
          <w:highlight w:val="none"/>
        </w:rPr>
        <w:fldChar w:fldCharType="end"/>
      </w:r>
      <w:r>
        <w:rPr>
          <w:rFonts w:hint="default" w:ascii="Times New Roman" w:hAnsi="Times New Roman" w:eastAsia="宋体" w:cs="Times New Roman"/>
          <w:snapToGrid w:val="0"/>
          <w:color w:val="auto"/>
          <w:spacing w:val="-6"/>
          <w:kern w:val="21"/>
          <w:szCs w:val="21"/>
          <w:highlight w:val="none"/>
        </w:rPr>
        <w:t>=</w:t>
      </w:r>
      <w:r>
        <w:rPr>
          <w:rFonts w:hint="default" w:ascii="Times New Roman" w:hAnsi="Times New Roman" w:eastAsia="宋体" w:cs="Times New Roman"/>
          <w:snapToGrid w:val="0"/>
          <w:color w:val="auto"/>
          <w:spacing w:val="-16"/>
          <w:kern w:val="21"/>
          <w:szCs w:val="21"/>
          <w:highlight w:val="none"/>
        </w:rPr>
        <w:fldChar w:fldCharType="begin"/>
      </w:r>
      <w:r>
        <w:rPr>
          <w:rFonts w:hint="default" w:ascii="Times New Roman" w:hAnsi="Times New Roman" w:eastAsia="宋体" w:cs="Times New Roman"/>
          <w:snapToGrid w:val="0"/>
          <w:color w:val="auto"/>
          <w:spacing w:val="-16"/>
          <w:kern w:val="21"/>
          <w:szCs w:val="21"/>
          <w:highlight w:val="none"/>
        </w:rPr>
        <w:instrText xml:space="preserve"> = 6 \* GB3 \* MERGEFORMAT </w:instrText>
      </w:r>
      <w:r>
        <w:rPr>
          <w:rFonts w:hint="default" w:ascii="Times New Roman" w:hAnsi="Times New Roman" w:eastAsia="宋体" w:cs="Times New Roman"/>
          <w:snapToGrid w:val="0"/>
          <w:color w:val="auto"/>
          <w:spacing w:val="-16"/>
          <w:kern w:val="21"/>
          <w:szCs w:val="21"/>
          <w:highlight w:val="none"/>
        </w:rPr>
        <w:fldChar w:fldCharType="separate"/>
      </w:r>
      <w:r>
        <w:rPr>
          <w:rFonts w:hint="default" w:ascii="Times New Roman" w:hAnsi="Times New Roman" w:eastAsia="宋体" w:cs="Times New Roman"/>
          <w:color w:val="auto"/>
          <w:szCs w:val="21"/>
          <w:highlight w:val="none"/>
        </w:rPr>
        <w:t>⑥</w:t>
      </w:r>
      <w:r>
        <w:rPr>
          <w:rFonts w:hint="default" w:ascii="Times New Roman" w:hAnsi="Times New Roman" w:eastAsia="宋体" w:cs="Times New Roman"/>
          <w:snapToGrid w:val="0"/>
          <w:color w:val="auto"/>
          <w:spacing w:val="-16"/>
          <w:kern w:val="21"/>
          <w:szCs w:val="21"/>
          <w:highlight w:val="none"/>
        </w:rPr>
        <w:fldChar w:fldCharType="end"/>
      </w:r>
      <w:r>
        <w:rPr>
          <w:rFonts w:hint="default" w:ascii="Times New Roman" w:hAnsi="Times New Roman" w:eastAsia="宋体" w:cs="Times New Roman"/>
          <w:snapToGrid w:val="0"/>
          <w:color w:val="auto"/>
          <w:spacing w:val="-16"/>
          <w:kern w:val="21"/>
          <w:szCs w:val="21"/>
          <w:highlight w:val="none"/>
        </w:rPr>
        <w:t>-</w:t>
      </w:r>
      <w:r>
        <w:rPr>
          <w:rFonts w:hint="default" w:ascii="Times New Roman" w:hAnsi="Times New Roman" w:eastAsia="宋体" w:cs="Times New Roman"/>
          <w:snapToGrid w:val="0"/>
          <w:color w:val="auto"/>
          <w:spacing w:val="-6"/>
          <w:kern w:val="21"/>
          <w:szCs w:val="21"/>
          <w:highlight w:val="none"/>
        </w:rPr>
        <w:fldChar w:fldCharType="begin"/>
      </w:r>
      <w:r>
        <w:rPr>
          <w:rFonts w:hint="default" w:ascii="Times New Roman" w:hAnsi="Times New Roman" w:eastAsia="宋体" w:cs="Times New Roman"/>
          <w:snapToGrid w:val="0"/>
          <w:color w:val="auto"/>
          <w:spacing w:val="-6"/>
          <w:kern w:val="21"/>
          <w:szCs w:val="21"/>
          <w:highlight w:val="none"/>
        </w:rPr>
        <w:instrText xml:space="preserve"> = 1 \* GB3 \* MERGEFORMAT </w:instrText>
      </w:r>
      <w:r>
        <w:rPr>
          <w:rFonts w:hint="default" w:ascii="Times New Roman" w:hAnsi="Times New Roman" w:eastAsia="宋体" w:cs="Times New Roman"/>
          <w:snapToGrid w:val="0"/>
          <w:color w:val="auto"/>
          <w:spacing w:val="-6"/>
          <w:kern w:val="21"/>
          <w:szCs w:val="21"/>
          <w:highlight w:val="none"/>
        </w:rPr>
        <w:fldChar w:fldCharType="separate"/>
      </w:r>
      <w:r>
        <w:rPr>
          <w:rFonts w:hint="default" w:ascii="Times New Roman" w:hAnsi="Times New Roman" w:eastAsia="宋体" w:cs="Times New Roman"/>
          <w:color w:val="auto"/>
          <w:szCs w:val="21"/>
          <w:highlight w:val="none"/>
        </w:rPr>
        <w:t>①</w:t>
      </w:r>
      <w:r>
        <w:rPr>
          <w:rFonts w:hint="default" w:ascii="Times New Roman" w:hAnsi="Times New Roman" w:eastAsia="宋体" w:cs="Times New Roman"/>
          <w:snapToGrid w:val="0"/>
          <w:color w:val="auto"/>
          <w:spacing w:val="-6"/>
          <w:kern w:val="21"/>
          <w:szCs w:val="21"/>
          <w:highlight w:val="none"/>
        </w:rPr>
        <w:fldChar w:fldCharType="end"/>
      </w:r>
    </w:p>
    <w:p w14:paraId="517F3DFD">
      <w:pPr>
        <w:shd w:val="clear"/>
        <w:rPr>
          <w:rFonts w:hint="default" w:ascii="Times New Roman" w:hAnsi="Times New Roman" w:eastAsia="宋体" w:cs="Times New Roman"/>
          <w:color w:val="auto"/>
          <w:highlight w:val="none"/>
        </w:rPr>
        <w:sectPr>
          <w:footerReference r:id="rId9" w:type="default"/>
          <w:pgSz w:w="16838" w:h="11906" w:orient="landscape"/>
          <w:pgMar w:top="1134" w:right="1531" w:bottom="1134" w:left="1531" w:header="851" w:footer="851" w:gutter="0"/>
          <w:pgNumType w:fmt="decimal"/>
          <w:cols w:space="720" w:num="1"/>
          <w:docGrid w:linePitch="312" w:charSpace="0"/>
        </w:sectPr>
      </w:pPr>
    </w:p>
    <w:p w14:paraId="14AAFBA3">
      <w:pPr>
        <w:pStyle w:val="40"/>
        <w:shd w:val="clear"/>
        <w:tabs>
          <w:tab w:val="left" w:pos="3360"/>
        </w:tabs>
        <w:jc w:val="both"/>
        <w:rPr>
          <w:rFonts w:hint="default" w:ascii="Times New Roman" w:hAnsi="Times New Roman" w:eastAsia="宋体" w:cs="Times New Roman"/>
          <w:color w:val="auto"/>
          <w:highlight w:val="none"/>
          <w:lang w:eastAsia="zh-CN"/>
        </w:rPr>
      </w:pPr>
      <w:r>
        <w:rPr>
          <w:color w:val="auto"/>
          <w:sz w:val="24"/>
          <w:highlight w:val="none"/>
        </w:rPr>
        <mc:AlternateContent>
          <mc:Choice Requires="wps">
            <w:drawing>
              <wp:anchor distT="0" distB="0" distL="114300" distR="114300" simplePos="0" relativeHeight="251793408" behindDoc="0" locked="0" layoutInCell="1" allowOverlap="1">
                <wp:simplePos x="0" y="0"/>
                <wp:positionH relativeFrom="column">
                  <wp:posOffset>2340610</wp:posOffset>
                </wp:positionH>
                <wp:positionV relativeFrom="paragraph">
                  <wp:posOffset>1341755</wp:posOffset>
                </wp:positionV>
                <wp:extent cx="1265555" cy="475615"/>
                <wp:effectExtent l="0" t="0" r="0" b="0"/>
                <wp:wrapNone/>
                <wp:docPr id="113" name="文本框 113"/>
                <wp:cNvGraphicFramePr/>
                <a:graphic xmlns:a="http://schemas.openxmlformats.org/drawingml/2006/main">
                  <a:graphicData uri="http://schemas.microsoft.com/office/word/2010/wordprocessingShape">
                    <wps:wsp>
                      <wps:cNvSpPr txBox="1"/>
                      <wps:spPr>
                        <a:xfrm>
                          <a:off x="3529330" y="2422525"/>
                          <a:ext cx="1265555" cy="4756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395195F">
                            <w:pPr>
                              <w:rPr>
                                <w:b/>
                                <w:bCs w:val="0"/>
                                <w:sz w:val="24"/>
                                <w:szCs w:val="24"/>
                              </w:rPr>
                            </w:pPr>
                            <w:r>
                              <w:rPr>
                                <w:rFonts w:hint="eastAsia" w:cs="Times New Roman"/>
                                <w:b/>
                                <w:bCs w:val="0"/>
                                <w:color w:val="auto"/>
                                <w:sz w:val="24"/>
                                <w:szCs w:val="24"/>
                                <w:highlight w:val="none"/>
                                <w:lang w:val="en-US" w:eastAsia="zh-CN"/>
                              </w:rPr>
                              <w:t>中山众成财富企业管理合伙企业</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4.3pt;margin-top:105.65pt;height:37.45pt;width:99.65pt;z-index:251793408;mso-width-relative:page;mso-height-relative:page;" filled="f" stroked="f" coordsize="21600,21600" o:gfxdata="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ByzH7t3AAAAAsBAAAPAAAA&#10;AAAAAAEAIAAAACIAAABkcnMvZG93bnJldi54bWxQSwECFAAUAAAACACHTuJA6W3mKEoCAAB2BAAA&#10;DgAAAAAAAAABACAAAAArAQAAZHJzL2Uyb0RvYy54bWxQSwUGAAAAAAYABgBZAQAA5wUAAAAA&#10;">
                <v:fill on="f" focussize="0,0"/>
                <v:stroke on="f" weight="0.5pt"/>
                <v:imagedata o:title=""/>
                <o:lock v:ext="edit" aspectratio="f"/>
                <v:textbox>
                  <w:txbxContent>
                    <w:p w14:paraId="3395195F">
                      <w:pPr>
                        <w:rPr>
                          <w:b/>
                          <w:bCs w:val="0"/>
                          <w:sz w:val="24"/>
                          <w:szCs w:val="24"/>
                        </w:rPr>
                      </w:pPr>
                      <w:r>
                        <w:rPr>
                          <w:rFonts w:hint="eastAsia" w:cs="Times New Roman"/>
                          <w:b/>
                          <w:bCs w:val="0"/>
                          <w:color w:val="auto"/>
                          <w:sz w:val="24"/>
                          <w:szCs w:val="24"/>
                          <w:highlight w:val="none"/>
                          <w:lang w:val="en-US" w:eastAsia="zh-CN"/>
                        </w:rPr>
                        <w:t>中山众成财富企业管理合伙企业</w:t>
                      </w:r>
                    </w:p>
                  </w:txbxContent>
                </v:textbox>
              </v:shape>
            </w:pict>
          </mc:Fallback>
        </mc:AlternateContent>
      </w:r>
      <w:r>
        <w:rPr>
          <w:color w:val="auto"/>
          <w:sz w:val="24"/>
          <w:highlight w:val="none"/>
        </w:rPr>
        <mc:AlternateContent>
          <mc:Choice Requires="wps">
            <w:drawing>
              <wp:anchor distT="0" distB="0" distL="114300" distR="114300" simplePos="0" relativeHeight="251792384" behindDoc="0" locked="0" layoutInCell="1" allowOverlap="1">
                <wp:simplePos x="0" y="0"/>
                <wp:positionH relativeFrom="column">
                  <wp:posOffset>2268855</wp:posOffset>
                </wp:positionH>
                <wp:positionV relativeFrom="paragraph">
                  <wp:posOffset>1306195</wp:posOffset>
                </wp:positionV>
                <wp:extent cx="1429385" cy="571500"/>
                <wp:effectExtent l="9525" t="9525" r="27940" b="9525"/>
                <wp:wrapNone/>
                <wp:docPr id="111" name="任意多边形 111"/>
                <wp:cNvGraphicFramePr/>
                <a:graphic xmlns:a="http://schemas.openxmlformats.org/drawingml/2006/main">
                  <a:graphicData uri="http://schemas.microsoft.com/office/word/2010/wordprocessingShape">
                    <wps:wsp>
                      <wps:cNvSpPr/>
                      <wps:spPr>
                        <a:xfrm>
                          <a:off x="3348990" y="2272030"/>
                          <a:ext cx="1429385" cy="571500"/>
                        </a:xfrm>
                        <a:custGeom>
                          <a:avLst/>
                          <a:gdLst>
                            <a:gd name="connisteX0" fmla="*/ 0 w 1442085"/>
                            <a:gd name="connsiteY0" fmla="*/ 0 h 577850"/>
                            <a:gd name="connisteX1" fmla="*/ 6350 w 1442085"/>
                            <a:gd name="connsiteY1" fmla="*/ 482600 h 577850"/>
                            <a:gd name="connisteX2" fmla="*/ 0 w 1442085"/>
                            <a:gd name="connsiteY2" fmla="*/ 509270 h 577850"/>
                            <a:gd name="connisteX3" fmla="*/ 1421765 w 1442085"/>
                            <a:gd name="connsiteY3" fmla="*/ 577850 h 577850"/>
                            <a:gd name="connisteX4" fmla="*/ 1442085 w 1442085"/>
                            <a:gd name="connsiteY4" fmla="*/ 6350 h 577850"/>
                            <a:gd name="connisteX5" fmla="*/ 0 w 1442085"/>
                            <a:gd name="connsiteY5" fmla="*/ 0 h 57785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Lst>
                          <a:rect l="l" t="t" r="r" b="b"/>
                          <a:pathLst>
                            <a:path w="1442085" h="577850">
                              <a:moveTo>
                                <a:pt x="0" y="0"/>
                              </a:moveTo>
                              <a:lnTo>
                                <a:pt x="6350" y="482600"/>
                              </a:lnTo>
                              <a:lnTo>
                                <a:pt x="0" y="509270"/>
                              </a:lnTo>
                              <a:lnTo>
                                <a:pt x="1421765" y="577850"/>
                              </a:lnTo>
                              <a:lnTo>
                                <a:pt x="1442085" y="6350"/>
                              </a:lnTo>
                              <a:lnTo>
                                <a:pt x="0" y="0"/>
                              </a:lnTo>
                              <a:close/>
                            </a:path>
                          </a:pathLst>
                        </a:custGeom>
                        <a:noFill/>
                        <a:ln w="1905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178.65pt;margin-top:102.85pt;height:45pt;width:112.55pt;z-index:251792384;mso-width-relative:page;mso-height-relative:page;" filled="f" stroked="t" coordsize="1442085,577850" o:gfxdata="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" path="m0,0l6350,482600,0,509270,1421765,577850,1442085,6350,0,0xe">
                <v:path o:connectlocs="0,0;6294,477296;0,503673;1409243,571500;1429385,6280;0,0" o:connectangles="0,0,0,0,0,0"/>
                <v:fill on="f" focussize="0,0"/>
                <v:stroke weight="1.5pt" color="#000000 [3213]" joinstyle="round"/>
                <v:imagedata o:title=""/>
                <o:lock v:ext="edit" aspectratio="f"/>
              </v:shape>
            </w:pict>
          </mc:Fallback>
        </mc:AlternateContent>
      </w:r>
      <w:r>
        <w:rPr>
          <w:color w:val="auto"/>
          <w:sz w:val="24"/>
          <w:highlight w:val="none"/>
        </w:rPr>
        <mc:AlternateContent>
          <mc:Choice Requires="wps">
            <w:drawing>
              <wp:anchor distT="0" distB="0" distL="114300" distR="114300" simplePos="0" relativeHeight="251730944" behindDoc="0" locked="0" layoutInCell="1" allowOverlap="1">
                <wp:simplePos x="0" y="0"/>
                <wp:positionH relativeFrom="column">
                  <wp:posOffset>2264410</wp:posOffset>
                </wp:positionH>
                <wp:positionV relativeFrom="paragraph">
                  <wp:posOffset>1822450</wp:posOffset>
                </wp:positionV>
                <wp:extent cx="1431925" cy="964565"/>
                <wp:effectExtent l="12700" t="12700" r="22225" b="13335"/>
                <wp:wrapNone/>
                <wp:docPr id="18" name="任意多边形 18"/>
                <wp:cNvGraphicFramePr/>
                <a:graphic xmlns:a="http://schemas.openxmlformats.org/drawingml/2006/main">
                  <a:graphicData uri="http://schemas.microsoft.com/office/word/2010/wordprocessingShape">
                    <wps:wsp>
                      <wps:cNvSpPr/>
                      <wps:spPr>
                        <a:xfrm>
                          <a:off x="3334385" y="2818130"/>
                          <a:ext cx="1431925" cy="964565"/>
                        </a:xfrm>
                        <a:custGeom>
                          <a:avLst/>
                          <a:gdLst>
                            <a:gd name="connisteX0" fmla="*/ 0 w 1417955"/>
                            <a:gd name="connsiteY0" fmla="*/ 0 h 941070"/>
                            <a:gd name="connisteX1" fmla="*/ 0 w 1417955"/>
                            <a:gd name="connsiteY1" fmla="*/ 486410 h 941070"/>
                            <a:gd name="connisteX2" fmla="*/ 1143000 w 1417955"/>
                            <a:gd name="connsiteY2" fmla="*/ 941070 h 941070"/>
                            <a:gd name="connisteX3" fmla="*/ 1311910 w 1417955"/>
                            <a:gd name="connsiteY3" fmla="*/ 930910 h 941070"/>
                            <a:gd name="connisteX4" fmla="*/ 1397000 w 1417955"/>
                            <a:gd name="connsiteY4" fmla="*/ 814070 h 941070"/>
                            <a:gd name="connisteX5" fmla="*/ 1417955 w 1417955"/>
                            <a:gd name="connsiteY5" fmla="*/ 73660 h 941070"/>
                            <a:gd name="connisteX6" fmla="*/ 0 w 1417955"/>
                            <a:gd name="connsiteY6" fmla="*/ 0 h 94107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Lst>
                          <a:rect l="l" t="t" r="r" b="b"/>
                          <a:pathLst>
                            <a:path w="1417955" h="941070">
                              <a:moveTo>
                                <a:pt x="0" y="0"/>
                              </a:moveTo>
                              <a:lnTo>
                                <a:pt x="0" y="486410"/>
                              </a:lnTo>
                              <a:lnTo>
                                <a:pt x="1143000" y="941070"/>
                              </a:lnTo>
                              <a:lnTo>
                                <a:pt x="1311910" y="930910"/>
                              </a:lnTo>
                              <a:lnTo>
                                <a:pt x="1397000" y="814070"/>
                              </a:lnTo>
                              <a:lnTo>
                                <a:pt x="1417955" y="73660"/>
                              </a:lnTo>
                              <a:lnTo>
                                <a:pt x="0" y="0"/>
                              </a:lnTo>
                              <a:close/>
                            </a:path>
                          </a:pathLst>
                        </a:cu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178.3pt;margin-top:143.5pt;height:75.95pt;width:112.75pt;z-index:251730944;mso-width-relative:page;mso-height-relative:page;" filled="f" stroked="t" coordsize="1417955,941070" o:gfxdata="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" path="m0,0l0,486410,1143000,941070,1311910,930910,1397000,814070,1417955,73660,0,0xe">
                <v:path o:connectlocs="0,0;0,498553;1154261,964565;1324835,954151;1410763,834394;1431925,75499;0,0" o:connectangles="0,0,0,0,0,0,0"/>
                <v:fill on="f" focussize="0,0"/>
                <v:stroke weight="2pt" color="#FF0000 [2404]" joinstyle="round"/>
                <v:imagedata o:title=""/>
                <o:lock v:ext="edit" aspectratio="f"/>
              </v:shape>
            </w:pict>
          </mc:Fallback>
        </mc:AlternateContent>
      </w:r>
      <w:r>
        <w:rPr>
          <w:color w:val="auto"/>
          <w:sz w:val="24"/>
          <w:highlight w:val="none"/>
        </w:rPr>
        <mc:AlternateContent>
          <mc:Choice Requires="wps">
            <w:drawing>
              <wp:anchor distT="0" distB="0" distL="114300" distR="114300" simplePos="0" relativeHeight="251729920" behindDoc="0" locked="0" layoutInCell="1" allowOverlap="1">
                <wp:simplePos x="0" y="0"/>
                <wp:positionH relativeFrom="column">
                  <wp:posOffset>2251710</wp:posOffset>
                </wp:positionH>
                <wp:positionV relativeFrom="paragraph">
                  <wp:posOffset>1294765</wp:posOffset>
                </wp:positionV>
                <wp:extent cx="1470660" cy="1512570"/>
                <wp:effectExtent l="12700" t="12700" r="21590" b="17780"/>
                <wp:wrapNone/>
                <wp:docPr id="14" name="任意多边形 14"/>
                <wp:cNvGraphicFramePr/>
                <a:graphic xmlns:a="http://schemas.openxmlformats.org/drawingml/2006/main">
                  <a:graphicData uri="http://schemas.microsoft.com/office/word/2010/wordprocessingShape">
                    <wps:wsp>
                      <wps:cNvSpPr/>
                      <wps:spPr>
                        <a:xfrm>
                          <a:off x="3321685" y="2278380"/>
                          <a:ext cx="1470660" cy="1512570"/>
                        </a:xfrm>
                        <a:custGeom>
                          <a:avLst/>
                          <a:gdLst>
                            <a:gd name="connisteX0" fmla="*/ 1079500 w 1449705"/>
                            <a:gd name="connsiteY0" fmla="*/ 1470660 h 1512570"/>
                            <a:gd name="connisteX1" fmla="*/ 1259205 w 1449705"/>
                            <a:gd name="connsiteY1" fmla="*/ 1512570 h 1512570"/>
                            <a:gd name="connisteX2" fmla="*/ 1354455 w 1449705"/>
                            <a:gd name="connsiteY2" fmla="*/ 1470660 h 1512570"/>
                            <a:gd name="connisteX3" fmla="*/ 1397000 w 1449705"/>
                            <a:gd name="connsiteY3" fmla="*/ 1301750 h 1512570"/>
                            <a:gd name="connisteX4" fmla="*/ 1449705 w 1449705"/>
                            <a:gd name="connsiteY4" fmla="*/ 20320 h 1512570"/>
                            <a:gd name="connisteX5" fmla="*/ 0 w 1449705"/>
                            <a:gd name="connsiteY5" fmla="*/ 0 h 1512570"/>
                            <a:gd name="connisteX6" fmla="*/ 0 w 1449705"/>
                            <a:gd name="connsiteY6" fmla="*/ 1047750 h 1512570"/>
                            <a:gd name="connisteX7" fmla="*/ 1079500 w 1449705"/>
                            <a:gd name="connsiteY7" fmla="*/ 1470660 h 151257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Lst>
                          <a:rect l="l" t="t" r="r" b="b"/>
                          <a:pathLst>
                            <a:path w="1449705" h="1512570">
                              <a:moveTo>
                                <a:pt x="1079500" y="1470660"/>
                              </a:moveTo>
                              <a:lnTo>
                                <a:pt x="1259205" y="1512570"/>
                              </a:lnTo>
                              <a:lnTo>
                                <a:pt x="1354455" y="1470660"/>
                              </a:lnTo>
                              <a:lnTo>
                                <a:pt x="1397000" y="1301750"/>
                              </a:lnTo>
                              <a:lnTo>
                                <a:pt x="1449705" y="20320"/>
                              </a:lnTo>
                              <a:lnTo>
                                <a:pt x="0" y="0"/>
                              </a:lnTo>
                              <a:lnTo>
                                <a:pt x="0" y="1047750"/>
                              </a:lnTo>
                              <a:lnTo>
                                <a:pt x="1079500" y="1470660"/>
                              </a:lnTo>
                              <a:close/>
                            </a:path>
                          </a:pathLst>
                        </a:custGeom>
                        <a:no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177.3pt;margin-top:101.95pt;height:119.1pt;width:115.8pt;z-index:251729920;mso-width-relative:page;mso-height-relative:page;" filled="f" stroked="t" coordsize="1449705,1512570" o:gfxdata="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" path="m1079500,1470660l1259205,1512570,1354455,1470660,1397000,1301750,1449705,20320,0,0,0,1047750,1079500,1470660xe">
                <v:path o:connectlocs="1095103,1470660;1277406,1512570;1374033,1470660;1417193,1301750;1470660,20320;0,0;0,1047750;1095103,1470660" o:connectangles="0,0,0,0,0,0,0,0"/>
                <v:fill on="f" focussize="0,0"/>
                <v:stroke weight="2pt" color="#FFFF00 [2404]" joinstyle="round"/>
                <v:imagedata o:title=""/>
                <o:lock v:ext="edit" aspectratio="f"/>
              </v:shape>
            </w:pict>
          </mc:Fallback>
        </mc:AlternateContent>
      </w:r>
      <w:r>
        <w:rPr>
          <w:color w:val="auto"/>
          <w:sz w:val="24"/>
          <w:highlight w:val="none"/>
        </w:rPr>
        <w:drawing>
          <wp:inline distT="0" distB="0" distL="114300" distR="114300">
            <wp:extent cx="5380990" cy="4910455"/>
            <wp:effectExtent l="0" t="0" r="10160" b="4445"/>
            <wp:docPr id="2" name="图片 2" descr="8583a072-7d43-46ec-87d8-706f56a1c4f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8583a072-7d43-46ec-87d8-706f56a1c4f3"/>
                    <pic:cNvPicPr>
                      <a:picLocks noChangeAspect="1"/>
                    </pic:cNvPicPr>
                  </pic:nvPicPr>
                  <pic:blipFill>
                    <a:blip r:embed="rId23"/>
                    <a:stretch>
                      <a:fillRect/>
                    </a:stretch>
                  </pic:blipFill>
                  <pic:spPr>
                    <a:xfrm>
                      <a:off x="0" y="0"/>
                      <a:ext cx="5380990" cy="4910455"/>
                    </a:xfrm>
                    <a:prstGeom prst="rect">
                      <a:avLst/>
                    </a:prstGeom>
                  </pic:spPr>
                </pic:pic>
              </a:graphicData>
            </a:graphic>
          </wp:inline>
        </w:drawing>
      </w:r>
      <w:r>
        <w:rPr>
          <w:color w:val="auto"/>
          <w:sz w:val="24"/>
          <w:highlight w:val="none"/>
        </w:rPr>
        <mc:AlternateContent>
          <mc:Choice Requires="wps">
            <w:drawing>
              <wp:anchor distT="0" distB="0" distL="114300" distR="114300" simplePos="0" relativeHeight="251726848" behindDoc="0" locked="0" layoutInCell="1" allowOverlap="1">
                <wp:simplePos x="0" y="0"/>
                <wp:positionH relativeFrom="column">
                  <wp:posOffset>3545205</wp:posOffset>
                </wp:positionH>
                <wp:positionV relativeFrom="paragraph">
                  <wp:posOffset>302260</wp:posOffset>
                </wp:positionV>
                <wp:extent cx="1101725" cy="568960"/>
                <wp:effectExtent l="0" t="0" r="0" b="0"/>
                <wp:wrapNone/>
                <wp:docPr id="60" name="文本框 60"/>
                <wp:cNvGraphicFramePr/>
                <a:graphic xmlns:a="http://schemas.openxmlformats.org/drawingml/2006/main">
                  <a:graphicData uri="http://schemas.microsoft.com/office/word/2010/wordprocessingShape">
                    <wps:wsp>
                      <wps:cNvSpPr txBox="1"/>
                      <wps:spPr>
                        <a:xfrm>
                          <a:off x="4615815" y="1462405"/>
                          <a:ext cx="1101725" cy="5689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EFC904B">
                            <w:pPr>
                              <w:rPr>
                                <w:rFonts w:hint="default" w:eastAsia="宋体"/>
                                <w:b/>
                                <w:bCs/>
                                <w:sz w:val="28"/>
                                <w:szCs w:val="28"/>
                                <w:lang w:val="en-US" w:eastAsia="zh-CN"/>
                              </w:rPr>
                            </w:pPr>
                            <w:r>
                              <w:rPr>
                                <w:rFonts w:hint="eastAsia"/>
                                <w:b/>
                                <w:bCs/>
                                <w:sz w:val="28"/>
                                <w:szCs w:val="28"/>
                                <w:lang w:val="en-US" w:eastAsia="zh-CN"/>
                              </w:rPr>
                              <w:t>欧科木业有限公司</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9.15pt;margin-top:23.8pt;height:44.8pt;width:86.75pt;z-index:251726848;mso-width-relative:page;mso-height-relative:page;" filled="f" stroked="f" coordsize="21600,21600" o:gfxdata="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C7nVNDaAAAACgEAAA8AAAAAAAAA&#10;AQAgAAAAIgAAAGRycy9kb3ducmV2LnhtbFBLAQIUABQAAAAIAIdO4kA4iyQhSAIAAHQEAAAOAAAA&#10;AAAAAAEAIAAAACkBAABkcnMvZTJvRG9jLnhtbFBLBQYAAAAABgAGAFkBAADjBQAAAAA=&#10;">
                <v:fill on="f" focussize="0,0"/>
                <v:stroke on="f" weight="0.5pt"/>
                <v:imagedata o:title=""/>
                <o:lock v:ext="edit" aspectratio="f"/>
                <v:textbox>
                  <w:txbxContent>
                    <w:p w14:paraId="5EFC904B">
                      <w:pPr>
                        <w:rPr>
                          <w:rFonts w:hint="default" w:eastAsia="宋体"/>
                          <w:b/>
                          <w:bCs/>
                          <w:sz w:val="28"/>
                          <w:szCs w:val="28"/>
                          <w:lang w:val="en-US" w:eastAsia="zh-CN"/>
                        </w:rPr>
                      </w:pPr>
                      <w:r>
                        <w:rPr>
                          <w:rFonts w:hint="eastAsia"/>
                          <w:b/>
                          <w:bCs/>
                          <w:sz w:val="28"/>
                          <w:szCs w:val="28"/>
                          <w:lang w:val="en-US" w:eastAsia="zh-CN"/>
                        </w:rPr>
                        <w:t>欧科木业有限公司</w:t>
                      </w:r>
                    </w:p>
                  </w:txbxContent>
                </v:textbox>
              </v:shape>
            </w:pict>
          </mc:Fallback>
        </mc:AlternateContent>
      </w:r>
      <w:r>
        <w:rPr>
          <w:color w:val="auto"/>
          <w:sz w:val="24"/>
          <w:highlight w:val="none"/>
        </w:rPr>
        <mc:AlternateContent>
          <mc:Choice Requires="wps">
            <w:drawing>
              <wp:anchor distT="0" distB="0" distL="114300" distR="114300" simplePos="0" relativeHeight="251727872" behindDoc="0" locked="0" layoutInCell="1" allowOverlap="1">
                <wp:simplePos x="0" y="0"/>
                <wp:positionH relativeFrom="column">
                  <wp:posOffset>4214495</wp:posOffset>
                </wp:positionH>
                <wp:positionV relativeFrom="paragraph">
                  <wp:posOffset>1807210</wp:posOffset>
                </wp:positionV>
                <wp:extent cx="760730" cy="1118235"/>
                <wp:effectExtent l="0" t="0" r="0" b="0"/>
                <wp:wrapNone/>
                <wp:docPr id="61" name="文本框 61"/>
                <wp:cNvGraphicFramePr/>
                <a:graphic xmlns:a="http://schemas.openxmlformats.org/drawingml/2006/main">
                  <a:graphicData uri="http://schemas.microsoft.com/office/word/2010/wordprocessingShape">
                    <wps:wsp>
                      <wps:cNvSpPr txBox="1"/>
                      <wps:spPr>
                        <a:xfrm>
                          <a:off x="5480050" y="2788920"/>
                          <a:ext cx="760730" cy="11182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1A1DD62">
                            <w:pPr>
                              <w:rPr>
                                <w:rFonts w:hint="eastAsia" w:eastAsia="宋体"/>
                                <w:b/>
                                <w:bCs/>
                                <w:color w:val="auto"/>
                                <w:sz w:val="28"/>
                                <w:szCs w:val="28"/>
                                <w:lang w:val="en-US" w:eastAsia="zh-CN"/>
                              </w:rPr>
                            </w:pPr>
                            <w:r>
                              <w:rPr>
                                <w:rFonts w:hint="eastAsia"/>
                                <w:b/>
                                <w:bCs/>
                                <w:color w:val="auto"/>
                                <w:sz w:val="28"/>
                                <w:szCs w:val="28"/>
                                <w:lang w:val="en-US" w:eastAsia="zh-CN"/>
                              </w:rPr>
                              <w:t>广东靖鹏电力工程有限公司</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1.85pt;margin-top:142.3pt;height:88.05pt;width:59.9pt;z-index:251727872;mso-width-relative:page;mso-height-relative:page;" filled="f" stroked="f" coordsize="21600,21600" o:gfxdata="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DSJA6P3QAAAAsBAAAPAAAAAAAA&#10;AAEAIAAAACIAAABkcnMvZG93bnJldi54bWxQSwECFAAUAAAACACHTuJAnu5m+kYCAAB0BAAADgAA&#10;AAAAAAABACAAAAAsAQAAZHJzL2Uyb0RvYy54bWxQSwUGAAAAAAYABgBZAQAA5AUAAAAA&#10;">
                <v:fill on="f" focussize="0,0"/>
                <v:stroke on="f" weight="0.5pt"/>
                <v:imagedata o:title=""/>
                <o:lock v:ext="edit" aspectratio="f"/>
                <v:textbox>
                  <w:txbxContent>
                    <w:p w14:paraId="51A1DD62">
                      <w:pPr>
                        <w:rPr>
                          <w:rFonts w:hint="eastAsia" w:eastAsia="宋体"/>
                          <w:b/>
                          <w:bCs/>
                          <w:color w:val="auto"/>
                          <w:sz w:val="28"/>
                          <w:szCs w:val="28"/>
                          <w:lang w:val="en-US" w:eastAsia="zh-CN"/>
                        </w:rPr>
                      </w:pPr>
                      <w:r>
                        <w:rPr>
                          <w:rFonts w:hint="eastAsia"/>
                          <w:b/>
                          <w:bCs/>
                          <w:color w:val="auto"/>
                          <w:sz w:val="28"/>
                          <w:szCs w:val="28"/>
                          <w:lang w:val="en-US" w:eastAsia="zh-CN"/>
                        </w:rPr>
                        <w:t>广东靖鹏电力工程有限公司</w:t>
                      </w:r>
                    </w:p>
                  </w:txbxContent>
                </v:textbox>
              </v:shape>
            </w:pict>
          </mc:Fallback>
        </mc:AlternateContent>
      </w:r>
      <w:r>
        <w:rPr>
          <w:color w:val="auto"/>
          <w:sz w:val="24"/>
          <w:highlight w:val="none"/>
        </w:rPr>
        <mc:AlternateContent>
          <mc:Choice Requires="wps">
            <w:drawing>
              <wp:anchor distT="0" distB="0" distL="114300" distR="114300" simplePos="0" relativeHeight="251728896" behindDoc="0" locked="0" layoutInCell="1" allowOverlap="1">
                <wp:simplePos x="0" y="0"/>
                <wp:positionH relativeFrom="column">
                  <wp:posOffset>4337685</wp:posOffset>
                </wp:positionH>
                <wp:positionV relativeFrom="paragraph">
                  <wp:posOffset>3429635</wp:posOffset>
                </wp:positionV>
                <wp:extent cx="612775" cy="331470"/>
                <wp:effectExtent l="0" t="0" r="0" b="0"/>
                <wp:wrapNone/>
                <wp:docPr id="62" name="文本框 62"/>
                <wp:cNvGraphicFramePr/>
                <a:graphic xmlns:a="http://schemas.openxmlformats.org/drawingml/2006/main">
                  <a:graphicData uri="http://schemas.microsoft.com/office/word/2010/wordprocessingShape">
                    <wps:wsp>
                      <wps:cNvSpPr txBox="1"/>
                      <wps:spPr>
                        <a:xfrm>
                          <a:off x="5601970" y="4442460"/>
                          <a:ext cx="612775" cy="3314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3CE0DAF">
                            <w:pPr>
                              <w:rPr>
                                <w:rFonts w:hint="eastAsia" w:eastAsia="宋体"/>
                                <w:b/>
                                <w:bCs/>
                                <w:color w:val="auto"/>
                                <w:lang w:val="en-US" w:eastAsia="zh-CN"/>
                              </w:rPr>
                            </w:pPr>
                            <w:r>
                              <w:rPr>
                                <w:rFonts w:hint="eastAsia"/>
                                <w:b/>
                                <w:bCs/>
                                <w:color w:val="auto"/>
                                <w:lang w:val="en-US" w:eastAsia="zh-CN"/>
                              </w:rPr>
                              <w:t>保安室</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41.55pt;margin-top:270.05pt;height:26.1pt;width:48.25pt;z-index:251728896;mso-width-relative:page;mso-height-relative:page;" filled="f" stroked="f" coordsize="21600,21600" o:gfxdata="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ST5jHdwAAAALAQAADwAAAAAA&#10;AAABACAAAAAiAAAAZHJzL2Rvd25yZXYueG1sUEsBAhQAFAAAAAgAh07iQNI5OhpIAgAAcwQAAA4A&#10;AAAAAAAAAQAgAAAAKwEAAGRycy9lMm9Eb2MueG1sUEsFBgAAAAAGAAYAWQEAAOUFAAAAAA==&#10;">
                <v:fill on="f" focussize="0,0"/>
                <v:stroke on="f" weight="0.5pt"/>
                <v:imagedata o:title=""/>
                <o:lock v:ext="edit" aspectratio="f"/>
                <v:textbox>
                  <w:txbxContent>
                    <w:p w14:paraId="33CE0DAF">
                      <w:pPr>
                        <w:rPr>
                          <w:rFonts w:hint="eastAsia" w:eastAsia="宋体"/>
                          <w:b/>
                          <w:bCs/>
                          <w:color w:val="auto"/>
                          <w:lang w:val="en-US" w:eastAsia="zh-CN"/>
                        </w:rPr>
                      </w:pPr>
                      <w:r>
                        <w:rPr>
                          <w:rFonts w:hint="eastAsia"/>
                          <w:b/>
                          <w:bCs/>
                          <w:color w:val="auto"/>
                          <w:lang w:val="en-US" w:eastAsia="zh-CN"/>
                        </w:rPr>
                        <w:t>保安室</w:t>
                      </w:r>
                    </w:p>
                  </w:txbxContent>
                </v:textbox>
              </v:shape>
            </w:pict>
          </mc:Fallback>
        </mc:AlternateContent>
      </w:r>
      <w:r>
        <w:rPr>
          <w:color w:val="auto"/>
          <w:sz w:val="24"/>
          <w:highlight w:val="none"/>
        </w:rPr>
        <mc:AlternateContent>
          <mc:Choice Requires="wps">
            <w:drawing>
              <wp:anchor distT="0" distB="0" distL="114300" distR="114300" simplePos="0" relativeHeight="251725824" behindDoc="0" locked="0" layoutInCell="1" allowOverlap="1">
                <wp:simplePos x="0" y="0"/>
                <wp:positionH relativeFrom="column">
                  <wp:posOffset>4304665</wp:posOffset>
                </wp:positionH>
                <wp:positionV relativeFrom="paragraph">
                  <wp:posOffset>3415665</wp:posOffset>
                </wp:positionV>
                <wp:extent cx="687070" cy="598170"/>
                <wp:effectExtent l="12700" t="12700" r="24130" b="17780"/>
                <wp:wrapNone/>
                <wp:docPr id="59" name="任意多边形 59"/>
                <wp:cNvGraphicFramePr/>
                <a:graphic xmlns:a="http://schemas.openxmlformats.org/drawingml/2006/main">
                  <a:graphicData uri="http://schemas.microsoft.com/office/word/2010/wordprocessingShape">
                    <wps:wsp>
                      <wps:cNvSpPr/>
                      <wps:spPr>
                        <a:xfrm>
                          <a:off x="5384800" y="4387850"/>
                          <a:ext cx="687070" cy="598170"/>
                        </a:xfrm>
                        <a:custGeom>
                          <a:avLst/>
                          <a:gdLst>
                            <a:gd name="connisteX0" fmla="*/ 0 w 687070"/>
                            <a:gd name="connsiteY0" fmla="*/ 0 h 598170"/>
                            <a:gd name="connisteX1" fmla="*/ 6350 w 687070"/>
                            <a:gd name="connsiteY1" fmla="*/ 223520 h 598170"/>
                            <a:gd name="connisteX2" fmla="*/ 421640 w 687070"/>
                            <a:gd name="connsiteY2" fmla="*/ 271145 h 598170"/>
                            <a:gd name="connisteX3" fmla="*/ 441960 w 687070"/>
                            <a:gd name="connsiteY3" fmla="*/ 495935 h 598170"/>
                            <a:gd name="connisteX4" fmla="*/ 687070 w 687070"/>
                            <a:gd name="connsiteY4" fmla="*/ 598170 h 598170"/>
                            <a:gd name="connisteX5" fmla="*/ 687070 w 687070"/>
                            <a:gd name="connsiteY5" fmla="*/ 13335 h 598170"/>
                            <a:gd name="connisteX6" fmla="*/ 0 w 687070"/>
                            <a:gd name="connsiteY6" fmla="*/ 0 h 59817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Lst>
                          <a:rect l="l" t="t" r="r" b="b"/>
                          <a:pathLst>
                            <a:path w="687070" h="598170">
                              <a:moveTo>
                                <a:pt x="0" y="0"/>
                              </a:moveTo>
                              <a:lnTo>
                                <a:pt x="6350" y="223520"/>
                              </a:lnTo>
                              <a:lnTo>
                                <a:pt x="421640" y="271145"/>
                              </a:lnTo>
                              <a:lnTo>
                                <a:pt x="441960" y="495935"/>
                              </a:lnTo>
                              <a:lnTo>
                                <a:pt x="687070" y="598170"/>
                              </a:lnTo>
                              <a:lnTo>
                                <a:pt x="687070" y="13335"/>
                              </a:lnTo>
                              <a:lnTo>
                                <a:pt x="0" y="0"/>
                              </a:lnTo>
                              <a:close/>
                            </a:path>
                          </a:pathLst>
                        </a:cu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338.95pt;margin-top:268.95pt;height:47.1pt;width:54.1pt;z-index:251725824;mso-width-relative:page;mso-height-relative:page;" filled="f" stroked="t" coordsize="687070,598170" o:gfxdata="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" path="m0,0l6350,223520,421640,271145,441960,495935,687070,598170,687070,13335,0,0xe">
                <v:path o:connectlocs="0,0;6350,223520;421640,271145;441960,495935;687070,598170;687070,13335;0,0" o:connectangles="0,0,0,0,0,0,0"/>
                <v:fill on="f" focussize="0,0"/>
                <v:stroke weight="2pt" color="#000000 [3213]" joinstyle="round"/>
                <v:imagedata o:title=""/>
                <o:lock v:ext="edit" aspectratio="f"/>
              </v:shape>
            </w:pict>
          </mc:Fallback>
        </mc:AlternateContent>
      </w:r>
      <w:r>
        <w:rPr>
          <w:color w:val="auto"/>
          <w:sz w:val="24"/>
          <w:highlight w:val="none"/>
        </w:rPr>
        <mc:AlternateContent>
          <mc:Choice Requires="wps">
            <w:drawing>
              <wp:anchor distT="0" distB="0" distL="114300" distR="114300" simplePos="0" relativeHeight="251724800" behindDoc="0" locked="0" layoutInCell="1" allowOverlap="1">
                <wp:simplePos x="0" y="0"/>
                <wp:positionH relativeFrom="column">
                  <wp:posOffset>4270375</wp:posOffset>
                </wp:positionH>
                <wp:positionV relativeFrom="paragraph">
                  <wp:posOffset>1374775</wp:posOffset>
                </wp:positionV>
                <wp:extent cx="626110" cy="1822450"/>
                <wp:effectExtent l="12700" t="12700" r="27940" b="12700"/>
                <wp:wrapNone/>
                <wp:docPr id="43" name="任意多边形 43"/>
                <wp:cNvGraphicFramePr/>
                <a:graphic xmlns:a="http://schemas.openxmlformats.org/drawingml/2006/main">
                  <a:graphicData uri="http://schemas.microsoft.com/office/word/2010/wordprocessingShape">
                    <wps:wsp>
                      <wps:cNvSpPr/>
                      <wps:spPr>
                        <a:xfrm>
                          <a:off x="5350510" y="2346960"/>
                          <a:ext cx="626110" cy="1822450"/>
                        </a:xfrm>
                        <a:custGeom>
                          <a:avLst/>
                          <a:gdLst>
                            <a:gd name="connisteX0" fmla="*/ 0 w 626110"/>
                            <a:gd name="connsiteY0" fmla="*/ 1788160 h 1822450"/>
                            <a:gd name="connisteX1" fmla="*/ 20320 w 626110"/>
                            <a:gd name="connsiteY1" fmla="*/ 0 h 1822450"/>
                            <a:gd name="connisteX2" fmla="*/ 626110 w 626110"/>
                            <a:gd name="connsiteY2" fmla="*/ 19685 h 1822450"/>
                            <a:gd name="connisteX3" fmla="*/ 626110 w 626110"/>
                            <a:gd name="connsiteY3" fmla="*/ 1822450 h 1822450"/>
                            <a:gd name="connisteX4" fmla="*/ 0 w 626110"/>
                            <a:gd name="connsiteY4" fmla="*/ 1788160 h 1822450"/>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626110" h="1822450">
                              <a:moveTo>
                                <a:pt x="0" y="1788160"/>
                              </a:moveTo>
                              <a:lnTo>
                                <a:pt x="20320" y="0"/>
                              </a:lnTo>
                              <a:lnTo>
                                <a:pt x="626110" y="19685"/>
                              </a:lnTo>
                              <a:lnTo>
                                <a:pt x="626110" y="1822450"/>
                              </a:lnTo>
                              <a:lnTo>
                                <a:pt x="0" y="1788160"/>
                              </a:lnTo>
                              <a:close/>
                            </a:path>
                          </a:pathLst>
                        </a:cu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336.25pt;margin-top:108.25pt;height:143.5pt;width:49.3pt;z-index:251724800;mso-width-relative:page;mso-height-relative:page;" filled="f" stroked="t" coordsize="626110,1822450" o:gfxdata="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" path="m0,1788160l20320,0,626110,19685,626110,1822450,0,1788160xe">
                <v:path o:connectlocs="0,1788160;20320,0;626110,19685;626110,1822450;0,1788160" o:connectangles="0,0,0,0,0"/>
                <v:fill on="f" focussize="0,0"/>
                <v:stroke weight="2pt" color="#000000 [3213]" joinstyle="round"/>
                <v:imagedata o:title=""/>
                <o:lock v:ext="edit" aspectratio="f"/>
              </v:shape>
            </w:pict>
          </mc:Fallback>
        </mc:AlternateContent>
      </w:r>
      <w:r>
        <w:rPr>
          <w:color w:val="auto"/>
          <w:sz w:val="24"/>
          <w:highlight w:val="none"/>
        </w:rPr>
        <mc:AlternateContent>
          <mc:Choice Requires="wps">
            <w:drawing>
              <wp:anchor distT="0" distB="0" distL="114300" distR="114300" simplePos="0" relativeHeight="251723776" behindDoc="0" locked="0" layoutInCell="1" allowOverlap="1">
                <wp:simplePos x="0" y="0"/>
                <wp:positionH relativeFrom="column">
                  <wp:posOffset>1977390</wp:posOffset>
                </wp:positionH>
                <wp:positionV relativeFrom="paragraph">
                  <wp:posOffset>3291205</wp:posOffset>
                </wp:positionV>
                <wp:extent cx="904875" cy="313055"/>
                <wp:effectExtent l="0" t="0" r="0" b="0"/>
                <wp:wrapNone/>
                <wp:docPr id="36" name="文本框 36"/>
                <wp:cNvGraphicFramePr/>
                <a:graphic xmlns:a="http://schemas.openxmlformats.org/drawingml/2006/main">
                  <a:graphicData uri="http://schemas.microsoft.com/office/word/2010/wordprocessingShape">
                    <wps:wsp>
                      <wps:cNvSpPr txBox="1"/>
                      <wps:spPr>
                        <a:xfrm rot="1200000">
                          <a:off x="2411095" y="3882390"/>
                          <a:ext cx="904875" cy="3130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0B04CDE">
                            <w:pPr>
                              <w:rPr>
                                <w:rFonts w:hint="default" w:eastAsia="宋体"/>
                                <w:b/>
                                <w:bCs/>
                                <w:color w:val="auto"/>
                                <w:sz w:val="28"/>
                                <w:szCs w:val="28"/>
                                <w:lang w:val="en-US" w:eastAsia="zh-CN"/>
                              </w:rPr>
                            </w:pPr>
                            <w:r>
                              <w:rPr>
                                <w:rFonts w:hint="eastAsia"/>
                                <w:b/>
                                <w:bCs/>
                                <w:color w:val="auto"/>
                                <w:sz w:val="28"/>
                                <w:szCs w:val="28"/>
                                <w:lang w:val="en-US" w:eastAsia="zh-CN"/>
                              </w:rPr>
                              <w:t>沙边路</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55.7pt;margin-top:259.15pt;height:24.65pt;width:71.25pt;rotation:1310720f;z-index:251723776;mso-width-relative:page;mso-height-relative:page;" filled="f" stroked="f" coordsize="21600,21600" o:gfxdata="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zO235dwAAAALAQAA&#10;DwAAAAAAAAABACAAAAAiAAAAZHJzL2Rvd25yZXYueG1sUEsBAhQAFAAAAAgAh07iQJTH4p9OAgAA&#10;gQQAAA4AAAAAAAAAAQAgAAAAKwEAAGRycy9lMm9Eb2MueG1sUEsFBgAAAAAGAAYAWQEAAOsFAAAA&#10;AA==&#10;">
                <v:fill on="f" focussize="0,0"/>
                <v:stroke on="f" weight="0.5pt"/>
                <v:imagedata o:title=""/>
                <o:lock v:ext="edit" aspectratio="f"/>
                <v:textbox>
                  <w:txbxContent>
                    <w:p w14:paraId="50B04CDE">
                      <w:pPr>
                        <w:rPr>
                          <w:rFonts w:hint="default" w:eastAsia="宋体"/>
                          <w:b/>
                          <w:bCs/>
                          <w:color w:val="auto"/>
                          <w:sz w:val="28"/>
                          <w:szCs w:val="28"/>
                          <w:lang w:val="en-US" w:eastAsia="zh-CN"/>
                        </w:rPr>
                      </w:pPr>
                      <w:r>
                        <w:rPr>
                          <w:rFonts w:hint="eastAsia"/>
                          <w:b/>
                          <w:bCs/>
                          <w:color w:val="auto"/>
                          <w:sz w:val="28"/>
                          <w:szCs w:val="28"/>
                          <w:lang w:val="en-US" w:eastAsia="zh-CN"/>
                        </w:rPr>
                        <w:t>沙边路</w:t>
                      </w:r>
                    </w:p>
                  </w:txbxContent>
                </v:textbox>
              </v:shape>
            </w:pict>
          </mc:Fallback>
        </mc:AlternateContent>
      </w:r>
      <w:r>
        <w:rPr>
          <w:color w:val="auto"/>
          <w:sz w:val="24"/>
          <w:highlight w:val="none"/>
        </w:rPr>
        <mc:AlternateContent>
          <mc:Choice Requires="wps">
            <w:drawing>
              <wp:anchor distT="0" distB="0" distL="114300" distR="114300" simplePos="0" relativeHeight="251722752" behindDoc="0" locked="0" layoutInCell="1" allowOverlap="1">
                <wp:simplePos x="0" y="0"/>
                <wp:positionH relativeFrom="column">
                  <wp:posOffset>2726055</wp:posOffset>
                </wp:positionH>
                <wp:positionV relativeFrom="paragraph">
                  <wp:posOffset>127000</wp:posOffset>
                </wp:positionV>
                <wp:extent cx="2224405" cy="1000125"/>
                <wp:effectExtent l="12700" t="12700" r="29845" b="15875"/>
                <wp:wrapNone/>
                <wp:docPr id="35" name="任意多边形 35"/>
                <wp:cNvGraphicFramePr/>
                <a:graphic xmlns:a="http://schemas.openxmlformats.org/drawingml/2006/main">
                  <a:graphicData uri="http://schemas.microsoft.com/office/word/2010/wordprocessingShape">
                    <wps:wsp>
                      <wps:cNvSpPr/>
                      <wps:spPr>
                        <a:xfrm>
                          <a:off x="3806190" y="1099185"/>
                          <a:ext cx="2224405" cy="1000125"/>
                        </a:xfrm>
                        <a:custGeom>
                          <a:avLst/>
                          <a:gdLst>
                            <a:gd name="connisteX0" fmla="*/ 33655 w 2224405"/>
                            <a:gd name="connsiteY0" fmla="*/ 0 h 1000125"/>
                            <a:gd name="connisteX1" fmla="*/ 0 w 2224405"/>
                            <a:gd name="connsiteY1" fmla="*/ 919480 h 1000125"/>
                            <a:gd name="connisteX2" fmla="*/ 2190750 w 2224405"/>
                            <a:gd name="connsiteY2" fmla="*/ 1000125 h 1000125"/>
                            <a:gd name="connisteX3" fmla="*/ 2224405 w 2224405"/>
                            <a:gd name="connsiteY3" fmla="*/ 75565 h 1000125"/>
                            <a:gd name="connisteX4" fmla="*/ 33655 w 2224405"/>
                            <a:gd name="connsiteY4" fmla="*/ 0 h 1000125"/>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2224405" h="1000125">
                              <a:moveTo>
                                <a:pt x="33655" y="0"/>
                              </a:moveTo>
                              <a:lnTo>
                                <a:pt x="0" y="919480"/>
                              </a:lnTo>
                              <a:lnTo>
                                <a:pt x="2190750" y="1000125"/>
                              </a:lnTo>
                              <a:lnTo>
                                <a:pt x="2224405" y="75565"/>
                              </a:lnTo>
                              <a:lnTo>
                                <a:pt x="33655" y="0"/>
                              </a:lnTo>
                              <a:close/>
                            </a:path>
                          </a:pathLst>
                        </a:cu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14.65pt;margin-top:10pt;height:78.75pt;width:175.15pt;z-index:251722752;mso-width-relative:page;mso-height-relative:page;" filled="f" stroked="t" coordsize="2224405,1000125" o:gfxdata="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" path="m33655,0l0,919480,2190750,1000125,2224405,75565,33655,0xe">
                <v:path o:connectlocs="33655,0;0,919480;2190750,1000125;2224405,75565;33655,0" o:connectangles="0,0,0,0,0"/>
                <v:fill on="f" focussize="0,0"/>
                <v:stroke weight="2pt" color="#000000 [3213]" joinstyle="round"/>
                <v:imagedata o:title=""/>
                <o:lock v:ext="edit" aspectratio="f"/>
              </v:shape>
            </w:pict>
          </mc:Fallback>
        </mc:AlternateContent>
      </w:r>
      <w:r>
        <w:rPr>
          <w:color w:val="auto"/>
          <w:sz w:val="24"/>
          <w:highlight w:val="none"/>
        </w:rPr>
        <mc:AlternateContent>
          <mc:Choice Requires="wps">
            <w:drawing>
              <wp:anchor distT="0" distB="0" distL="114300" distR="114300" simplePos="0" relativeHeight="251721728" behindDoc="0" locked="0" layoutInCell="1" allowOverlap="1">
                <wp:simplePos x="0" y="0"/>
                <wp:positionH relativeFrom="column">
                  <wp:posOffset>283210</wp:posOffset>
                </wp:positionH>
                <wp:positionV relativeFrom="paragraph">
                  <wp:posOffset>660400</wp:posOffset>
                </wp:positionV>
                <wp:extent cx="940435" cy="634365"/>
                <wp:effectExtent l="0" t="0" r="0" b="0"/>
                <wp:wrapNone/>
                <wp:docPr id="34" name="文本框 34"/>
                <wp:cNvGraphicFramePr/>
                <a:graphic xmlns:a="http://schemas.openxmlformats.org/drawingml/2006/main">
                  <a:graphicData uri="http://schemas.microsoft.com/office/word/2010/wordprocessingShape">
                    <wps:wsp>
                      <wps:cNvSpPr txBox="1"/>
                      <wps:spPr>
                        <a:xfrm>
                          <a:off x="1363345" y="1632585"/>
                          <a:ext cx="940435" cy="6343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1A6AFB9">
                            <w:pPr>
                              <w:rPr>
                                <w:rFonts w:hint="eastAsia" w:eastAsia="宋体"/>
                                <w:b/>
                                <w:bCs/>
                                <w:color w:val="auto"/>
                                <w:sz w:val="28"/>
                                <w:szCs w:val="28"/>
                                <w:lang w:val="en-US" w:eastAsia="zh-CN"/>
                              </w:rPr>
                            </w:pPr>
                            <w:r>
                              <w:rPr>
                                <w:rFonts w:ascii="Arial" w:hAnsi="Arial" w:eastAsia="宋体" w:cs="Arial"/>
                                <w:b/>
                                <w:bCs/>
                                <w:i w:val="0"/>
                                <w:iCs w:val="0"/>
                                <w:caps w:val="0"/>
                                <w:color w:val="auto"/>
                                <w:spacing w:val="0"/>
                                <w:sz w:val="28"/>
                                <w:szCs w:val="28"/>
                                <w:shd w:val="clear" w:fill="FFFFFF"/>
                              </w:rPr>
                              <w:t>协昱电子</w:t>
                            </w:r>
                            <w:r>
                              <w:rPr>
                                <w:rFonts w:hint="eastAsia" w:ascii="Arial" w:hAnsi="Arial" w:eastAsia="宋体" w:cs="Arial"/>
                                <w:b/>
                                <w:bCs/>
                                <w:i w:val="0"/>
                                <w:iCs w:val="0"/>
                                <w:caps w:val="0"/>
                                <w:color w:val="auto"/>
                                <w:spacing w:val="0"/>
                                <w:sz w:val="28"/>
                                <w:szCs w:val="28"/>
                                <w:shd w:val="clear" w:fill="FFFFFF"/>
                                <w:lang w:val="en-US" w:eastAsia="zh-CN"/>
                              </w:rPr>
                              <w:t>公司</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3pt;margin-top:52pt;height:49.95pt;width:74.05pt;z-index:251721728;mso-width-relative:page;mso-height-relative:page;" filled="f" stroked="f" coordsize="21600,21600" o:gfxdata="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cxk7vdsAAAAKAQAADwAAAAAAAAAB&#10;ACAAAAAiAAAAZHJzL2Rvd25yZXYueG1sUEsBAhQAFAAAAAgAh07iQA14ogFGAgAAcwQAAA4AAAAA&#10;AAAAAQAgAAAAKgEAAGRycy9lMm9Eb2MueG1sUEsFBgAAAAAGAAYAWQEAAOIFAAAAAA==&#10;">
                <v:fill on="f" focussize="0,0"/>
                <v:stroke on="f" weight="0.5pt"/>
                <v:imagedata o:title=""/>
                <o:lock v:ext="edit" aspectratio="f"/>
                <v:textbox>
                  <w:txbxContent>
                    <w:p w14:paraId="51A6AFB9">
                      <w:pPr>
                        <w:rPr>
                          <w:rFonts w:hint="eastAsia" w:eastAsia="宋体"/>
                          <w:b/>
                          <w:bCs/>
                          <w:color w:val="auto"/>
                          <w:sz w:val="28"/>
                          <w:szCs w:val="28"/>
                          <w:lang w:val="en-US" w:eastAsia="zh-CN"/>
                        </w:rPr>
                      </w:pPr>
                      <w:r>
                        <w:rPr>
                          <w:rFonts w:ascii="Arial" w:hAnsi="Arial" w:eastAsia="宋体" w:cs="Arial"/>
                          <w:b/>
                          <w:bCs/>
                          <w:i w:val="0"/>
                          <w:iCs w:val="0"/>
                          <w:caps w:val="0"/>
                          <w:color w:val="auto"/>
                          <w:spacing w:val="0"/>
                          <w:sz w:val="28"/>
                          <w:szCs w:val="28"/>
                          <w:shd w:val="clear" w:fill="FFFFFF"/>
                        </w:rPr>
                        <w:t>协昱电子</w:t>
                      </w:r>
                      <w:r>
                        <w:rPr>
                          <w:rFonts w:hint="eastAsia" w:ascii="Arial" w:hAnsi="Arial" w:eastAsia="宋体" w:cs="Arial"/>
                          <w:b/>
                          <w:bCs/>
                          <w:i w:val="0"/>
                          <w:iCs w:val="0"/>
                          <w:caps w:val="0"/>
                          <w:color w:val="auto"/>
                          <w:spacing w:val="0"/>
                          <w:sz w:val="28"/>
                          <w:szCs w:val="28"/>
                          <w:shd w:val="clear" w:fill="FFFFFF"/>
                          <w:lang w:val="en-US" w:eastAsia="zh-CN"/>
                        </w:rPr>
                        <w:t>公司</w:t>
                      </w:r>
                    </w:p>
                  </w:txbxContent>
                </v:textbox>
              </v:shape>
            </w:pict>
          </mc:Fallback>
        </mc:AlternateContent>
      </w:r>
      <w:r>
        <w:rPr>
          <w:color w:val="auto"/>
          <w:sz w:val="24"/>
          <w:highlight w:val="none"/>
        </w:rPr>
        <mc:AlternateContent>
          <mc:Choice Requires="wps">
            <w:drawing>
              <wp:anchor distT="0" distB="0" distL="114300" distR="114300" simplePos="0" relativeHeight="251720704" behindDoc="0" locked="0" layoutInCell="1" allowOverlap="1">
                <wp:simplePos x="0" y="0"/>
                <wp:positionH relativeFrom="column">
                  <wp:posOffset>4445</wp:posOffset>
                </wp:positionH>
                <wp:positionV relativeFrom="paragraph">
                  <wp:posOffset>19050</wp:posOffset>
                </wp:positionV>
                <wp:extent cx="1530985" cy="2400935"/>
                <wp:effectExtent l="12700" t="12700" r="18415" b="24765"/>
                <wp:wrapNone/>
                <wp:docPr id="31" name="任意多边形 31"/>
                <wp:cNvGraphicFramePr/>
                <a:graphic xmlns:a="http://schemas.openxmlformats.org/drawingml/2006/main">
                  <a:graphicData uri="http://schemas.microsoft.com/office/word/2010/wordprocessingShape">
                    <wps:wsp>
                      <wps:cNvSpPr/>
                      <wps:spPr>
                        <a:xfrm>
                          <a:off x="1084580" y="991235"/>
                          <a:ext cx="1530985" cy="2400935"/>
                        </a:xfrm>
                        <a:custGeom>
                          <a:avLst/>
                          <a:gdLst>
                            <a:gd name="connisteX0" fmla="*/ 0 w 1530985"/>
                            <a:gd name="connsiteY0" fmla="*/ 2040890 h 2400935"/>
                            <a:gd name="connisteX1" fmla="*/ 939165 w 1530985"/>
                            <a:gd name="connsiteY1" fmla="*/ 2400935 h 2400935"/>
                            <a:gd name="connisteX2" fmla="*/ 1503680 w 1530985"/>
                            <a:gd name="connsiteY2" fmla="*/ 884555 h 2400935"/>
                            <a:gd name="connisteX3" fmla="*/ 1530985 w 1530985"/>
                            <a:gd name="connsiteY3" fmla="*/ 33655 h 2400935"/>
                            <a:gd name="connisteX4" fmla="*/ 20320 w 1530985"/>
                            <a:gd name="connsiteY4" fmla="*/ 0 h 2400935"/>
                            <a:gd name="connisteX5" fmla="*/ 0 w 1530985"/>
                            <a:gd name="connsiteY5" fmla="*/ 2040890 h 240093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Lst>
                          <a:rect l="l" t="t" r="r" b="b"/>
                          <a:pathLst>
                            <a:path w="1530985" h="2400935">
                              <a:moveTo>
                                <a:pt x="0" y="2040890"/>
                              </a:moveTo>
                              <a:lnTo>
                                <a:pt x="939165" y="2400935"/>
                              </a:lnTo>
                              <a:lnTo>
                                <a:pt x="1503680" y="884555"/>
                              </a:lnTo>
                              <a:lnTo>
                                <a:pt x="1530985" y="33655"/>
                              </a:lnTo>
                              <a:lnTo>
                                <a:pt x="20320" y="0"/>
                              </a:lnTo>
                              <a:lnTo>
                                <a:pt x="0" y="2040890"/>
                              </a:lnTo>
                              <a:close/>
                            </a:path>
                          </a:pathLst>
                        </a:cu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0.35pt;margin-top:1.5pt;height:189.05pt;width:120.55pt;z-index:251720704;mso-width-relative:page;mso-height-relative:page;" filled="f" stroked="t" coordsize="1530985,2400935" o:gfxdata="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" path="m0,2040890l939165,2400935,1503680,884555,1530985,33655,20320,0,0,2040890xe">
                <v:path o:connectlocs="0,2040890;939165,2400935;1503680,884555;1530985,33655;20320,0;0,2040890" o:connectangles="0,0,0,0,0,0"/>
                <v:fill on="f" focussize="0,0"/>
                <v:stroke weight="2pt" color="#000000 [3213]" joinstyle="round"/>
                <v:imagedata o:title=""/>
                <o:lock v:ext="edit" aspectratio="f"/>
              </v:shape>
            </w:pict>
          </mc:Fallback>
        </mc:AlternateContent>
      </w:r>
      <w:r>
        <w:rPr>
          <w:color w:val="auto"/>
          <w:sz w:val="24"/>
          <w:highlight w:val="none"/>
        </w:rPr>
        <mc:AlternateContent>
          <mc:Choice Requires="wps">
            <w:drawing>
              <wp:anchor distT="0" distB="0" distL="114300" distR="114300" simplePos="0" relativeHeight="251719680" behindDoc="0" locked="0" layoutInCell="1" allowOverlap="1">
                <wp:simplePos x="0" y="0"/>
                <wp:positionH relativeFrom="column">
                  <wp:posOffset>575945</wp:posOffset>
                </wp:positionH>
                <wp:positionV relativeFrom="paragraph">
                  <wp:posOffset>4157345</wp:posOffset>
                </wp:positionV>
                <wp:extent cx="1435100" cy="351790"/>
                <wp:effectExtent l="0" t="0" r="0" b="0"/>
                <wp:wrapNone/>
                <wp:docPr id="30" name="文本框 30"/>
                <wp:cNvGraphicFramePr/>
                <a:graphic xmlns:a="http://schemas.openxmlformats.org/drawingml/2006/main">
                  <a:graphicData uri="http://schemas.microsoft.com/office/word/2010/wordprocessingShape">
                    <wps:wsp>
                      <wps:cNvSpPr txBox="1"/>
                      <wps:spPr>
                        <a:xfrm>
                          <a:off x="1744345" y="5163185"/>
                          <a:ext cx="1435100" cy="3517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9E11448">
                            <w:pPr>
                              <w:rPr>
                                <w:rFonts w:hint="default" w:eastAsia="宋体"/>
                                <w:b/>
                                <w:bCs/>
                                <w:sz w:val="28"/>
                                <w:szCs w:val="28"/>
                                <w:lang w:val="en-US" w:eastAsia="zh-CN"/>
                              </w:rPr>
                            </w:pPr>
                            <w:r>
                              <w:rPr>
                                <w:rFonts w:hint="eastAsia"/>
                                <w:b/>
                                <w:bCs/>
                                <w:sz w:val="28"/>
                                <w:szCs w:val="28"/>
                                <w:lang w:val="en-US" w:eastAsia="zh-CN"/>
                              </w:rPr>
                              <w:t>润兴达工业园</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5.35pt;margin-top:327.35pt;height:27.7pt;width:113pt;z-index:251719680;mso-width-relative:page;mso-height-relative:page;" filled="f" stroked="f" coordsize="21600,21600" o:gfxdata="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CfprAg2wAAAAoBAAAPAAAAAAAA&#10;AAEAIAAAACIAAABkcnMvZG93bnJldi54bWxQSwECFAAUAAAACACHTuJABgpJtkgCAAB0BAAADgAA&#10;AAAAAAABACAAAAAqAQAAZHJzL2Uyb0RvYy54bWxQSwUGAAAAAAYABgBZAQAA5AUAAAAA&#10;">
                <v:fill on="f" focussize="0,0"/>
                <v:stroke on="f" weight="0.5pt"/>
                <v:imagedata o:title=""/>
                <o:lock v:ext="edit" aspectratio="f"/>
                <v:textbox>
                  <w:txbxContent>
                    <w:p w14:paraId="19E11448">
                      <w:pPr>
                        <w:rPr>
                          <w:rFonts w:hint="default" w:eastAsia="宋体"/>
                          <w:b/>
                          <w:bCs/>
                          <w:sz w:val="28"/>
                          <w:szCs w:val="28"/>
                          <w:lang w:val="en-US" w:eastAsia="zh-CN"/>
                        </w:rPr>
                      </w:pPr>
                      <w:r>
                        <w:rPr>
                          <w:rFonts w:hint="eastAsia"/>
                          <w:b/>
                          <w:bCs/>
                          <w:sz w:val="28"/>
                          <w:szCs w:val="28"/>
                          <w:lang w:val="en-US" w:eastAsia="zh-CN"/>
                        </w:rPr>
                        <w:t>润兴达工业园</w:t>
                      </w:r>
                    </w:p>
                  </w:txbxContent>
                </v:textbox>
              </v:shape>
            </w:pict>
          </mc:Fallback>
        </mc:AlternateContent>
      </w:r>
      <w:r>
        <w:rPr>
          <w:color w:val="auto"/>
          <w:sz w:val="24"/>
          <w:highlight w:val="none"/>
        </w:rPr>
        <mc:AlternateContent>
          <mc:Choice Requires="wps">
            <w:drawing>
              <wp:anchor distT="0" distB="0" distL="114300" distR="114300" simplePos="0" relativeHeight="251718656" behindDoc="0" locked="0" layoutInCell="1" allowOverlap="1">
                <wp:simplePos x="0" y="0"/>
                <wp:positionH relativeFrom="column">
                  <wp:posOffset>17780</wp:posOffset>
                </wp:positionH>
                <wp:positionV relativeFrom="paragraph">
                  <wp:posOffset>3381375</wp:posOffset>
                </wp:positionV>
                <wp:extent cx="3756025" cy="1530350"/>
                <wp:effectExtent l="12700" t="12700" r="22225" b="19050"/>
                <wp:wrapNone/>
                <wp:docPr id="29" name="任意多边形 29"/>
                <wp:cNvGraphicFramePr/>
                <a:graphic xmlns:a="http://schemas.openxmlformats.org/drawingml/2006/main">
                  <a:graphicData uri="http://schemas.microsoft.com/office/word/2010/wordprocessingShape">
                    <wps:wsp>
                      <wps:cNvSpPr/>
                      <wps:spPr>
                        <a:xfrm>
                          <a:off x="1071245" y="4353560"/>
                          <a:ext cx="3756025" cy="1530350"/>
                        </a:xfrm>
                        <a:custGeom>
                          <a:avLst/>
                          <a:gdLst>
                            <a:gd name="connisteX0" fmla="*/ 0 w 3782695"/>
                            <a:gd name="connsiteY0" fmla="*/ 1360805 h 1530350"/>
                            <a:gd name="connisteX1" fmla="*/ 584835 w 3782695"/>
                            <a:gd name="connsiteY1" fmla="*/ 0 h 1530350"/>
                            <a:gd name="connisteX2" fmla="*/ 3782695 w 3782695"/>
                            <a:gd name="connsiteY2" fmla="*/ 1530350 h 1530350"/>
                            <a:gd name="connisteX3" fmla="*/ 6350 w 3782695"/>
                            <a:gd name="connsiteY3" fmla="*/ 1524000 h 1530350"/>
                            <a:gd name="connisteX4" fmla="*/ 0 w 3782695"/>
                            <a:gd name="connsiteY4" fmla="*/ 1360805 h 1530350"/>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3782695" h="1530350">
                              <a:moveTo>
                                <a:pt x="0" y="1360805"/>
                              </a:moveTo>
                              <a:lnTo>
                                <a:pt x="584835" y="0"/>
                              </a:lnTo>
                              <a:lnTo>
                                <a:pt x="3782695" y="1530350"/>
                              </a:lnTo>
                              <a:lnTo>
                                <a:pt x="6350" y="1524000"/>
                              </a:lnTo>
                              <a:lnTo>
                                <a:pt x="0" y="1360805"/>
                              </a:lnTo>
                              <a:close/>
                            </a:path>
                          </a:pathLst>
                        </a:cu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1.4pt;margin-top:266.25pt;height:120.5pt;width:295.75pt;z-index:251718656;mso-width-relative:page;mso-height-relative:page;" filled="f" stroked="t" coordsize="3782695,1530350" o:gfxdata="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" path="m0,1360805l584835,0,3782695,1530350,6350,1524000,0,1360805xe">
                <v:path o:connectlocs="0,1360805;580711,0;3756025,1530350;6305,1524000;0,1360805" o:connectangles="0,0,0,0,0"/>
                <v:fill on="f" focussize="0,0"/>
                <v:stroke weight="2pt" color="#000000 [3213]" joinstyle="round"/>
                <v:imagedata o:title=""/>
                <o:lock v:ext="edit" aspectratio="f"/>
              </v:shape>
            </w:pict>
          </mc:Fallback>
        </mc:AlternateContent>
      </w:r>
      <w:r>
        <w:rPr>
          <w:color w:val="auto"/>
          <w:sz w:val="24"/>
          <w:highlight w:val="none"/>
        </w:rPr>
        <mc:AlternateContent>
          <mc:Choice Requires="wps">
            <w:drawing>
              <wp:anchor distT="0" distB="0" distL="114300" distR="114300" simplePos="0" relativeHeight="251708416" behindDoc="0" locked="0" layoutInCell="1" allowOverlap="1">
                <wp:simplePos x="0" y="0"/>
                <wp:positionH relativeFrom="column">
                  <wp:posOffset>7367270</wp:posOffset>
                </wp:positionH>
                <wp:positionV relativeFrom="paragraph">
                  <wp:posOffset>3672205</wp:posOffset>
                </wp:positionV>
                <wp:extent cx="857250" cy="434975"/>
                <wp:effectExtent l="0" t="0" r="0" b="0"/>
                <wp:wrapNone/>
                <wp:docPr id="65" name="文本框 65"/>
                <wp:cNvGraphicFramePr/>
                <a:graphic xmlns:a="http://schemas.openxmlformats.org/drawingml/2006/main">
                  <a:graphicData uri="http://schemas.microsoft.com/office/word/2010/wordprocessingShape">
                    <wps:wsp>
                      <wps:cNvSpPr txBox="1"/>
                      <wps:spPr>
                        <a:xfrm>
                          <a:off x="8532495" y="4718685"/>
                          <a:ext cx="857250" cy="4349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CF46C45">
                            <w:pPr>
                              <w:rPr>
                                <w:rFonts w:hint="default" w:eastAsia="宋体"/>
                                <w:sz w:val="18"/>
                                <w:szCs w:val="18"/>
                                <w:lang w:val="en-US" w:eastAsia="zh-CN"/>
                              </w:rPr>
                            </w:pPr>
                            <w:r>
                              <w:rPr>
                                <w:rFonts w:hint="eastAsia"/>
                                <w:sz w:val="21"/>
                                <w:szCs w:val="21"/>
                                <w:lang w:val="en-US" w:eastAsia="zh-CN"/>
                              </w:rPr>
                              <w:t>项目所在建筑物</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80.1pt;margin-top:289.15pt;height:34.25pt;width:67.5pt;z-index:251708416;mso-width-relative:page;mso-height-relative:page;" filled="f" stroked="f" coordsize="21600,21600" o:gfxdata="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XdYMxNwAAAANAQAADwAAAAAAAAAB&#10;ACAAAAAiAAAAZHJzL2Rvd25yZXYueG1sUEsBAhQAFAAAAAgAh07iQK+qu4FFAgAAcwQAAA4AAAAA&#10;AAAAAQAgAAAAKwEAAGRycy9lMm9Eb2MueG1sUEsFBgAAAAAGAAYAWQEAAOIFAAAAAA==&#10;">
                <v:fill on="f" focussize="0,0"/>
                <v:stroke on="f" weight="0.5pt"/>
                <v:imagedata o:title=""/>
                <o:lock v:ext="edit" aspectratio="f"/>
                <v:textbox>
                  <w:txbxContent>
                    <w:p w14:paraId="6CF46C45">
                      <w:pPr>
                        <w:rPr>
                          <w:rFonts w:hint="default" w:eastAsia="宋体"/>
                          <w:sz w:val="18"/>
                          <w:szCs w:val="18"/>
                          <w:lang w:val="en-US" w:eastAsia="zh-CN"/>
                        </w:rPr>
                      </w:pPr>
                      <w:r>
                        <w:rPr>
                          <w:rFonts w:hint="eastAsia"/>
                          <w:sz w:val="21"/>
                          <w:szCs w:val="21"/>
                          <w:lang w:val="en-US" w:eastAsia="zh-CN"/>
                        </w:rPr>
                        <w:t>项目所在建筑物</w:t>
                      </w:r>
                    </w:p>
                  </w:txbxContent>
                </v:textbox>
              </v:shape>
            </w:pict>
          </mc:Fallback>
        </mc:AlternateContent>
      </w:r>
      <w:r>
        <w:rPr>
          <w:color w:val="auto"/>
          <w:sz w:val="24"/>
          <w:highlight w:val="none"/>
        </w:rPr>
        <mc:AlternateContent>
          <mc:Choice Requires="wps">
            <w:drawing>
              <wp:anchor distT="0" distB="0" distL="114300" distR="114300" simplePos="0" relativeHeight="251707392" behindDoc="0" locked="0" layoutInCell="1" allowOverlap="1">
                <wp:simplePos x="0" y="0"/>
                <wp:positionH relativeFrom="column">
                  <wp:posOffset>7346950</wp:posOffset>
                </wp:positionH>
                <wp:positionV relativeFrom="paragraph">
                  <wp:posOffset>3275965</wp:posOffset>
                </wp:positionV>
                <wp:extent cx="857250" cy="328295"/>
                <wp:effectExtent l="0" t="0" r="0" b="0"/>
                <wp:wrapNone/>
                <wp:docPr id="64" name="文本框 64"/>
                <wp:cNvGraphicFramePr/>
                <a:graphic xmlns:a="http://schemas.openxmlformats.org/drawingml/2006/main">
                  <a:graphicData uri="http://schemas.microsoft.com/office/word/2010/wordprocessingShape">
                    <wps:wsp>
                      <wps:cNvSpPr txBox="1"/>
                      <wps:spPr>
                        <a:xfrm>
                          <a:off x="8575040" y="4248150"/>
                          <a:ext cx="857250" cy="3282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E3CF071">
                            <w:pPr>
                              <w:rPr>
                                <w:rFonts w:hint="eastAsia" w:eastAsia="宋体"/>
                                <w:lang w:val="en-US" w:eastAsia="zh-CN"/>
                              </w:rPr>
                            </w:pPr>
                            <w:r>
                              <w:rPr>
                                <w:rFonts w:hint="eastAsia"/>
                                <w:lang w:val="en-US" w:eastAsia="zh-CN"/>
                              </w:rPr>
                              <w:t>本项目位置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78.5pt;margin-top:257.95pt;height:25.85pt;width:67.5pt;z-index:251707392;mso-width-relative:page;mso-height-relative:page;" filled="f" stroked="f" coordsize="21600,21600" o:gfxdata="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WVGmpdwAAAANAQAADwAAAAAAAAABACAA&#10;AAAiAAAAZHJzL2Rvd25yZXYueG1sUEsBAhQAFAAAAAgAh07iQO8E1eFCAgAAcwQAAA4AAAAAAAAA&#10;AQAgAAAAKwEAAGRycy9lMm9Eb2MueG1sUEsFBgAAAAAGAAYAWQEAAN8FAAAAAA==&#10;">
                <v:fill on="f" focussize="0,0"/>
                <v:stroke on="f" weight="0.5pt"/>
                <v:imagedata o:title=""/>
                <o:lock v:ext="edit" aspectratio="f"/>
                <v:textbox>
                  <w:txbxContent>
                    <w:p w14:paraId="3E3CF071">
                      <w:pPr>
                        <w:rPr>
                          <w:rFonts w:hint="eastAsia" w:eastAsia="宋体"/>
                          <w:lang w:val="en-US" w:eastAsia="zh-CN"/>
                        </w:rPr>
                      </w:pPr>
                      <w:r>
                        <w:rPr>
                          <w:rFonts w:hint="eastAsia"/>
                          <w:lang w:val="en-US" w:eastAsia="zh-CN"/>
                        </w:rPr>
                        <w:t>本项目位置</w:t>
                      </w:r>
                    </w:p>
                  </w:txbxContent>
                </v:textbox>
              </v:shape>
            </w:pict>
          </mc:Fallback>
        </mc:AlternateContent>
      </w:r>
      <w:r>
        <w:rPr>
          <w:color w:val="auto"/>
          <w:sz w:val="24"/>
          <w:highlight w:val="none"/>
        </w:rPr>
        <mc:AlternateContent>
          <mc:Choice Requires="wps">
            <w:drawing>
              <wp:anchor distT="0" distB="0" distL="114300" distR="114300" simplePos="0" relativeHeight="251705344" behindDoc="0" locked="0" layoutInCell="1" allowOverlap="1">
                <wp:simplePos x="0" y="0"/>
                <wp:positionH relativeFrom="column">
                  <wp:posOffset>6838950</wp:posOffset>
                </wp:positionH>
                <wp:positionV relativeFrom="paragraph">
                  <wp:posOffset>3286760</wp:posOffset>
                </wp:positionV>
                <wp:extent cx="497205" cy="211455"/>
                <wp:effectExtent l="12700" t="12700" r="23495" b="23495"/>
                <wp:wrapNone/>
                <wp:docPr id="24" name="矩形 24"/>
                <wp:cNvGraphicFramePr/>
                <a:graphic xmlns:a="http://schemas.openxmlformats.org/drawingml/2006/main">
                  <a:graphicData uri="http://schemas.microsoft.com/office/word/2010/wordprocessingShape">
                    <wps:wsp>
                      <wps:cNvSpPr/>
                      <wps:spPr>
                        <a:xfrm>
                          <a:off x="7887335" y="4269740"/>
                          <a:ext cx="497205" cy="211455"/>
                        </a:xfrm>
                        <a:prstGeom prst="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38.5pt;margin-top:258.8pt;height:16.65pt;width:39.15pt;z-index:251705344;v-text-anchor:middle;mso-width-relative:page;mso-height-relative:page;" filled="f" stroked="t" coordsize="21600,21600" o:gfxdata="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C2GHcY2wAAAA0BAAAPAAAAAAAAAAEAIAAAACIAAABkcnMvZG93bnJl&#10;di54bWxQSwECFAAUAAAACACHTuJAPGVLTmwCAADBBAAADgAAAAAAAAABACAAAAAqAQAAZHJzL2Uy&#10;b0RvYy54bWxQSwUGAAAAAAYABgBZAQAACAYAAAAA&#10;">
                <v:fill on="f" focussize="0,0"/>
                <v:stroke weight="2pt" color="#FF0000 [2404]" joinstyle="round"/>
                <v:imagedata o:title=""/>
                <o:lock v:ext="edit" aspectratio="f"/>
              </v:rect>
            </w:pict>
          </mc:Fallback>
        </mc:AlternateContent>
      </w:r>
      <w:r>
        <w:rPr>
          <w:color w:val="auto"/>
          <w:sz w:val="24"/>
          <w:highlight w:val="none"/>
        </w:rPr>
        <mc:AlternateContent>
          <mc:Choice Requires="wps">
            <w:drawing>
              <wp:anchor distT="0" distB="0" distL="114300" distR="114300" simplePos="0" relativeHeight="251706368" behindDoc="0" locked="0" layoutInCell="1" allowOverlap="1">
                <wp:simplePos x="0" y="0"/>
                <wp:positionH relativeFrom="column">
                  <wp:posOffset>6838950</wp:posOffset>
                </wp:positionH>
                <wp:positionV relativeFrom="paragraph">
                  <wp:posOffset>3699510</wp:posOffset>
                </wp:positionV>
                <wp:extent cx="507365" cy="201930"/>
                <wp:effectExtent l="12700" t="12700" r="13335" b="13970"/>
                <wp:wrapNone/>
                <wp:docPr id="63" name="矩形 63"/>
                <wp:cNvGraphicFramePr/>
                <a:graphic xmlns:a="http://schemas.openxmlformats.org/drawingml/2006/main">
                  <a:graphicData uri="http://schemas.microsoft.com/office/word/2010/wordprocessingShape">
                    <wps:wsp>
                      <wps:cNvSpPr/>
                      <wps:spPr>
                        <a:xfrm>
                          <a:off x="7887335" y="4819650"/>
                          <a:ext cx="507365" cy="201930"/>
                        </a:xfrm>
                        <a:prstGeom prst="rect">
                          <a:avLst/>
                        </a:prstGeom>
                        <a:no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38.5pt;margin-top:291.3pt;height:15.9pt;width:39.95pt;z-index:251706368;v-text-anchor:middle;mso-width-relative:page;mso-height-relative:page;" filled="f" stroked="t" coordsize="21600,21600" o:gfxdata="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IWMkB3aAAAADQEAAA8AAAAAAAAAAQAgAAAAIgAAAGRycy9kb3ducmV2Lnht&#10;bFBLAQIUABQAAAAIAIdO4kCr0vQTaQIAAMEEAAAOAAAAAAAAAAEAIAAAACkBAABkcnMvZTJvRG9j&#10;LnhtbFBLBQYAAAAABgAGAFkBAAAEBgAAAAA=&#10;">
                <v:fill on="f" focussize="0,0"/>
                <v:stroke weight="2pt" color="#FFFF00 [2404]" joinstyle="round"/>
                <v:imagedata o:title=""/>
                <o:lock v:ext="edit" aspectratio="f"/>
              </v:rect>
            </w:pict>
          </mc:Fallback>
        </mc:AlternateContent>
      </w:r>
      <w:r>
        <w:rPr>
          <w:color w:val="auto"/>
          <w:sz w:val="24"/>
          <w:highlight w:val="none"/>
        </w:rPr>
        <mc:AlternateContent>
          <mc:Choice Requires="wps">
            <w:drawing>
              <wp:anchor distT="0" distB="0" distL="114300" distR="114300" simplePos="0" relativeHeight="251704320" behindDoc="0" locked="0" layoutInCell="1" allowOverlap="1">
                <wp:simplePos x="0" y="0"/>
                <wp:positionH relativeFrom="column">
                  <wp:posOffset>6817360</wp:posOffset>
                </wp:positionH>
                <wp:positionV relativeFrom="paragraph">
                  <wp:posOffset>2803525</wp:posOffset>
                </wp:positionV>
                <wp:extent cx="614045" cy="327660"/>
                <wp:effectExtent l="0" t="0" r="0" b="0"/>
                <wp:wrapNone/>
                <wp:docPr id="23" name="文本框 23"/>
                <wp:cNvGraphicFramePr/>
                <a:graphic xmlns:a="http://schemas.openxmlformats.org/drawingml/2006/main">
                  <a:graphicData uri="http://schemas.microsoft.com/office/word/2010/wordprocessingShape">
                    <wps:wsp>
                      <wps:cNvSpPr txBox="1"/>
                      <wps:spPr>
                        <a:xfrm>
                          <a:off x="7897495" y="3775710"/>
                          <a:ext cx="614045" cy="3276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F20B71E">
                            <w:pPr>
                              <w:rPr>
                                <w:rFonts w:hint="eastAsia" w:eastAsia="宋体"/>
                                <w:b w:val="0"/>
                                <w:bCs w:val="0"/>
                                <w:sz w:val="24"/>
                                <w:szCs w:val="24"/>
                                <w:lang w:val="en-US" w:eastAsia="zh-CN"/>
                              </w:rPr>
                            </w:pPr>
                            <w:r>
                              <w:rPr>
                                <w:rFonts w:hint="eastAsia"/>
                                <w:b w:val="0"/>
                                <w:bCs w:val="0"/>
                                <w:sz w:val="24"/>
                                <w:szCs w:val="24"/>
                                <w:lang w:val="en-US" w:eastAsia="zh-CN"/>
                              </w:rPr>
                              <w:t>图例：</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36.8pt;margin-top:220.75pt;height:25.8pt;width:48.35pt;z-index:251704320;mso-width-relative:page;mso-height-relative:page;" filled="f" stroked="f" coordsize="21600,21600" o:gfxdata="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cKODHdwAAAANAQAADwAAAAAA&#10;AAABACAAAAAiAAAAZHJzL2Rvd25yZXYueG1sUEsBAhQAFAAAAAgAh07iQEnS+xxIAgAAcwQAAA4A&#10;AAAAAAAAAQAgAAAAKwEAAGRycy9lMm9Eb2MueG1sUEsFBgAAAAAGAAYAWQEAAOUFAAAAAA==&#10;">
                <v:fill on="f" focussize="0,0"/>
                <v:stroke on="f" weight="0.5pt"/>
                <v:imagedata o:title=""/>
                <o:lock v:ext="edit" aspectratio="f"/>
                <v:textbox>
                  <w:txbxContent>
                    <w:p w14:paraId="1F20B71E">
                      <w:pPr>
                        <w:rPr>
                          <w:rFonts w:hint="eastAsia" w:eastAsia="宋体"/>
                          <w:b w:val="0"/>
                          <w:bCs w:val="0"/>
                          <w:sz w:val="24"/>
                          <w:szCs w:val="24"/>
                          <w:lang w:val="en-US" w:eastAsia="zh-CN"/>
                        </w:rPr>
                      </w:pPr>
                      <w:r>
                        <w:rPr>
                          <w:rFonts w:hint="eastAsia"/>
                          <w:b w:val="0"/>
                          <w:bCs w:val="0"/>
                          <w:sz w:val="24"/>
                          <w:szCs w:val="24"/>
                          <w:lang w:val="en-US" w:eastAsia="zh-CN"/>
                        </w:rPr>
                        <w:t>图例：</w:t>
                      </w:r>
                    </w:p>
                  </w:txbxContent>
                </v:textbox>
              </v:shape>
            </w:pict>
          </mc:Fallback>
        </mc:AlternateContent>
      </w:r>
      <w:r>
        <w:rPr>
          <w:color w:val="auto"/>
          <w:sz w:val="24"/>
          <w:highlight w:val="none"/>
        </w:rPr>
        <mc:AlternateContent>
          <mc:Choice Requires="wps">
            <w:drawing>
              <wp:anchor distT="0" distB="0" distL="114300" distR="114300" simplePos="0" relativeHeight="251703296" behindDoc="0" locked="0" layoutInCell="1" allowOverlap="1">
                <wp:simplePos x="0" y="0"/>
                <wp:positionH relativeFrom="column">
                  <wp:posOffset>6711950</wp:posOffset>
                </wp:positionH>
                <wp:positionV relativeFrom="paragraph">
                  <wp:posOffset>2718435</wp:posOffset>
                </wp:positionV>
                <wp:extent cx="1513205" cy="1416685"/>
                <wp:effectExtent l="6350" t="6350" r="23495" b="24765"/>
                <wp:wrapNone/>
                <wp:docPr id="12" name="矩形 12"/>
                <wp:cNvGraphicFramePr/>
                <a:graphic xmlns:a="http://schemas.openxmlformats.org/drawingml/2006/main">
                  <a:graphicData uri="http://schemas.microsoft.com/office/word/2010/wordprocessingShape">
                    <wps:wsp>
                      <wps:cNvSpPr/>
                      <wps:spPr>
                        <a:xfrm>
                          <a:off x="7792085" y="3690620"/>
                          <a:ext cx="1513205" cy="1416685"/>
                        </a:xfrm>
                        <a:prstGeom prst="rect">
                          <a:avLst/>
                        </a:prstGeom>
                        <a:noFill/>
                        <a:ln w="1270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28.5pt;margin-top:214.05pt;height:111.55pt;width:119.15pt;z-index:251703296;v-text-anchor:middle;mso-width-relative:page;mso-height-relative:page;" filled="f" stroked="t" coordsize="21600,21600" o:gfxdata="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BIxmK12gAAAA0BAAAPAAAAAAAAAAEAIAAAACIAAABkcnMvZG93bnJldi54&#10;bWxQSwECFAAUAAAACACHTuJAMQEqCWoCAADDBAAADgAAAAAAAAABACAAAAApAQAAZHJzL2Uyb0Rv&#10;Yy54bWxQSwUGAAAAAAYABgBZAQAABQYAAAAA&#10;">
                <v:fill on="f" focussize="0,0"/>
                <v:stroke weight="1pt" color="#000000 [3213]" joinstyle="round"/>
                <v:imagedata o:title=""/>
                <o:lock v:ext="edit" aspectratio="f"/>
              </v:rect>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692032" behindDoc="0" locked="0" layoutInCell="1" allowOverlap="1">
                <wp:simplePos x="0" y="0"/>
                <wp:positionH relativeFrom="column">
                  <wp:posOffset>5475605</wp:posOffset>
                </wp:positionH>
                <wp:positionV relativeFrom="paragraph">
                  <wp:posOffset>3907790</wp:posOffset>
                </wp:positionV>
                <wp:extent cx="1038860" cy="257175"/>
                <wp:effectExtent l="0" t="0" r="0" b="0"/>
                <wp:wrapNone/>
                <wp:docPr id="38" name="文本框 241"/>
                <wp:cNvGraphicFramePr/>
                <a:graphic xmlns:a="http://schemas.openxmlformats.org/drawingml/2006/main">
                  <a:graphicData uri="http://schemas.microsoft.com/office/word/2010/wordprocessingShape">
                    <wps:wsp>
                      <wps:cNvSpPr txBox="1"/>
                      <wps:spPr>
                        <a:xfrm>
                          <a:off x="0" y="0"/>
                          <a:ext cx="1038860" cy="257175"/>
                        </a:xfrm>
                        <a:prstGeom prst="rect">
                          <a:avLst/>
                        </a:prstGeom>
                        <a:noFill/>
                        <a:ln w="6350">
                          <a:noFill/>
                        </a:ln>
                      </wps:spPr>
                      <wps:txbx>
                        <w:txbxContent>
                          <w:p w14:paraId="4C39702F">
                            <w:pPr>
                              <w:ind w:left="210" w:hanging="210" w:hangingChars="100"/>
                            </w:pPr>
                            <w:r>
                              <w:rPr>
                                <w:rFonts w:hint="eastAsia"/>
                                <w:lang w:val="en-US" w:eastAsia="zh-CN"/>
                              </w:rPr>
                              <w:t>0m10m20</w:t>
                            </w:r>
                            <w:r>
                              <w:rPr>
                                <w:rFonts w:hint="eastAsia"/>
                              </w:rPr>
                              <w:t>m</w:t>
                            </w:r>
                          </w:p>
                        </w:txbxContent>
                      </wps:txbx>
                      <wps:bodyPr wrap="square" upright="1"/>
                    </wps:wsp>
                  </a:graphicData>
                </a:graphic>
              </wp:anchor>
            </w:drawing>
          </mc:Choice>
          <mc:Fallback>
            <w:pict>
              <v:shape id="文本框 241" o:spid="_x0000_s1026" o:spt="202" type="#_x0000_t202" style="position:absolute;left:0pt;margin-left:431.15pt;margin-top:307.7pt;height:20.25pt;width:81.8pt;z-index:251692032;mso-width-relative:page;mso-height-relative:page;" filled="f" stroked="f" coordsize="21600,21600" o:gfxdata="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A/CB7Y2wAAAAwBAAAPAAAAAAAAAAEAIAAAACIAAABkcnMvZG93bnJl&#10;di54bWxQSwECFAAUAAAACACHTuJA486tlsEBAABoAwAADgAAAAAAAAABACAAAAAqAQAAZHJzL2Uy&#10;b0RvYy54bWxQSwUGAAAAAAYABgBZAQAAXQUAAAAA&#10;">
                <v:fill on="f" focussize="0,0"/>
                <v:stroke on="f" weight="0.5pt"/>
                <v:imagedata o:title=""/>
                <o:lock v:ext="edit" aspectratio="f"/>
                <v:textbox>
                  <w:txbxContent>
                    <w:p w14:paraId="4C39702F">
                      <w:pPr>
                        <w:ind w:left="210" w:hanging="210" w:hangingChars="100"/>
                      </w:pPr>
                      <w:r>
                        <w:rPr>
                          <w:rFonts w:hint="eastAsia"/>
                          <w:lang w:val="en-US" w:eastAsia="zh-CN"/>
                        </w:rPr>
                        <w:t>0m10m20</w:t>
                      </w:r>
                      <w:r>
                        <w:rPr>
                          <w:rFonts w:hint="eastAsia"/>
                        </w:rPr>
                        <w:t>m</w:t>
                      </w:r>
                    </w:p>
                  </w:txbxContent>
                </v:textbox>
              </v:shape>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693056" behindDoc="0" locked="0" layoutInCell="1" allowOverlap="1">
                <wp:simplePos x="0" y="0"/>
                <wp:positionH relativeFrom="column">
                  <wp:posOffset>5446395</wp:posOffset>
                </wp:positionH>
                <wp:positionV relativeFrom="paragraph">
                  <wp:posOffset>3295650</wp:posOffset>
                </wp:positionV>
                <wp:extent cx="662305" cy="281305"/>
                <wp:effectExtent l="0" t="0" r="0" b="0"/>
                <wp:wrapNone/>
                <wp:docPr id="41" name="文本框 100"/>
                <wp:cNvGraphicFramePr/>
                <a:graphic xmlns:a="http://schemas.openxmlformats.org/drawingml/2006/main">
                  <a:graphicData uri="http://schemas.microsoft.com/office/word/2010/wordprocessingShape">
                    <wps:wsp>
                      <wps:cNvSpPr txBox="1"/>
                      <wps:spPr>
                        <a:xfrm>
                          <a:off x="0" y="0"/>
                          <a:ext cx="662305" cy="281305"/>
                        </a:xfrm>
                        <a:prstGeom prst="rect">
                          <a:avLst/>
                        </a:prstGeom>
                        <a:noFill/>
                        <a:ln w="6350">
                          <a:noFill/>
                        </a:ln>
                      </wps:spPr>
                      <wps:txbx>
                        <w:txbxContent>
                          <w:p w14:paraId="1FEC3C53">
                            <w:r>
                              <w:rPr>
                                <w:rFonts w:hint="eastAsia"/>
                              </w:rPr>
                              <w:t>比例尺：</w:t>
                            </w:r>
                          </w:p>
                        </w:txbxContent>
                      </wps:txbx>
                      <wps:bodyPr wrap="square" upright="1"/>
                    </wps:wsp>
                  </a:graphicData>
                </a:graphic>
              </wp:anchor>
            </w:drawing>
          </mc:Choice>
          <mc:Fallback>
            <w:pict>
              <v:shape id="文本框 100" o:spid="_x0000_s1026" o:spt="202" type="#_x0000_t202" style="position:absolute;left:0pt;margin-left:428.85pt;margin-top:259.5pt;height:22.15pt;width:52.15pt;z-index:251693056;mso-width-relative:page;mso-height-relative:page;" filled="f" stroked="f" coordsize="21600,21600" o:gfxdata="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DlBr8u3AAAAAsBAAAPAAAAAAAAAAEAIAAAACIAAABkcnMvZG93bnJldi54&#10;bWxQSwECFAAUAAAACACHTuJAs/NX0b0BAABnAwAADgAAAAAAAAABACAAAAArAQAAZHJzL2Uyb0Rv&#10;Yy54bWxQSwUGAAAAAAYABgBZAQAAWgUAAAAA&#10;">
                <v:fill on="f" focussize="0,0"/>
                <v:stroke on="f" weight="0.5pt"/>
                <v:imagedata o:title=""/>
                <o:lock v:ext="edit" aspectratio="f"/>
                <v:textbox>
                  <w:txbxContent>
                    <w:p w14:paraId="1FEC3C53">
                      <w:r>
                        <w:rPr>
                          <w:rFonts w:hint="eastAsia"/>
                        </w:rPr>
                        <w:t>比例尺：</w:t>
                      </w:r>
                    </w:p>
                  </w:txbxContent>
                </v:textbox>
              </v:shape>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695104" behindDoc="0" locked="0" layoutInCell="1" allowOverlap="1">
                <wp:simplePos x="0" y="0"/>
                <wp:positionH relativeFrom="column">
                  <wp:posOffset>5931535</wp:posOffset>
                </wp:positionH>
                <wp:positionV relativeFrom="paragraph">
                  <wp:posOffset>3779520</wp:posOffset>
                </wp:positionV>
                <wp:extent cx="358775" cy="71755"/>
                <wp:effectExtent l="9525" t="9525" r="12700" b="13970"/>
                <wp:wrapNone/>
                <wp:docPr id="292" name="矩形 237"/>
                <wp:cNvGraphicFramePr/>
                <a:graphic xmlns:a="http://schemas.openxmlformats.org/drawingml/2006/main">
                  <a:graphicData uri="http://schemas.microsoft.com/office/word/2010/wordprocessingShape">
                    <wps:wsp>
                      <wps:cNvSpPr/>
                      <wps:spPr>
                        <a:xfrm>
                          <a:off x="0" y="0"/>
                          <a:ext cx="358775" cy="71755"/>
                        </a:xfrm>
                        <a:prstGeom prst="rect">
                          <a:avLst/>
                        </a:prstGeom>
                        <a:solidFill>
                          <a:srgbClr val="FF0000"/>
                        </a:solidFill>
                        <a:ln w="19050" cap="flat" cmpd="sng">
                          <a:solidFill>
                            <a:srgbClr val="FF0000"/>
                          </a:solidFill>
                          <a:prstDash val="solid"/>
                          <a:miter/>
                          <a:headEnd type="none" w="med" len="med"/>
                          <a:tailEnd type="none" w="med" len="med"/>
                        </a:ln>
                      </wps:spPr>
                      <wps:bodyPr wrap="square" anchor="ctr" anchorCtr="0" upright="1"/>
                    </wps:wsp>
                  </a:graphicData>
                </a:graphic>
              </wp:anchor>
            </w:drawing>
          </mc:Choice>
          <mc:Fallback>
            <w:pict>
              <v:rect id="矩形 237" o:spid="_x0000_s1026" o:spt="1" style="position:absolute;left:0pt;margin-left:467.05pt;margin-top:297.6pt;height:5.65pt;width:28.25pt;z-index:251695104;v-text-anchor:middle;mso-width-relative:page;mso-height-relative:page;" fillcolor="#FF0000" filled="t" stroked="t" coordsize="21600,21600" o:gfxdata="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i+sbm9sAAAALAQAADwAA&#10;AAAAAAABACAAAAAiAAAAZHJzL2Rvd25yZXYueG1sUEsBAhQAFAAAAAgAh07iQNkcUEsTAgAASgQA&#10;AA4AAAAAAAAAAQAgAAAAKgEAAGRycy9lMm9Eb2MueG1sUEsFBgAAAAAGAAYAWQEAAK8FAAAAAA==&#10;">
                <v:fill on="t" focussize="0,0"/>
                <v:stroke weight="1.5pt" color="#FF0000" joinstyle="miter"/>
                <v:imagedata o:title=""/>
                <o:lock v:ext="edit" aspectratio="f"/>
              </v:rect>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694080" behindDoc="0" locked="0" layoutInCell="1" allowOverlap="1">
                <wp:simplePos x="0" y="0"/>
                <wp:positionH relativeFrom="column">
                  <wp:posOffset>5559425</wp:posOffset>
                </wp:positionH>
                <wp:positionV relativeFrom="paragraph">
                  <wp:posOffset>3779520</wp:posOffset>
                </wp:positionV>
                <wp:extent cx="358775" cy="71755"/>
                <wp:effectExtent l="9525" t="9525" r="12700" b="13970"/>
                <wp:wrapNone/>
                <wp:docPr id="291" name="矩形 237"/>
                <wp:cNvGraphicFramePr/>
                <a:graphic xmlns:a="http://schemas.openxmlformats.org/drawingml/2006/main">
                  <a:graphicData uri="http://schemas.microsoft.com/office/word/2010/wordprocessingShape">
                    <wps:wsp>
                      <wps:cNvSpPr/>
                      <wps:spPr>
                        <a:xfrm>
                          <a:off x="0" y="0"/>
                          <a:ext cx="358775" cy="71755"/>
                        </a:xfrm>
                        <a:prstGeom prst="rect">
                          <a:avLst/>
                        </a:prstGeom>
                        <a:solidFill>
                          <a:srgbClr val="000000"/>
                        </a:solidFill>
                        <a:ln w="19050" cap="flat" cmpd="sng">
                          <a:solidFill>
                            <a:srgbClr val="000000"/>
                          </a:solidFill>
                          <a:prstDash val="solid"/>
                          <a:miter/>
                          <a:headEnd type="none" w="med" len="med"/>
                          <a:tailEnd type="none" w="med" len="med"/>
                        </a:ln>
                      </wps:spPr>
                      <wps:bodyPr wrap="square" anchor="ctr" anchorCtr="0" upright="1"/>
                    </wps:wsp>
                  </a:graphicData>
                </a:graphic>
              </wp:anchor>
            </w:drawing>
          </mc:Choice>
          <mc:Fallback>
            <w:pict>
              <v:rect id="矩形 237" o:spid="_x0000_s1026" o:spt="1" style="position:absolute;left:0pt;margin-left:437.75pt;margin-top:297.6pt;height:5.65pt;width:28.25pt;z-index:251694080;v-text-anchor:middle;mso-width-relative:page;mso-height-relative:page;" fillcolor="#000000" filled="t" stroked="t" coordsize="21600,21600" o:gfxdata="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XMAU19oAAAALAQAADwAAAAAA&#10;AAABACAAAAAiAAAAZHJzL2Rvd25yZXYueG1sUEsBAhQAFAAAAAgAh07iQJ1aLVgRAgAASgQAAA4A&#10;AAAAAAAAAQAgAAAAKQEAAGRycy9lMm9Eb2MueG1sUEsFBgAAAAAGAAYAWQEAAKwFAAAAAA==&#10;">
                <v:fill on="t" focussize="0,0"/>
                <v:stroke weight="1.5pt" color="#000000" joinstyle="miter"/>
                <v:imagedata o:title=""/>
                <o:lock v:ext="edit" aspectratio="f"/>
              </v:rect>
            </w:pict>
          </mc:Fallback>
        </mc:AlternateContent>
      </w:r>
      <w:r>
        <w:rPr>
          <w:rFonts w:hint="default" w:ascii="Times New Roman" w:hAnsi="Times New Roman" w:eastAsia="宋体" w:cs="Times New Roman"/>
          <w:b/>
          <w:color w:val="auto"/>
          <w:szCs w:val="21"/>
          <w:highlight w:val="none"/>
        </w:rPr>
        <w:drawing>
          <wp:anchor distT="0" distB="0" distL="114300" distR="114300" simplePos="0" relativeHeight="251665408" behindDoc="0" locked="0" layoutInCell="1" allowOverlap="1">
            <wp:simplePos x="0" y="0"/>
            <wp:positionH relativeFrom="column">
              <wp:posOffset>6073140</wp:posOffset>
            </wp:positionH>
            <wp:positionV relativeFrom="paragraph">
              <wp:posOffset>188595</wp:posOffset>
            </wp:positionV>
            <wp:extent cx="752475" cy="1006475"/>
            <wp:effectExtent l="0" t="0" r="0" b="0"/>
            <wp:wrapNone/>
            <wp:docPr id="42"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16.png"/>
                    <pic:cNvPicPr>
                      <a:picLocks noChangeAspect="1"/>
                    </pic:cNvPicPr>
                  </pic:nvPicPr>
                  <pic:blipFill>
                    <a:blip r:embed="rId17"/>
                    <a:stretch>
                      <a:fillRect/>
                    </a:stretch>
                  </pic:blipFill>
                  <pic:spPr>
                    <a:xfrm>
                      <a:off x="0" y="0"/>
                      <a:ext cx="752475" cy="1006475"/>
                    </a:xfrm>
                    <a:prstGeom prst="rect">
                      <a:avLst/>
                    </a:prstGeom>
                    <a:noFill/>
                    <a:ln>
                      <a:noFill/>
                    </a:ln>
                  </pic:spPr>
                </pic:pic>
              </a:graphicData>
            </a:graphic>
          </wp:anchor>
        </w:drawing>
      </w:r>
    </w:p>
    <w:p w14:paraId="7590C705">
      <w:pPr>
        <w:shd w:val="clear"/>
        <w:bidi w:val="0"/>
        <w:jc w:val="center"/>
        <w:rPr>
          <w:rFonts w:hint="default"/>
          <w:b/>
          <w:bCs/>
          <w:color w:val="auto"/>
          <w:sz w:val="36"/>
          <w:szCs w:val="36"/>
          <w:highlight w:val="none"/>
          <w:lang w:val="en-US" w:eastAsia="zh-CN"/>
        </w:rPr>
      </w:pPr>
      <w:r>
        <w:rPr>
          <w:rFonts w:hint="default"/>
          <w:b/>
          <w:bCs/>
          <w:color w:val="auto"/>
          <w:sz w:val="36"/>
          <w:szCs w:val="36"/>
          <w:highlight w:val="none"/>
          <w:lang w:val="en-US" w:eastAsia="zh-CN"/>
        </w:rPr>
        <w:t>附图1项目四至图</w:t>
      </w:r>
    </w:p>
    <w:p w14:paraId="57F4B999">
      <w:pPr>
        <w:pStyle w:val="40"/>
        <w:shd w:val="clear"/>
        <w:jc w:val="both"/>
        <w:rPr>
          <w:rFonts w:hint="default" w:ascii="Times New Roman" w:hAnsi="Times New Roman" w:eastAsia="宋体" w:cs="Times New Roman"/>
          <w:b/>
          <w:bCs/>
          <w:color w:val="auto"/>
          <w:kern w:val="2"/>
          <w:sz w:val="24"/>
          <w:szCs w:val="24"/>
          <w:highlight w:val="none"/>
          <w:lang w:val="en-US" w:eastAsia="zh-CN" w:bidi="ar-SA"/>
        </w:rPr>
        <w:sectPr>
          <w:footerReference r:id="rId10" w:type="default"/>
          <w:pgSz w:w="16838" w:h="11906" w:orient="landscape"/>
          <w:pgMar w:top="1531" w:right="1701" w:bottom="1531" w:left="1701" w:header="851" w:footer="851" w:gutter="0"/>
          <w:pgNumType w:fmt="decimal"/>
          <w:cols w:space="720" w:num="1"/>
          <w:docGrid w:linePitch="312" w:charSpace="0"/>
        </w:sectPr>
      </w:pPr>
    </w:p>
    <w:p w14:paraId="03F390EA">
      <w:pPr>
        <w:keepNext w:val="0"/>
        <w:keepLines w:val="0"/>
        <w:pageBreakBefore w:val="0"/>
        <w:widowControl w:val="0"/>
        <w:shd w:val="clear"/>
        <w:kinsoku/>
        <w:wordWrap/>
        <w:overflowPunct/>
        <w:topLinePunct w:val="0"/>
        <w:autoSpaceDE/>
        <w:autoSpaceDN/>
        <w:bidi w:val="0"/>
        <w:adjustRightInd/>
        <w:snapToGrid/>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drawing>
          <wp:anchor distT="0" distB="0" distL="114300" distR="114300" simplePos="0" relativeHeight="251674624" behindDoc="0" locked="0" layoutInCell="1" allowOverlap="1">
            <wp:simplePos x="0" y="0"/>
            <wp:positionH relativeFrom="column">
              <wp:posOffset>1269365</wp:posOffset>
            </wp:positionH>
            <wp:positionV relativeFrom="paragraph">
              <wp:posOffset>-7747000</wp:posOffset>
            </wp:positionV>
            <wp:extent cx="3076575" cy="2133600"/>
            <wp:effectExtent l="0" t="0" r="0" b="0"/>
            <wp:wrapNone/>
            <wp:docPr id="81" name="图片 404" descr="3943bf1a3064f1105a8491f2ad694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404" descr="3943bf1a3064f1105a8491f2ad694e5"/>
                    <pic:cNvPicPr>
                      <a:picLocks noChangeAspect="1"/>
                    </pic:cNvPicPr>
                  </pic:nvPicPr>
                  <pic:blipFill>
                    <a:blip r:embed="rId24"/>
                    <a:stretch>
                      <a:fillRect/>
                    </a:stretch>
                  </pic:blipFill>
                  <pic:spPr>
                    <a:xfrm>
                      <a:off x="0" y="0"/>
                      <a:ext cx="3076575" cy="2133600"/>
                    </a:xfrm>
                    <a:prstGeom prst="rect">
                      <a:avLst/>
                    </a:prstGeom>
                    <a:noFill/>
                    <a:ln>
                      <a:noFill/>
                    </a:ln>
                  </pic:spPr>
                </pic:pic>
              </a:graphicData>
            </a:graphic>
          </wp:anchor>
        </w:drawing>
      </w:r>
    </w:p>
    <w:p w14:paraId="4CD45AF0">
      <w:pPr>
        <w:shd w:val="clear"/>
        <w:rPr>
          <w:rFonts w:ascii="宋体" w:hAnsi="宋体" w:eastAsia="宋体" w:cs="宋体"/>
          <w:color w:val="auto"/>
          <w:sz w:val="24"/>
          <w:szCs w:val="24"/>
          <w:highlight w:val="none"/>
        </w:rPr>
      </w:pPr>
      <w:r>
        <w:rPr>
          <w:color w:val="auto"/>
          <w:sz w:val="24"/>
          <w:highlight w:val="none"/>
        </w:rPr>
        <mc:AlternateContent>
          <mc:Choice Requires="wps">
            <w:drawing>
              <wp:anchor distT="0" distB="0" distL="114300" distR="114300" simplePos="0" relativeHeight="251787264" behindDoc="0" locked="0" layoutInCell="1" allowOverlap="1">
                <wp:simplePos x="0" y="0"/>
                <wp:positionH relativeFrom="column">
                  <wp:posOffset>2488565</wp:posOffset>
                </wp:positionH>
                <wp:positionV relativeFrom="paragraph">
                  <wp:posOffset>2259330</wp:posOffset>
                </wp:positionV>
                <wp:extent cx="8890" cy="356235"/>
                <wp:effectExtent l="31115" t="0" r="36195" b="5715"/>
                <wp:wrapNone/>
                <wp:docPr id="70" name="直接箭头连接符 70"/>
                <wp:cNvGraphicFramePr/>
                <a:graphic xmlns:a="http://schemas.openxmlformats.org/drawingml/2006/main">
                  <a:graphicData uri="http://schemas.microsoft.com/office/word/2010/wordprocessingShape">
                    <wps:wsp>
                      <wps:cNvCnPr>
                        <a:stCxn id="66" idx="2"/>
                      </wps:cNvCnPr>
                      <wps:spPr>
                        <a:xfrm>
                          <a:off x="2402840" y="3060700"/>
                          <a:ext cx="8890" cy="356235"/>
                        </a:xfrm>
                        <a:prstGeom prst="straightConnector1">
                          <a:avLst/>
                        </a:prstGeom>
                        <a:ln w="6350">
                          <a:solidFill>
                            <a:schemeClr val="tx1">
                              <a:lumMod val="95000"/>
                              <a:lumOff val="5000"/>
                            </a:schemeClr>
                          </a:solidFill>
                          <a:headEnd type="none"/>
                          <a:tailEnd type="triangle" w="med" len="med"/>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195.95pt;margin-top:177.9pt;height:28.05pt;width:0.7pt;z-index:251787264;mso-width-relative:page;mso-height-relative:page;" filled="f" stroked="t" coordsize="21600,21600" o:gfxdata="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D+V7BR2QAAAAsBAAAPAAAAAAAAAAEA&#10;IAAAACIAAABkcnMvZG93bnJldi54bWxQSwECFAAUAAAACACHTuJAA/BODEcCAABjBAAADgAAAAAA&#10;AAABACAAAAAoAQAAZHJzL2Uyb0RvYy54bWxQSwUGAAAAAAYABgBZAQAA4QUAAAAA&#10;">
                <v:fill on="f" focussize="0,0"/>
                <v:stroke weight="0.5pt" color="#0D0D0D [3069]" joinstyle="round" endarrow="block"/>
                <v:imagedata o:title=""/>
                <o:lock v:ext="edit" aspectratio="f"/>
              </v:shape>
            </w:pict>
          </mc:Fallback>
        </mc:AlternateContent>
      </w:r>
    </w:p>
    <w:p w14:paraId="1E1757E0">
      <w:pPr>
        <w:shd w:val="clear"/>
        <w:bidi w:val="0"/>
        <w:jc w:val="center"/>
        <w:rPr>
          <w:color w:val="auto"/>
          <w:highlight w:val="none"/>
        </w:rPr>
      </w:pPr>
      <w:r>
        <w:rPr>
          <w:color w:val="auto"/>
          <w:highlight w:val="none"/>
        </w:rPr>
        <mc:AlternateContent>
          <mc:Choice Requires="wps">
            <w:drawing>
              <wp:anchor distT="0" distB="0" distL="114300" distR="114300" simplePos="0" relativeHeight="251790336" behindDoc="0" locked="0" layoutInCell="1" allowOverlap="1">
                <wp:simplePos x="0" y="0"/>
                <wp:positionH relativeFrom="column">
                  <wp:posOffset>2823210</wp:posOffset>
                </wp:positionH>
                <wp:positionV relativeFrom="paragraph">
                  <wp:posOffset>2958465</wp:posOffset>
                </wp:positionV>
                <wp:extent cx="981075" cy="313690"/>
                <wp:effectExtent l="7620" t="4445" r="20955" b="272415"/>
                <wp:wrapNone/>
                <wp:docPr id="107" name="矩形标注 224"/>
                <wp:cNvGraphicFramePr/>
                <a:graphic xmlns:a="http://schemas.openxmlformats.org/drawingml/2006/main">
                  <a:graphicData uri="http://schemas.microsoft.com/office/word/2010/wordprocessingShape">
                    <wps:wsp>
                      <wps:cNvSpPr/>
                      <wps:spPr>
                        <a:xfrm>
                          <a:off x="0" y="0"/>
                          <a:ext cx="981075" cy="313690"/>
                        </a:xfrm>
                        <a:prstGeom prst="wedgeRectCallout">
                          <a:avLst>
                            <a:gd name="adj1" fmla="val -49227"/>
                            <a:gd name="adj2" fmla="val 129148"/>
                          </a:avLst>
                        </a:prstGeom>
                        <a:solidFill>
                          <a:srgbClr val="FFFFFF"/>
                        </a:solidFill>
                        <a:ln w="9525" cap="flat" cmpd="sng">
                          <a:solidFill>
                            <a:srgbClr val="000000"/>
                          </a:solidFill>
                          <a:prstDash val="solid"/>
                          <a:miter/>
                          <a:headEnd type="none" w="med" len="med"/>
                          <a:tailEnd type="none" w="med" len="med"/>
                        </a:ln>
                      </wps:spPr>
                      <wps:txbx>
                        <w:txbxContent>
                          <w:p w14:paraId="6ADA7292">
                            <w:pPr>
                              <w:rPr>
                                <w:sz w:val="24"/>
                              </w:rPr>
                            </w:pPr>
                            <w:r>
                              <w:rPr>
                                <w:rFonts w:hint="eastAsia" w:eastAsia="宋体"/>
                                <w:sz w:val="24"/>
                              </w:rPr>
                              <w:t>项目所在地</w:t>
                            </w:r>
                          </w:p>
                        </w:txbxContent>
                      </wps:txbx>
                      <wps:bodyPr vert="horz" wrap="square" anchor="t" anchorCtr="0" upright="1"/>
                    </wps:wsp>
                  </a:graphicData>
                </a:graphic>
              </wp:anchor>
            </w:drawing>
          </mc:Choice>
          <mc:Fallback>
            <w:pict>
              <v:shape id="矩形标注 224" o:spid="_x0000_s1026" o:spt="61" type="#_x0000_t61" style="position:absolute;left:0pt;margin-left:222.3pt;margin-top:232.95pt;height:24.7pt;width:77.25pt;z-index:251790336;mso-width-relative:page;mso-height-relative:page;" fillcolor="#FFFFFF" filled="t" stroked="t" coordsize="21600,21600" o:gfxdata="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M4VsrfZ&#10;AAAACwEAAA8AAAAAAAAAAQAgAAAAIgAAAGRycy9kb3ducmV2LnhtbFBLAQIUABQAAAAIAIdO4kCT&#10;KzhzWAIAAMQEAAAOAAAAAAAAAAEAIAAAACgBAABkcnMvZTJvRG9jLnhtbFBLBQYAAAAABgAGAFkB&#10;AADyBQAAAAA=&#10;" adj="167,38696">
                <v:fill on="t" focussize="0,0"/>
                <v:stroke color="#000000" joinstyle="miter"/>
                <v:imagedata o:title=""/>
                <o:lock v:ext="edit" aspectratio="f"/>
                <v:textbox>
                  <w:txbxContent>
                    <w:p w14:paraId="6ADA7292">
                      <w:pPr>
                        <w:rPr>
                          <w:sz w:val="24"/>
                        </w:rPr>
                      </w:pPr>
                      <w:r>
                        <w:rPr>
                          <w:rFonts w:hint="eastAsia" w:eastAsia="宋体"/>
                          <w:sz w:val="24"/>
                        </w:rPr>
                        <w:t>项目所在地</w:t>
                      </w:r>
                    </w:p>
                  </w:txbxContent>
                </v:textbox>
              </v:shape>
            </w:pict>
          </mc:Fallback>
        </mc:AlternateContent>
      </w:r>
      <w:r>
        <w:rPr>
          <w:color w:val="auto"/>
          <w:highlight w:val="none"/>
        </w:rPr>
        <mc:AlternateContent>
          <mc:Choice Requires="wps">
            <w:drawing>
              <wp:anchor distT="0" distB="0" distL="114300" distR="114300" simplePos="0" relativeHeight="251789312" behindDoc="0" locked="0" layoutInCell="1" allowOverlap="1">
                <wp:simplePos x="0" y="0"/>
                <wp:positionH relativeFrom="column">
                  <wp:posOffset>2770505</wp:posOffset>
                </wp:positionH>
                <wp:positionV relativeFrom="paragraph">
                  <wp:posOffset>3463290</wp:posOffset>
                </wp:positionV>
                <wp:extent cx="89535" cy="102235"/>
                <wp:effectExtent l="4445" t="4445" r="20320" b="7620"/>
                <wp:wrapNone/>
                <wp:docPr id="106" name="椭圆 74"/>
                <wp:cNvGraphicFramePr/>
                <a:graphic xmlns:a="http://schemas.openxmlformats.org/drawingml/2006/main">
                  <a:graphicData uri="http://schemas.microsoft.com/office/word/2010/wordprocessingShape">
                    <wps:wsp>
                      <wps:cNvSpPr/>
                      <wps:spPr>
                        <a:xfrm>
                          <a:off x="0" y="0"/>
                          <a:ext cx="89535" cy="102235"/>
                        </a:xfrm>
                        <a:prstGeom prst="ellipse">
                          <a:avLst/>
                        </a:prstGeom>
                        <a:solidFill>
                          <a:srgbClr val="FF0000"/>
                        </a:solidFill>
                        <a:ln w="9525" cap="flat" cmpd="sng">
                          <a:solidFill>
                            <a:srgbClr val="000000"/>
                          </a:solidFill>
                          <a:prstDash val="solid"/>
                          <a:headEnd type="none" w="med" len="med"/>
                          <a:tailEnd type="none" w="med" len="med"/>
                        </a:ln>
                      </wps:spPr>
                      <wps:bodyPr vert="horz" wrap="square" anchor="t" anchorCtr="0" upright="1"/>
                    </wps:wsp>
                  </a:graphicData>
                </a:graphic>
              </wp:anchor>
            </w:drawing>
          </mc:Choice>
          <mc:Fallback>
            <w:pict>
              <v:shape id="椭圆 74" o:spid="_x0000_s1026" o:spt="3" type="#_x0000_t3" style="position:absolute;left:0pt;margin-left:218.15pt;margin-top:272.7pt;height:8.05pt;width:7.05pt;z-index:251789312;mso-width-relative:page;mso-height-relative:page;" fillcolor="#FF0000" filled="t" stroked="t" coordsize="21600,21600" o:gfxdata="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KtI+QnYAAAACwEAAA8A&#10;AAAAAAAAAQAgAAAAIgAAAGRycy9kb3ducmV2LnhtbFBLAQIUABQAAAAIAIdO4kBbrVgxFwIAAEsE&#10;AAAOAAAAAAAAAAEAIAAAACcBAABkcnMvZTJvRG9jLnhtbFBLBQYAAAAABgAGAFkBAACwBQAAAAA=&#10;">
                <v:fill on="t" focussize="0,0"/>
                <v:stroke color="#000000" joinstyle="round"/>
                <v:imagedata o:title=""/>
                <o:lock v:ext="edit" aspectratio="f"/>
              </v:shape>
            </w:pict>
          </mc:Fallback>
        </mc:AlternateContent>
      </w:r>
      <w:r>
        <w:rPr>
          <w:rFonts w:hint="default"/>
          <w:b/>
          <w:bCs/>
          <w:color w:val="auto"/>
          <w:sz w:val="36"/>
          <w:szCs w:val="36"/>
          <w:highlight w:val="none"/>
          <w:lang w:val="en-US" w:eastAsia="zh-CN"/>
        </w:rPr>
        <w:drawing>
          <wp:anchor distT="0" distB="0" distL="114300" distR="114300" simplePos="0" relativeHeight="251788288" behindDoc="0" locked="0" layoutInCell="1" allowOverlap="1">
            <wp:simplePos x="0" y="0"/>
            <wp:positionH relativeFrom="column">
              <wp:posOffset>1327150</wp:posOffset>
            </wp:positionH>
            <wp:positionV relativeFrom="paragraph">
              <wp:posOffset>2421255</wp:posOffset>
            </wp:positionV>
            <wp:extent cx="2289175" cy="1799590"/>
            <wp:effectExtent l="9525" t="9525" r="25400" b="19685"/>
            <wp:wrapNone/>
            <wp:docPr id="105" name="图片 105" descr="c7e33771-1773-4091-8dc3-c4a4c7fa3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c7e33771-1773-4091-8dc3-c4a4c7fa3732"/>
                    <pic:cNvPicPr>
                      <a:picLocks noChangeAspect="1"/>
                    </pic:cNvPicPr>
                  </pic:nvPicPr>
                  <pic:blipFill>
                    <a:blip r:embed="rId25"/>
                    <a:stretch>
                      <a:fillRect/>
                    </a:stretch>
                  </pic:blipFill>
                  <pic:spPr>
                    <a:xfrm>
                      <a:off x="0" y="0"/>
                      <a:ext cx="2289175" cy="1799590"/>
                    </a:xfrm>
                    <a:prstGeom prst="rect">
                      <a:avLst/>
                    </a:prstGeom>
                    <a:ln>
                      <a:solidFill>
                        <a:schemeClr val="tx1"/>
                      </a:solidFill>
                    </a:ln>
                  </pic:spPr>
                </pic:pic>
              </a:graphicData>
            </a:graphic>
          </wp:anchor>
        </w:drawing>
      </w:r>
      <w:r>
        <w:rPr>
          <w:color w:val="auto"/>
          <w:sz w:val="24"/>
          <w:highlight w:val="none"/>
        </w:rPr>
        <mc:AlternateContent>
          <mc:Choice Requires="wps">
            <w:drawing>
              <wp:anchor distT="0" distB="0" distL="114300" distR="114300" simplePos="0" relativeHeight="251786240" behindDoc="0" locked="0" layoutInCell="1" allowOverlap="1">
                <wp:simplePos x="0" y="0"/>
                <wp:positionH relativeFrom="column">
                  <wp:posOffset>2108200</wp:posOffset>
                </wp:positionH>
                <wp:positionV relativeFrom="paragraph">
                  <wp:posOffset>1505585</wp:posOffset>
                </wp:positionV>
                <wp:extent cx="760730" cy="556260"/>
                <wp:effectExtent l="4445" t="4445" r="15875" b="10795"/>
                <wp:wrapNone/>
                <wp:docPr id="66" name="矩形 66"/>
                <wp:cNvGraphicFramePr/>
                <a:graphic xmlns:a="http://schemas.openxmlformats.org/drawingml/2006/main">
                  <a:graphicData uri="http://schemas.microsoft.com/office/word/2010/wordprocessingShape">
                    <wps:wsp>
                      <wps:cNvSpPr/>
                      <wps:spPr>
                        <a:xfrm>
                          <a:off x="2150745" y="2165985"/>
                          <a:ext cx="760730" cy="556260"/>
                        </a:xfrm>
                        <a:prstGeom prst="rect">
                          <a:avLst/>
                        </a:prstGeom>
                        <a:noFill/>
                        <a:ln w="952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66pt;margin-top:118.55pt;height:43.8pt;width:59.9pt;z-index:251786240;v-text-anchor:middle;mso-width-relative:page;mso-height-relative:page;" filled="f" stroked="t" coordsize="21600,21600" o:gfxdata="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GDvASfaAAAACwEAAA8AAAAAAAAAAQAgAAAAIgAAAGRycy9kb3ducmV2Lnht&#10;bFBLAQIUABQAAAAIAIdO4kDx+PrUaQIAAMAEAAAOAAAAAAAAAAEAIAAAACkBAABkcnMvZTJvRG9j&#10;LnhtbFBLBQYAAAAABgAGAFkBAAAEBgAAAAA=&#10;">
                <v:fill on="f" focussize="0,0"/>
                <v:stroke color="#000000 [3213]" joinstyle="round"/>
                <v:imagedata o:title=""/>
                <o:lock v:ext="edit" aspectratio="f"/>
              </v:rect>
            </w:pict>
          </mc:Fallback>
        </mc:AlternateContent>
      </w:r>
      <w:r>
        <w:rPr>
          <w:rFonts w:hint="default" w:ascii="Times New Roman" w:hAnsi="Times New Roman" w:eastAsia="宋体" w:cs="Times New Roman"/>
          <w:b/>
          <w:color w:val="auto"/>
          <w:szCs w:val="21"/>
          <w:highlight w:val="none"/>
        </w:rPr>
        <w:drawing>
          <wp:anchor distT="0" distB="0" distL="114300" distR="114300" simplePos="0" relativeHeight="251669504" behindDoc="0" locked="0" layoutInCell="1" allowOverlap="1">
            <wp:simplePos x="0" y="0"/>
            <wp:positionH relativeFrom="column">
              <wp:posOffset>7941945</wp:posOffset>
            </wp:positionH>
            <wp:positionV relativeFrom="paragraph">
              <wp:posOffset>67945</wp:posOffset>
            </wp:positionV>
            <wp:extent cx="752475" cy="1006475"/>
            <wp:effectExtent l="0" t="0" r="0" b="0"/>
            <wp:wrapNone/>
            <wp:docPr id="49"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16.png"/>
                    <pic:cNvPicPr>
                      <a:picLocks noChangeAspect="1"/>
                    </pic:cNvPicPr>
                  </pic:nvPicPr>
                  <pic:blipFill>
                    <a:blip r:embed="rId17"/>
                    <a:stretch>
                      <a:fillRect/>
                    </a:stretch>
                  </pic:blipFill>
                  <pic:spPr>
                    <a:xfrm>
                      <a:off x="0" y="0"/>
                      <a:ext cx="752475" cy="1006475"/>
                    </a:xfrm>
                    <a:prstGeom prst="rect">
                      <a:avLst/>
                    </a:prstGeom>
                    <a:noFill/>
                    <a:ln>
                      <a:noFill/>
                    </a:ln>
                  </pic:spPr>
                </pic:pic>
              </a:graphicData>
            </a:graphic>
          </wp:anchor>
        </w:drawing>
      </w:r>
      <w:r>
        <w:rPr>
          <w:color w:val="auto"/>
          <w:highlight w:val="none"/>
        </w:rPr>
        <w:drawing>
          <wp:inline distT="0" distB="0" distL="114300" distR="114300">
            <wp:extent cx="7060565" cy="4875530"/>
            <wp:effectExtent l="0" t="0" r="6985" b="1270"/>
            <wp:docPr id="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3"/>
                    <pic:cNvPicPr>
                      <a:picLocks noChangeAspect="1"/>
                    </pic:cNvPicPr>
                  </pic:nvPicPr>
                  <pic:blipFill>
                    <a:blip r:embed="rId26"/>
                    <a:stretch>
                      <a:fillRect/>
                    </a:stretch>
                  </pic:blipFill>
                  <pic:spPr>
                    <a:xfrm>
                      <a:off x="0" y="0"/>
                      <a:ext cx="7060565" cy="4875530"/>
                    </a:xfrm>
                    <a:prstGeom prst="rect">
                      <a:avLst/>
                    </a:prstGeom>
                    <a:noFill/>
                    <a:ln>
                      <a:noFill/>
                    </a:ln>
                  </pic:spPr>
                </pic:pic>
              </a:graphicData>
            </a:graphic>
          </wp:inline>
        </w:drawing>
      </w:r>
    </w:p>
    <w:p w14:paraId="67571EBA">
      <w:pPr>
        <w:shd w:val="clear"/>
        <w:bidi w:val="0"/>
        <w:jc w:val="center"/>
        <w:rPr>
          <w:rFonts w:ascii="宋体" w:hAnsi="宋体" w:eastAsia="宋体" w:cs="宋体"/>
          <w:color w:val="auto"/>
          <w:sz w:val="24"/>
          <w:szCs w:val="24"/>
          <w:highlight w:val="none"/>
        </w:rPr>
      </w:pPr>
      <w:r>
        <w:rPr>
          <w:rFonts w:hint="default"/>
          <w:b/>
          <w:bCs/>
          <w:color w:val="auto"/>
          <w:sz w:val="36"/>
          <w:szCs w:val="36"/>
          <w:highlight w:val="none"/>
          <w:lang w:val="en-US" w:eastAsia="zh-CN"/>
        </w:rPr>
        <w:t>附图2项目地理位置图</w:t>
      </w:r>
    </w:p>
    <w:p w14:paraId="011D3832">
      <w:pPr>
        <w:shd w:val="clear"/>
        <w:rPr>
          <w:rFonts w:hint="default" w:ascii="宋体" w:hAnsi="宋体" w:eastAsia="宋体" w:cs="宋体"/>
          <w:color w:val="auto"/>
          <w:sz w:val="24"/>
          <w:szCs w:val="24"/>
          <w:highlight w:val="none"/>
        </w:rPr>
        <w:sectPr>
          <w:pgSz w:w="16838" w:h="11906" w:orient="landscape"/>
          <w:pgMar w:top="1531" w:right="1701" w:bottom="1531" w:left="1701" w:header="851" w:footer="851" w:gutter="0"/>
          <w:pgNumType w:fmt="decimal"/>
          <w:cols w:space="720" w:num="1"/>
          <w:docGrid w:linePitch="312" w:charSpace="0"/>
        </w:sectPr>
      </w:pPr>
    </w:p>
    <w:p w14:paraId="645C7E17">
      <w:pPr>
        <w:pStyle w:val="40"/>
        <w:keepNext w:val="0"/>
        <w:keepLines w:val="0"/>
        <w:pageBreakBefore w:val="0"/>
        <w:widowControl w:val="0"/>
        <w:shd w:val="clear"/>
        <w:kinsoku/>
        <w:wordWrap w:val="0"/>
        <w:overflowPunct w:val="0"/>
        <w:topLinePunct/>
        <w:autoSpaceDE w:val="0"/>
        <w:autoSpaceDN w:val="0"/>
        <w:bidi w:val="0"/>
        <w:adjustRightInd w:val="0"/>
        <w:snapToGrid/>
        <w:jc w:val="both"/>
        <w:textAlignment w:val="auto"/>
        <w:rPr>
          <w:rFonts w:hint="default" w:ascii="Times New Roman" w:hAnsi="Times New Roman" w:eastAsia="宋体" w:cs="Times New Roman"/>
          <w:color w:val="auto"/>
          <w:highlight w:val="none"/>
          <w:lang w:eastAsia="zh-CN"/>
        </w:rPr>
      </w:pPr>
      <w:r>
        <w:rPr>
          <w:color w:val="auto"/>
          <w:sz w:val="24"/>
          <w:highlight w:val="none"/>
        </w:rPr>
        <mc:AlternateContent>
          <mc:Choice Requires="wps">
            <w:drawing>
              <wp:anchor distT="0" distB="0" distL="114300" distR="114300" simplePos="0" relativeHeight="251791360" behindDoc="0" locked="0" layoutInCell="1" allowOverlap="1">
                <wp:simplePos x="0" y="0"/>
                <wp:positionH relativeFrom="column">
                  <wp:posOffset>7350125</wp:posOffset>
                </wp:positionH>
                <wp:positionV relativeFrom="paragraph">
                  <wp:posOffset>4370705</wp:posOffset>
                </wp:positionV>
                <wp:extent cx="857250" cy="434975"/>
                <wp:effectExtent l="0" t="0" r="0" b="0"/>
                <wp:wrapNone/>
                <wp:docPr id="109" name="文本框 109"/>
                <wp:cNvGraphicFramePr/>
                <a:graphic xmlns:a="http://schemas.openxmlformats.org/drawingml/2006/main">
                  <a:graphicData uri="http://schemas.microsoft.com/office/word/2010/wordprocessingShape">
                    <wps:wsp>
                      <wps:cNvSpPr txBox="1"/>
                      <wps:spPr>
                        <a:xfrm>
                          <a:off x="0" y="0"/>
                          <a:ext cx="857250" cy="4349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4DA8FD6">
                            <w:pPr>
                              <w:rPr>
                                <w:rFonts w:hint="default" w:eastAsia="宋体"/>
                                <w:sz w:val="18"/>
                                <w:szCs w:val="18"/>
                                <w:lang w:val="en-US" w:eastAsia="zh-CN"/>
                              </w:rPr>
                            </w:pPr>
                            <w:r>
                              <w:rPr>
                                <w:rFonts w:hint="eastAsia"/>
                                <w:sz w:val="21"/>
                                <w:szCs w:val="21"/>
                                <w:lang w:val="en-US" w:eastAsia="zh-CN"/>
                              </w:rPr>
                              <w:t>项目所在建筑物</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78.75pt;margin-top:344.15pt;height:34.25pt;width:67.5pt;z-index:251791360;mso-width-relative:page;mso-height-relative:page;" filled="f" stroked="f" coordsize="21600,21600" o:gfxdata="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D9yQTm3AAAAA0BAAAPAAAAAAAAAAEAIAAAACIAAABk&#10;cnMvZG93bnJldi54bWxQSwECFAAUAAAACACHTuJAkbeSozsCAABpBAAADgAAAAAAAAABACAAAAAr&#10;AQAAZHJzL2Uyb0RvYy54bWxQSwUGAAAAAAYABgBZAQAA2AUAAAAA&#10;">
                <v:fill on="f" focussize="0,0"/>
                <v:stroke on="f" weight="0.5pt"/>
                <v:imagedata o:title=""/>
                <o:lock v:ext="edit" aspectratio="f"/>
                <v:textbox>
                  <w:txbxContent>
                    <w:p w14:paraId="34DA8FD6">
                      <w:pPr>
                        <w:rPr>
                          <w:rFonts w:hint="default" w:eastAsia="宋体"/>
                          <w:sz w:val="18"/>
                          <w:szCs w:val="18"/>
                          <w:lang w:val="en-US" w:eastAsia="zh-CN"/>
                        </w:rPr>
                      </w:pPr>
                      <w:r>
                        <w:rPr>
                          <w:rFonts w:hint="eastAsia"/>
                          <w:sz w:val="21"/>
                          <w:szCs w:val="21"/>
                          <w:lang w:val="en-US" w:eastAsia="zh-CN"/>
                        </w:rPr>
                        <w:t>项目所在建筑物</w:t>
                      </w:r>
                    </w:p>
                  </w:txbxContent>
                </v:textbox>
              </v:shape>
            </w:pict>
          </mc:Fallback>
        </mc:AlternateContent>
      </w:r>
      <w:r>
        <w:rPr>
          <w:color w:val="auto"/>
          <w:sz w:val="24"/>
          <w:highlight w:val="none"/>
        </w:rPr>
        <mc:AlternateContent>
          <mc:Choice Requires="wps">
            <w:drawing>
              <wp:anchor distT="0" distB="0" distL="114300" distR="114300" simplePos="0" relativeHeight="251736064" behindDoc="0" locked="0" layoutInCell="1" allowOverlap="1">
                <wp:simplePos x="0" y="0"/>
                <wp:positionH relativeFrom="column">
                  <wp:posOffset>7029450</wp:posOffset>
                </wp:positionH>
                <wp:positionV relativeFrom="paragraph">
                  <wp:posOffset>4899025</wp:posOffset>
                </wp:positionV>
                <wp:extent cx="368300" cy="189230"/>
                <wp:effectExtent l="9525" t="9525" r="22225" b="10795"/>
                <wp:wrapNone/>
                <wp:docPr id="39" name="矩形 39"/>
                <wp:cNvGraphicFramePr/>
                <a:graphic xmlns:a="http://schemas.openxmlformats.org/drawingml/2006/main">
                  <a:graphicData uri="http://schemas.microsoft.com/office/word/2010/wordprocessingShape">
                    <wps:wsp>
                      <wps:cNvSpPr/>
                      <wps:spPr>
                        <a:xfrm>
                          <a:off x="0" y="0"/>
                          <a:ext cx="368300" cy="189230"/>
                        </a:xfrm>
                        <a:prstGeom prst="rect">
                          <a:avLst/>
                        </a:prstGeom>
                        <a:noFill/>
                        <a:ln w="19050">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53.5pt;margin-top:385.75pt;height:14.9pt;width:29pt;z-index:251736064;v-text-anchor:middle;mso-width-relative:page;mso-height-relative:page;" filled="f" stroked="t" coordsize="21600,21600" o:gfxdata="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JXd4wLaAAAADQEAAA8AAAAAAAAAAQAgAAAAIgAAAGRycy9kb3ducmV2LnhtbFBLAQIUABQAAAAI&#10;AIdO4kD7V8ZUXQIAALUEAAAOAAAAAAAAAAEAIAAAACkBAABkcnMvZTJvRG9jLnhtbFBLBQYAAAAA&#10;BgAGAFkBAAD4BQAAAAA=&#10;">
                <v:fill on="f" focussize="0,0"/>
                <v:stroke weight="1.5pt" color="#FFFF00 [2404]" joinstyle="round"/>
                <v:imagedata o:title=""/>
                <o:lock v:ext="edit" aspectratio="f"/>
              </v:rect>
            </w:pict>
          </mc:Fallback>
        </mc:AlternateContent>
      </w:r>
      <w:r>
        <w:rPr>
          <w:color w:val="auto"/>
          <w:sz w:val="24"/>
          <w:highlight w:val="none"/>
        </w:rPr>
        <mc:AlternateContent>
          <mc:Choice Requires="wps">
            <w:drawing>
              <wp:anchor distT="0" distB="0" distL="114300" distR="114300" simplePos="0" relativeHeight="251735040" behindDoc="0" locked="0" layoutInCell="1" allowOverlap="1">
                <wp:simplePos x="0" y="0"/>
                <wp:positionH relativeFrom="column">
                  <wp:posOffset>7035800</wp:posOffset>
                </wp:positionH>
                <wp:positionV relativeFrom="paragraph">
                  <wp:posOffset>4509135</wp:posOffset>
                </wp:positionV>
                <wp:extent cx="368935" cy="203200"/>
                <wp:effectExtent l="9525" t="9525" r="21590" b="15875"/>
                <wp:wrapNone/>
                <wp:docPr id="33" name="矩形 33"/>
                <wp:cNvGraphicFramePr/>
                <a:graphic xmlns:a="http://schemas.openxmlformats.org/drawingml/2006/main">
                  <a:graphicData uri="http://schemas.microsoft.com/office/word/2010/wordprocessingShape">
                    <wps:wsp>
                      <wps:cNvSpPr/>
                      <wps:spPr>
                        <a:xfrm>
                          <a:off x="0" y="0"/>
                          <a:ext cx="368935" cy="203200"/>
                        </a:xfrm>
                        <a:prstGeom prst="rect">
                          <a:avLst/>
                        </a:prstGeom>
                        <a:noFill/>
                        <a:ln w="1905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54pt;margin-top:355.05pt;height:16pt;width:29.05pt;z-index:251735040;v-text-anchor:middle;mso-width-relative:page;mso-height-relative:page;" filled="f" stroked="t" coordsize="21600,21600" o:gfxdata="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DXe7mrbAAAADQEAAA8AAAAAAAAAAQAgAAAAIgAAAGRycy9kb3ducmV2LnhtbFBLAQIUABQAAAAI&#10;AIdO4kD24r6dXAIAALUEAAAOAAAAAAAAAAEAIAAAACoBAABkcnMvZTJvRG9jLnhtbFBLBQYAAAAA&#10;BgAGAFkBAAD4BQAAAAA=&#10;">
                <v:fill on="f" focussize="0,0"/>
                <v:stroke weight="1.5pt" color="#000000 [3213]" joinstyle="round"/>
                <v:imagedata o:title=""/>
                <o:lock v:ext="edit" aspectratio="f"/>
              </v:rect>
            </w:pict>
          </mc:Fallback>
        </mc:AlternateContent>
      </w:r>
      <w:r>
        <w:rPr>
          <w:color w:val="auto"/>
          <w:sz w:val="24"/>
          <w:highlight w:val="none"/>
        </w:rPr>
        <mc:AlternateContent>
          <mc:Choice Requires="wps">
            <w:drawing>
              <wp:anchor distT="0" distB="0" distL="114300" distR="114300" simplePos="0" relativeHeight="251738112" behindDoc="0" locked="0" layoutInCell="1" allowOverlap="1">
                <wp:simplePos x="0" y="0"/>
                <wp:positionH relativeFrom="column">
                  <wp:posOffset>7388860</wp:posOffset>
                </wp:positionH>
                <wp:positionV relativeFrom="paragraph">
                  <wp:posOffset>4802505</wp:posOffset>
                </wp:positionV>
                <wp:extent cx="762635" cy="511810"/>
                <wp:effectExtent l="0" t="0" r="0" b="0"/>
                <wp:wrapNone/>
                <wp:docPr id="58" name="文本框 58"/>
                <wp:cNvGraphicFramePr/>
                <a:graphic xmlns:a="http://schemas.openxmlformats.org/drawingml/2006/main">
                  <a:graphicData uri="http://schemas.microsoft.com/office/word/2010/wordprocessingShape">
                    <wps:wsp>
                      <wps:cNvSpPr txBox="1"/>
                      <wps:spPr>
                        <a:xfrm>
                          <a:off x="8653145" y="5647690"/>
                          <a:ext cx="762635" cy="51181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3530C32">
                            <w:pPr>
                              <w:rPr>
                                <w:rFonts w:hint="default" w:eastAsia="宋体"/>
                                <w:sz w:val="24"/>
                                <w:szCs w:val="24"/>
                                <w:lang w:val="en-US" w:eastAsia="zh-CN"/>
                              </w:rPr>
                            </w:pPr>
                            <w:r>
                              <w:rPr>
                                <w:rFonts w:hint="eastAsia"/>
                                <w:sz w:val="24"/>
                                <w:szCs w:val="24"/>
                                <w:lang w:val="en-US" w:eastAsia="zh-CN"/>
                              </w:rPr>
                              <w:t>项目位置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81.8pt;margin-top:378.15pt;height:40.3pt;width:60.05pt;z-index:251738112;mso-width-relative:page;mso-height-relative:page;" filled="f" stroked="f" coordsize="21600,21600" o:gfxdata="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ZOWlyN0AAAANAQAADwAAAAAA&#10;AAABACAAAAAiAAAAZHJzL2Rvd25yZXYueG1sUEsBAhQAFAAAAAgAh07iQJapc/pHAgAAcwQAAA4A&#10;AAAAAAAAAQAgAAAALAEAAGRycy9lMm9Eb2MueG1sUEsFBgAAAAAGAAYAWQEAAOUFAAAAAA==&#10;">
                <v:fill on="f" focussize="0,0"/>
                <v:stroke on="f" weight="0.5pt"/>
                <v:imagedata o:title=""/>
                <o:lock v:ext="edit" aspectratio="f"/>
                <v:textbox>
                  <w:txbxContent>
                    <w:p w14:paraId="43530C32">
                      <w:pPr>
                        <w:rPr>
                          <w:rFonts w:hint="default" w:eastAsia="宋体"/>
                          <w:sz w:val="24"/>
                          <w:szCs w:val="24"/>
                          <w:lang w:val="en-US" w:eastAsia="zh-CN"/>
                        </w:rPr>
                      </w:pPr>
                      <w:r>
                        <w:rPr>
                          <w:rFonts w:hint="eastAsia"/>
                          <w:sz w:val="24"/>
                          <w:szCs w:val="24"/>
                          <w:lang w:val="en-US" w:eastAsia="zh-CN"/>
                        </w:rPr>
                        <w:t>项目位置</w:t>
                      </w:r>
                    </w:p>
                  </w:txbxContent>
                </v:textbox>
              </v:shape>
            </w:pict>
          </mc:Fallback>
        </mc:AlternateContent>
      </w:r>
      <w:r>
        <w:rPr>
          <w:color w:val="auto"/>
          <w:sz w:val="24"/>
          <w:highlight w:val="none"/>
        </w:rPr>
        <mc:AlternateContent>
          <mc:Choice Requires="wps">
            <w:drawing>
              <wp:anchor distT="0" distB="0" distL="114300" distR="114300" simplePos="0" relativeHeight="251737088" behindDoc="0" locked="0" layoutInCell="1" allowOverlap="1">
                <wp:simplePos x="0" y="0"/>
                <wp:positionH relativeFrom="column">
                  <wp:posOffset>6971665</wp:posOffset>
                </wp:positionH>
                <wp:positionV relativeFrom="paragraph">
                  <wp:posOffset>4076700</wp:posOffset>
                </wp:positionV>
                <wp:extent cx="523875" cy="297815"/>
                <wp:effectExtent l="0" t="0" r="0" b="0"/>
                <wp:wrapNone/>
                <wp:docPr id="40" name="文本框 40"/>
                <wp:cNvGraphicFramePr/>
                <a:graphic xmlns:a="http://schemas.openxmlformats.org/drawingml/2006/main">
                  <a:graphicData uri="http://schemas.microsoft.com/office/word/2010/wordprocessingShape">
                    <wps:wsp>
                      <wps:cNvSpPr txBox="1"/>
                      <wps:spPr>
                        <a:xfrm>
                          <a:off x="8152765" y="4778375"/>
                          <a:ext cx="523875" cy="2978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672A1C7">
                            <w:pPr>
                              <w:rPr>
                                <w:rFonts w:hint="eastAsia" w:eastAsia="宋体"/>
                                <w:sz w:val="24"/>
                                <w:szCs w:val="24"/>
                                <w:lang w:val="en-US" w:eastAsia="zh-CN"/>
                              </w:rPr>
                            </w:pPr>
                            <w:r>
                              <w:rPr>
                                <w:rFonts w:hint="eastAsia"/>
                                <w:sz w:val="24"/>
                                <w:szCs w:val="24"/>
                                <w:lang w:val="en-US" w:eastAsia="zh-CN"/>
                              </w:rPr>
                              <w:t>图例</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48.95pt;margin-top:321pt;height:23.45pt;width:41.25pt;z-index:251737088;mso-width-relative:page;mso-height-relative:page;" filled="f" stroked="f" coordsize="21600,21600" o:gfxdata="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P5BXOrcAAAADQEAAA8AAAAAAAAA&#10;AQAgAAAAIgAAAGRycy9kb3ducmV2LnhtbFBLAQIUABQAAAAIAIdO4kCCCCmXRgIAAHMEAAAOAAAA&#10;AAAAAAEAIAAAACsBAABkcnMvZTJvRG9jLnhtbFBLBQYAAAAABgAGAFkBAADjBQAAAAA=&#10;">
                <v:fill on="f" focussize="0,0"/>
                <v:stroke on="f" weight="0.5pt"/>
                <v:imagedata o:title=""/>
                <o:lock v:ext="edit" aspectratio="f"/>
                <v:textbox>
                  <w:txbxContent>
                    <w:p w14:paraId="7672A1C7">
                      <w:pPr>
                        <w:rPr>
                          <w:rFonts w:hint="eastAsia" w:eastAsia="宋体"/>
                          <w:sz w:val="24"/>
                          <w:szCs w:val="24"/>
                          <w:lang w:val="en-US" w:eastAsia="zh-CN"/>
                        </w:rPr>
                      </w:pPr>
                      <w:r>
                        <w:rPr>
                          <w:rFonts w:hint="eastAsia"/>
                          <w:sz w:val="24"/>
                          <w:szCs w:val="24"/>
                          <w:lang w:val="en-US" w:eastAsia="zh-CN"/>
                        </w:rPr>
                        <w:t>图例</w:t>
                      </w:r>
                    </w:p>
                  </w:txbxContent>
                </v:textbox>
              </v:shape>
            </w:pict>
          </mc:Fallback>
        </mc:AlternateContent>
      </w:r>
      <w:r>
        <w:rPr>
          <w:color w:val="auto"/>
          <w:sz w:val="24"/>
          <w:highlight w:val="none"/>
        </w:rPr>
        <mc:AlternateContent>
          <mc:Choice Requires="wps">
            <w:drawing>
              <wp:anchor distT="0" distB="0" distL="114300" distR="114300" simplePos="0" relativeHeight="251734016" behindDoc="0" locked="0" layoutInCell="1" allowOverlap="1">
                <wp:simplePos x="0" y="0"/>
                <wp:positionH relativeFrom="column">
                  <wp:posOffset>6957695</wp:posOffset>
                </wp:positionH>
                <wp:positionV relativeFrom="paragraph">
                  <wp:posOffset>3980815</wp:posOffset>
                </wp:positionV>
                <wp:extent cx="1142365" cy="1322070"/>
                <wp:effectExtent l="6350" t="6350" r="13335" b="24130"/>
                <wp:wrapNone/>
                <wp:docPr id="28" name="矩形 28"/>
                <wp:cNvGraphicFramePr/>
                <a:graphic xmlns:a="http://schemas.openxmlformats.org/drawingml/2006/main">
                  <a:graphicData uri="http://schemas.microsoft.com/office/word/2010/wordprocessingShape">
                    <wps:wsp>
                      <wps:cNvSpPr/>
                      <wps:spPr>
                        <a:xfrm>
                          <a:off x="8067040" y="4623435"/>
                          <a:ext cx="1142365" cy="1322070"/>
                        </a:xfrm>
                        <a:prstGeom prst="rect">
                          <a:avLst/>
                        </a:prstGeom>
                        <a:noFill/>
                        <a:ln w="1270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47.85pt;margin-top:313.45pt;height:104.1pt;width:89.95pt;z-index:251734016;v-text-anchor:middle;mso-width-relative:page;mso-height-relative:page;" filled="f" stroked="t" coordsize="21600,21600" o:gfxdata="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BcDspF2wAAAA0BAAAPAAAAAAAAAAEAIAAAACIAAABkcnMvZG93bnJl&#10;di54bWxQSwECFAAUAAAACACHTuJAGbii7GwCAADDBAAADgAAAAAAAAABACAAAAAqAQAAZHJzL2Uy&#10;b0RvYy54bWxQSwUGAAAAAAYABgBZAQAACAYAAAAA&#10;">
                <v:fill on="f" focussize="0,0"/>
                <v:stroke weight="1pt" color="#000000 [3213]" joinstyle="round"/>
                <v:imagedata o:title=""/>
                <o:lock v:ext="edit" aspectratio="f"/>
              </v:rect>
            </w:pict>
          </mc:Fallback>
        </mc:AlternateContent>
      </w:r>
      <w:r>
        <w:rPr>
          <w:color w:val="auto"/>
          <w:sz w:val="24"/>
          <w:highlight w:val="none"/>
        </w:rPr>
        <mc:AlternateContent>
          <mc:Choice Requires="wps">
            <w:drawing>
              <wp:anchor distT="0" distB="0" distL="114300" distR="114300" simplePos="0" relativeHeight="251732992" behindDoc="0" locked="0" layoutInCell="1" allowOverlap="1">
                <wp:simplePos x="0" y="0"/>
                <wp:positionH relativeFrom="column">
                  <wp:posOffset>5045710</wp:posOffset>
                </wp:positionH>
                <wp:positionV relativeFrom="paragraph">
                  <wp:posOffset>3801110</wp:posOffset>
                </wp:positionV>
                <wp:extent cx="182245" cy="167640"/>
                <wp:effectExtent l="6350" t="6350" r="20955" b="16510"/>
                <wp:wrapNone/>
                <wp:docPr id="25" name="任意多边形 25"/>
                <wp:cNvGraphicFramePr/>
                <a:graphic xmlns:a="http://schemas.openxmlformats.org/drawingml/2006/main">
                  <a:graphicData uri="http://schemas.microsoft.com/office/word/2010/wordprocessingShape">
                    <wps:wsp>
                      <wps:cNvSpPr/>
                      <wps:spPr>
                        <a:xfrm>
                          <a:off x="0" y="0"/>
                          <a:ext cx="182245" cy="167640"/>
                        </a:xfrm>
                        <a:custGeom>
                          <a:avLst/>
                          <a:gdLst>
                            <a:gd name="connisteX0" fmla="*/ 0 w 1417955"/>
                            <a:gd name="connsiteY0" fmla="*/ 0 h 941070"/>
                            <a:gd name="connisteX1" fmla="*/ 0 w 1417955"/>
                            <a:gd name="connsiteY1" fmla="*/ 486410 h 941070"/>
                            <a:gd name="connisteX2" fmla="*/ 1143000 w 1417955"/>
                            <a:gd name="connsiteY2" fmla="*/ 941070 h 941070"/>
                            <a:gd name="connisteX3" fmla="*/ 1311910 w 1417955"/>
                            <a:gd name="connsiteY3" fmla="*/ 930910 h 941070"/>
                            <a:gd name="connisteX4" fmla="*/ 1397000 w 1417955"/>
                            <a:gd name="connsiteY4" fmla="*/ 814070 h 941070"/>
                            <a:gd name="connisteX5" fmla="*/ 1417955 w 1417955"/>
                            <a:gd name="connsiteY5" fmla="*/ 73660 h 941070"/>
                            <a:gd name="connisteX6" fmla="*/ 0 w 1417955"/>
                            <a:gd name="connsiteY6" fmla="*/ 0 h 94107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Lst>
                          <a:rect l="l" t="t" r="r" b="b"/>
                          <a:pathLst>
                            <a:path w="1417955" h="941070">
                              <a:moveTo>
                                <a:pt x="0" y="0"/>
                              </a:moveTo>
                              <a:lnTo>
                                <a:pt x="0" y="486410"/>
                              </a:lnTo>
                              <a:lnTo>
                                <a:pt x="1143000" y="941070"/>
                              </a:lnTo>
                              <a:lnTo>
                                <a:pt x="1311910" y="930910"/>
                              </a:lnTo>
                              <a:lnTo>
                                <a:pt x="1397000" y="814070"/>
                              </a:lnTo>
                              <a:lnTo>
                                <a:pt x="1417955" y="73660"/>
                              </a:lnTo>
                              <a:lnTo>
                                <a:pt x="0" y="0"/>
                              </a:lnTo>
                              <a:close/>
                            </a:path>
                          </a:pathLst>
                        </a:custGeom>
                        <a:noFill/>
                        <a:ln w="12700">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397.3pt;margin-top:299.3pt;height:13.2pt;width:14.35pt;z-index:251732992;mso-width-relative:page;mso-height-relative:page;" filled="f" stroked="t" coordsize="1417955,941070" o:gfxdata="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" path="m0,0l0,486410,1143000,941070,1311910,930910,1397000,814070,1417955,73660,0,0xe">
                <v:path o:connectlocs="0,0;0,86647;146905,167640;168615,165830;179551,145016;182245,13121;0,0" o:connectangles="0,0,0,0,0,0,0"/>
                <v:fill on="f" focussize="0,0"/>
                <v:stroke weight="1pt" color="#FFFF00 [2404]" joinstyle="round"/>
                <v:imagedata o:title=""/>
                <o:lock v:ext="edit" aspectratio="f"/>
              </v:shape>
            </w:pict>
          </mc:Fallback>
        </mc:AlternateContent>
      </w:r>
      <w:r>
        <w:rPr>
          <w:color w:val="auto"/>
          <w:sz w:val="24"/>
          <w:highlight w:val="none"/>
        </w:rPr>
        <mc:AlternateContent>
          <mc:Choice Requires="wps">
            <w:drawing>
              <wp:anchor distT="0" distB="0" distL="114300" distR="114300" simplePos="0" relativeHeight="251731968" behindDoc="0" locked="0" layoutInCell="1" allowOverlap="1">
                <wp:simplePos x="0" y="0"/>
                <wp:positionH relativeFrom="column">
                  <wp:posOffset>5033010</wp:posOffset>
                </wp:positionH>
                <wp:positionV relativeFrom="paragraph">
                  <wp:posOffset>3691255</wp:posOffset>
                </wp:positionV>
                <wp:extent cx="215900" cy="291465"/>
                <wp:effectExtent l="6350" t="6350" r="6350" b="6985"/>
                <wp:wrapNone/>
                <wp:docPr id="22" name="任意多边形 22"/>
                <wp:cNvGraphicFramePr/>
                <a:graphic xmlns:a="http://schemas.openxmlformats.org/drawingml/2006/main">
                  <a:graphicData uri="http://schemas.microsoft.com/office/word/2010/wordprocessingShape">
                    <wps:wsp>
                      <wps:cNvSpPr/>
                      <wps:spPr>
                        <a:xfrm>
                          <a:off x="0" y="0"/>
                          <a:ext cx="215900" cy="291465"/>
                        </a:xfrm>
                        <a:custGeom>
                          <a:avLst/>
                          <a:gdLst>
                            <a:gd name="connisteX0" fmla="*/ 1079500 w 1449705"/>
                            <a:gd name="connsiteY0" fmla="*/ 1470660 h 1512570"/>
                            <a:gd name="connisteX1" fmla="*/ 1259205 w 1449705"/>
                            <a:gd name="connsiteY1" fmla="*/ 1512570 h 1512570"/>
                            <a:gd name="connisteX2" fmla="*/ 1354455 w 1449705"/>
                            <a:gd name="connsiteY2" fmla="*/ 1470660 h 1512570"/>
                            <a:gd name="connisteX3" fmla="*/ 1397000 w 1449705"/>
                            <a:gd name="connsiteY3" fmla="*/ 1301750 h 1512570"/>
                            <a:gd name="connisteX4" fmla="*/ 1449705 w 1449705"/>
                            <a:gd name="connsiteY4" fmla="*/ 20320 h 1512570"/>
                            <a:gd name="connisteX5" fmla="*/ 0 w 1449705"/>
                            <a:gd name="connsiteY5" fmla="*/ 0 h 1512570"/>
                            <a:gd name="connisteX6" fmla="*/ 0 w 1449705"/>
                            <a:gd name="connsiteY6" fmla="*/ 1047750 h 1512570"/>
                            <a:gd name="connisteX7" fmla="*/ 1079500 w 1449705"/>
                            <a:gd name="connsiteY7" fmla="*/ 1470660 h 151257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Lst>
                          <a:rect l="l" t="t" r="r" b="b"/>
                          <a:pathLst>
                            <a:path w="1449705" h="1512570">
                              <a:moveTo>
                                <a:pt x="1079500" y="1470660"/>
                              </a:moveTo>
                              <a:lnTo>
                                <a:pt x="1259205" y="1512570"/>
                              </a:lnTo>
                              <a:lnTo>
                                <a:pt x="1354455" y="1470660"/>
                              </a:lnTo>
                              <a:lnTo>
                                <a:pt x="1397000" y="1301750"/>
                              </a:lnTo>
                              <a:lnTo>
                                <a:pt x="1449705" y="20320"/>
                              </a:lnTo>
                              <a:lnTo>
                                <a:pt x="0" y="0"/>
                              </a:lnTo>
                              <a:lnTo>
                                <a:pt x="0" y="1047750"/>
                              </a:lnTo>
                              <a:lnTo>
                                <a:pt x="1079500" y="1470660"/>
                              </a:lnTo>
                              <a:close/>
                            </a:path>
                          </a:pathLst>
                        </a:custGeom>
                        <a:noFill/>
                        <a:ln w="1270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396.3pt;margin-top:290.65pt;height:22.95pt;width:17pt;z-index:251731968;mso-width-relative:page;mso-height-relative:page;" filled="f" stroked="t" coordsize="1449705,1512570" o:gfxdata="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" path="m1079500,1470660l1259205,1512570,1354455,1470660,1397000,1301750,1449705,20320,0,0,0,1047750,1079500,1470660xe">
                <v:path o:connectlocs="160766,283389;187529,291465;201714,283389;208050,250840;215900,3915;0,0;0,201896;160766,283389" o:connectangles="0,0,0,0,0,0,0,0"/>
                <v:fill on="f" focussize="0,0"/>
                <v:stroke weight="1pt" color="#000000 [3213]" joinstyle="round"/>
                <v:imagedata o:title=""/>
                <o:lock v:ext="edit" aspectratio="f"/>
              </v:shape>
            </w:pict>
          </mc:Fallback>
        </mc:AlternateContent>
      </w:r>
      <w:r>
        <w:rPr>
          <w:rFonts w:hint="default" w:ascii="Times New Roman" w:hAnsi="Times New Roman" w:cs="Times New Roman"/>
          <w:color w:val="auto"/>
          <w:highlight w:val="none"/>
        </w:rPr>
        <w:drawing>
          <wp:anchor distT="0" distB="0" distL="114300" distR="114300" simplePos="0" relativeHeight="251689984" behindDoc="0" locked="0" layoutInCell="1" allowOverlap="1">
            <wp:simplePos x="0" y="0"/>
            <wp:positionH relativeFrom="column">
              <wp:posOffset>7776845</wp:posOffset>
            </wp:positionH>
            <wp:positionV relativeFrom="paragraph">
              <wp:posOffset>499110</wp:posOffset>
            </wp:positionV>
            <wp:extent cx="654050" cy="875665"/>
            <wp:effectExtent l="0" t="0" r="12700" b="635"/>
            <wp:wrapNone/>
            <wp:docPr id="71"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16.png"/>
                    <pic:cNvPicPr>
                      <a:picLocks noChangeAspect="1"/>
                    </pic:cNvPicPr>
                  </pic:nvPicPr>
                  <pic:blipFill>
                    <a:blip r:embed="rId17"/>
                    <a:stretch>
                      <a:fillRect/>
                    </a:stretch>
                  </pic:blipFill>
                  <pic:spPr>
                    <a:xfrm>
                      <a:off x="0" y="0"/>
                      <a:ext cx="654050" cy="875665"/>
                    </a:xfrm>
                    <a:prstGeom prst="rect">
                      <a:avLst/>
                    </a:prstGeom>
                    <a:noFill/>
                    <a:ln>
                      <a:noFill/>
                    </a:ln>
                  </pic:spPr>
                </pic:pic>
              </a:graphicData>
            </a:graphic>
          </wp:anchor>
        </w:drawing>
      </w:r>
      <w:r>
        <w:rPr>
          <w:rFonts w:hint="default" w:ascii="Times New Roman" w:hAnsi="Times New Roman" w:eastAsia="宋体" w:cs="Times New Roman"/>
          <w:color w:val="auto"/>
          <w:sz w:val="24"/>
          <w:highlight w:val="none"/>
        </w:rPr>
        <w:drawing>
          <wp:inline distT="0" distB="0" distL="114300" distR="114300">
            <wp:extent cx="6768465" cy="5295900"/>
            <wp:effectExtent l="0" t="0" r="13335" b="0"/>
            <wp:docPr id="3" name="图片 3" descr="6d531840-0692-4612-880c-1ec9d7cdd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6d531840-0692-4612-880c-1ec9d7cdd094"/>
                    <pic:cNvPicPr>
                      <a:picLocks noChangeAspect="1"/>
                    </pic:cNvPicPr>
                  </pic:nvPicPr>
                  <pic:blipFill>
                    <a:blip r:embed="rId27"/>
                    <a:stretch>
                      <a:fillRect/>
                    </a:stretch>
                  </pic:blipFill>
                  <pic:spPr>
                    <a:xfrm>
                      <a:off x="0" y="0"/>
                      <a:ext cx="6768465" cy="5295900"/>
                    </a:xfrm>
                    <a:prstGeom prst="rect">
                      <a:avLst/>
                    </a:prstGeom>
                  </pic:spPr>
                </pic:pic>
              </a:graphicData>
            </a:graphic>
          </wp:inline>
        </w:drawing>
      </w:r>
    </w:p>
    <w:p w14:paraId="1DB58702">
      <w:pPr>
        <w:shd w:val="clear"/>
        <w:bidi w:val="0"/>
        <w:jc w:val="center"/>
        <w:rPr>
          <w:rFonts w:hint="default"/>
          <w:b/>
          <w:bCs/>
          <w:color w:val="auto"/>
          <w:sz w:val="36"/>
          <w:szCs w:val="36"/>
          <w:highlight w:val="none"/>
        </w:rPr>
      </w:pPr>
      <w:bookmarkStart w:id="16" w:name="_Toc25818"/>
      <w:bookmarkStart w:id="17" w:name="_Toc12743"/>
      <w:r>
        <w:rPr>
          <w:rFonts w:hint="default"/>
          <w:b/>
          <w:bCs/>
          <w:color w:val="auto"/>
          <w:sz w:val="36"/>
          <w:szCs w:val="36"/>
          <w:highlight w:val="none"/>
          <w:lang w:val="en-US" w:eastAsia="zh-CN"/>
        </w:rPr>
        <w:t>附图3中山市自然资源一图</w:t>
      </w:r>
      <w:r>
        <w:rPr>
          <w:rFonts w:hint="default"/>
          <w:b/>
          <w:bCs/>
          <w:color w:val="auto"/>
          <w:sz w:val="36"/>
          <w:szCs w:val="36"/>
          <w:highlight w:val="none"/>
        </w:rPr>
        <w:t>通</w:t>
      </w:r>
      <w:bookmarkEnd w:id="16"/>
    </w:p>
    <w:p w14:paraId="562BAD82">
      <w:pPr>
        <w:shd w:val="clear"/>
        <w:spacing w:line="219" w:lineRule="auto"/>
        <w:rPr>
          <w:rFonts w:hint="default" w:ascii="Times New Roman" w:hAnsi="Times New Roman" w:eastAsia="宋体" w:cs="Times New Roman"/>
          <w:color w:val="auto"/>
          <w:sz w:val="24"/>
          <w:szCs w:val="24"/>
          <w:highlight w:val="none"/>
        </w:rPr>
        <w:sectPr>
          <w:footerReference r:id="rId11" w:type="default"/>
          <w:pgSz w:w="16839" w:h="11906"/>
          <w:pgMar w:top="1012" w:right="1746" w:bottom="957" w:left="1747" w:header="0" w:footer="694" w:gutter="0"/>
          <w:pgNumType w:fmt="decimal"/>
          <w:cols w:space="720" w:num="1"/>
        </w:sectPr>
      </w:pPr>
    </w:p>
    <w:bookmarkEnd w:id="17"/>
    <w:p w14:paraId="6D2499B2">
      <w:pPr>
        <w:shd w:val="clear"/>
        <w:rPr>
          <w:rFonts w:hint="eastAsia" w:ascii="Times New Roman" w:hAnsi="Times New Roman" w:eastAsia="宋体" w:cs="Times New Roman"/>
          <w:color w:val="auto"/>
          <w:highlight w:val="none"/>
          <w:lang w:eastAsia="zh-CN"/>
        </w:rPr>
      </w:pPr>
      <w:r>
        <w:rPr>
          <w:color w:val="auto"/>
          <w:sz w:val="21"/>
          <w:highlight w:val="none"/>
        </w:rPr>
        <mc:AlternateContent>
          <mc:Choice Requires="wps">
            <w:drawing>
              <wp:anchor distT="0" distB="0" distL="114300" distR="114300" simplePos="0" relativeHeight="251782144" behindDoc="0" locked="0" layoutInCell="1" allowOverlap="1">
                <wp:simplePos x="0" y="0"/>
                <wp:positionH relativeFrom="column">
                  <wp:posOffset>3491230</wp:posOffset>
                </wp:positionH>
                <wp:positionV relativeFrom="paragraph">
                  <wp:posOffset>2214245</wp:posOffset>
                </wp:positionV>
                <wp:extent cx="408305" cy="238125"/>
                <wp:effectExtent l="0" t="0" r="0" b="0"/>
                <wp:wrapNone/>
                <wp:docPr id="165" name="文本框 165"/>
                <wp:cNvGraphicFramePr/>
                <a:graphic xmlns:a="http://schemas.openxmlformats.org/drawingml/2006/main">
                  <a:graphicData uri="http://schemas.microsoft.com/office/word/2010/wordprocessingShape">
                    <wps:wsp>
                      <wps:cNvSpPr txBox="1"/>
                      <wps:spPr>
                        <a:xfrm>
                          <a:off x="4227830" y="3371215"/>
                          <a:ext cx="408305" cy="238125"/>
                        </a:xfrm>
                        <a:prstGeom prst="rect">
                          <a:avLst/>
                        </a:prstGeom>
                        <a:noFill/>
                        <a:ln w="6350">
                          <a:solidFill>
                            <a:srgbClr val="000000">
                              <a:alpha val="0"/>
                            </a:srgbClr>
                          </a:solidFill>
                        </a:ln>
                      </wps:spPr>
                      <wps:style>
                        <a:lnRef idx="0">
                          <a:schemeClr val="accent1"/>
                        </a:lnRef>
                        <a:fillRef idx="0">
                          <a:schemeClr val="accent1"/>
                        </a:fillRef>
                        <a:effectRef idx="0">
                          <a:schemeClr val="accent1"/>
                        </a:effectRef>
                        <a:fontRef idx="minor">
                          <a:schemeClr val="dk1"/>
                        </a:fontRef>
                      </wps:style>
                      <wps:txbx>
                        <w:txbxContent>
                          <w:p w14:paraId="71734B39">
                            <w:pPr>
                              <w:rPr>
                                <w:rFonts w:hint="default" w:eastAsia="宋体"/>
                                <w:b/>
                                <w:bCs/>
                                <w:color w:val="376092" w:themeColor="accent1" w:themeShade="BF"/>
                                <w:lang w:val="en-US" w:eastAsia="zh-CN"/>
                              </w:rPr>
                            </w:pPr>
                            <w:r>
                              <w:rPr>
                                <w:rFonts w:hint="eastAsia"/>
                                <w:b/>
                                <w:bCs/>
                                <w:color w:val="376092" w:themeColor="accent1" w:themeShade="BF"/>
                                <w:lang w:val="en-US" w:eastAsia="zh-CN"/>
                              </w:rPr>
                              <w:t>G1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4.9pt;margin-top:174.35pt;height:18.75pt;width:32.15pt;z-index:251782144;mso-width-relative:page;mso-height-relative:page;" filled="f" stroked="t" coordsize="21600,21600" o:gfxdata="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DeXqMs3QAAAAsBAAAPAAAAAAAAAAEAIAAAACIAAABkcnMvZG93bnJldi54&#10;bWxQSwECFAAUAAAACACHTuJAc4iD52cCAAC7BAAADgAAAAAAAAABACAAAAAsAQAAZHJzL2Uyb0Rv&#10;Yy54bWxQSwUGAAAAAAYABgBZAQAABQYAAAAA&#10;">
                <v:fill on="f" focussize="0,0"/>
                <v:stroke weight="0.5pt" color="#000000 [3204]" opacity="0f" joinstyle="round"/>
                <v:imagedata o:title=""/>
                <o:lock v:ext="edit" aspectratio="f"/>
                <v:textbox>
                  <w:txbxContent>
                    <w:p w14:paraId="71734B39">
                      <w:pPr>
                        <w:rPr>
                          <w:rFonts w:hint="default" w:eastAsia="宋体"/>
                          <w:b/>
                          <w:bCs/>
                          <w:color w:val="376092" w:themeColor="accent1" w:themeShade="BF"/>
                          <w:lang w:val="en-US" w:eastAsia="zh-CN"/>
                        </w:rPr>
                      </w:pPr>
                      <w:r>
                        <w:rPr>
                          <w:rFonts w:hint="eastAsia"/>
                          <w:b/>
                          <w:bCs/>
                          <w:color w:val="376092" w:themeColor="accent1" w:themeShade="BF"/>
                          <w:lang w:val="en-US" w:eastAsia="zh-CN"/>
                        </w:rPr>
                        <w:t>G1</w:t>
                      </w:r>
                    </w:p>
                  </w:txbxContent>
                </v:textbox>
              </v:shape>
            </w:pict>
          </mc:Fallback>
        </mc:AlternateContent>
      </w:r>
      <w:r>
        <w:rPr>
          <w:color w:val="auto"/>
          <w:sz w:val="21"/>
          <w:highlight w:val="none"/>
        </w:rPr>
        <mc:AlternateContent>
          <mc:Choice Requires="wps">
            <w:drawing>
              <wp:anchor distT="0" distB="0" distL="114300" distR="114300" simplePos="0" relativeHeight="251780096" behindDoc="0" locked="0" layoutInCell="1" allowOverlap="1">
                <wp:simplePos x="0" y="0"/>
                <wp:positionH relativeFrom="column">
                  <wp:posOffset>3462655</wp:posOffset>
                </wp:positionH>
                <wp:positionV relativeFrom="paragraph">
                  <wp:posOffset>2261870</wp:posOffset>
                </wp:positionV>
                <wp:extent cx="114300" cy="114300"/>
                <wp:effectExtent l="12700" t="12700" r="25400" b="25400"/>
                <wp:wrapNone/>
                <wp:docPr id="159" name="同心圆 159"/>
                <wp:cNvGraphicFramePr/>
                <a:graphic xmlns:a="http://schemas.openxmlformats.org/drawingml/2006/main">
                  <a:graphicData uri="http://schemas.microsoft.com/office/word/2010/wordprocessingShape">
                    <wps:wsp>
                      <wps:cNvSpPr/>
                      <wps:spPr>
                        <a:xfrm>
                          <a:off x="4199255" y="3199765"/>
                          <a:ext cx="114300" cy="114300"/>
                        </a:xfrm>
                        <a:prstGeom prst="donut">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23" type="#_x0000_t23" style="position:absolute;left:0pt;margin-left:272.65pt;margin-top:178.1pt;height:9pt;width:9pt;z-index:251780096;v-text-anchor:middle;mso-width-relative:page;mso-height-relative:page;" fillcolor="#4F81BD [3204]" filled="t" stroked="t" coordsize="21600,21600" o:gfxdata="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" adj="5400">
                <v:fill on="t" focussize="0,0"/>
                <v:stroke weight="2pt" color="#376092 [2404]" joinstyle="round"/>
                <v:imagedata o:title=""/>
                <o:lock v:ext="edit" aspectratio="f"/>
              </v:shape>
            </w:pict>
          </mc:Fallback>
        </mc:AlternateContent>
      </w:r>
      <w:r>
        <w:rPr>
          <w:color w:val="auto"/>
          <w:sz w:val="21"/>
          <w:highlight w:val="none"/>
        </w:rPr>
        <mc:AlternateContent>
          <mc:Choice Requires="wps">
            <w:drawing>
              <wp:anchor distT="0" distB="0" distL="114300" distR="114300" simplePos="0" relativeHeight="251781120" behindDoc="0" locked="0" layoutInCell="1" allowOverlap="1">
                <wp:simplePos x="0" y="0"/>
                <wp:positionH relativeFrom="column">
                  <wp:posOffset>3491230</wp:posOffset>
                </wp:positionH>
                <wp:positionV relativeFrom="paragraph">
                  <wp:posOffset>1404620</wp:posOffset>
                </wp:positionV>
                <wp:extent cx="485775" cy="257175"/>
                <wp:effectExtent l="0" t="0" r="0" b="0"/>
                <wp:wrapNone/>
                <wp:docPr id="162" name="文本框 162"/>
                <wp:cNvGraphicFramePr/>
                <a:graphic xmlns:a="http://schemas.openxmlformats.org/drawingml/2006/main">
                  <a:graphicData uri="http://schemas.microsoft.com/office/word/2010/wordprocessingShape">
                    <wps:wsp>
                      <wps:cNvSpPr txBox="1"/>
                      <wps:spPr>
                        <a:xfrm>
                          <a:off x="4789805" y="2980690"/>
                          <a:ext cx="485775" cy="257175"/>
                        </a:xfrm>
                        <a:prstGeom prst="rect">
                          <a:avLst/>
                        </a:prstGeom>
                        <a:noFill/>
                        <a:ln w="6350">
                          <a:solidFill>
                            <a:srgbClr val="000000">
                              <a:alpha val="0"/>
                            </a:srgbClr>
                          </a:solidFill>
                        </a:ln>
                      </wps:spPr>
                      <wps:style>
                        <a:lnRef idx="0">
                          <a:schemeClr val="accent1"/>
                        </a:lnRef>
                        <a:fillRef idx="0">
                          <a:schemeClr val="accent1"/>
                        </a:fillRef>
                        <a:effectRef idx="0">
                          <a:schemeClr val="accent1"/>
                        </a:effectRef>
                        <a:fontRef idx="minor">
                          <a:schemeClr val="dk1"/>
                        </a:fontRef>
                      </wps:style>
                      <wps:txbx>
                        <w:txbxContent>
                          <w:p w14:paraId="6EB90B4A">
                            <w:pPr>
                              <w:rPr>
                                <w:rFonts w:hint="default" w:eastAsia="宋体"/>
                                <w:b/>
                                <w:bCs/>
                                <w:color w:val="376092" w:themeColor="accent1" w:themeShade="BF"/>
                                <w:lang w:val="en-US" w:eastAsia="zh-CN"/>
                              </w:rPr>
                            </w:pPr>
                            <w:r>
                              <w:rPr>
                                <w:rFonts w:hint="eastAsia"/>
                                <w:b/>
                                <w:bCs/>
                                <w:color w:val="376092" w:themeColor="accent1" w:themeShade="BF"/>
                                <w:lang w:val="en-US" w:eastAsia="zh-CN"/>
                              </w:rPr>
                              <w:t>G2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4.9pt;margin-top:110.6pt;height:20.25pt;width:38.25pt;z-index:251781120;mso-width-relative:page;mso-height-relative:page;" filled="f" stroked="t" coordsize="21600,21600" o:gfxdata="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yZsGsdwAAAALAQAADwAAAAAAAAABACAAAAAiAAAAZHJzL2Rvd25yZXYueG1sUEsB&#10;AhQAFAAAAAgAh07iQPDWFXRjAgAAuwQAAA4AAAAAAAAAAQAgAAAAKwEAAGRycy9lMm9Eb2MueG1s&#10;UEsFBgAAAAAGAAYAWQEAAAAGAAAAAA==&#10;">
                <v:fill on="f" focussize="0,0"/>
                <v:stroke weight="0.5pt" color="#000000 [3204]" opacity="0f" joinstyle="round"/>
                <v:imagedata o:title=""/>
                <o:lock v:ext="edit" aspectratio="f"/>
                <v:textbox>
                  <w:txbxContent>
                    <w:p w14:paraId="6EB90B4A">
                      <w:pPr>
                        <w:rPr>
                          <w:rFonts w:hint="default" w:eastAsia="宋体"/>
                          <w:b/>
                          <w:bCs/>
                          <w:color w:val="376092" w:themeColor="accent1" w:themeShade="BF"/>
                          <w:lang w:val="en-US" w:eastAsia="zh-CN"/>
                        </w:rPr>
                      </w:pPr>
                      <w:r>
                        <w:rPr>
                          <w:rFonts w:hint="eastAsia"/>
                          <w:b/>
                          <w:bCs/>
                          <w:color w:val="376092" w:themeColor="accent1" w:themeShade="BF"/>
                          <w:lang w:val="en-US" w:eastAsia="zh-CN"/>
                        </w:rPr>
                        <w:t>G2</w:t>
                      </w:r>
                    </w:p>
                  </w:txbxContent>
                </v:textbox>
              </v:shape>
            </w:pict>
          </mc:Fallback>
        </mc:AlternateContent>
      </w:r>
      <w:r>
        <w:rPr>
          <w:color w:val="auto"/>
          <w:sz w:val="21"/>
          <w:highlight w:val="none"/>
        </w:rPr>
        <mc:AlternateContent>
          <mc:Choice Requires="wps">
            <w:drawing>
              <wp:anchor distT="0" distB="0" distL="114300" distR="114300" simplePos="0" relativeHeight="251779072" behindDoc="0" locked="0" layoutInCell="1" allowOverlap="1">
                <wp:simplePos x="0" y="0"/>
                <wp:positionH relativeFrom="column">
                  <wp:posOffset>3453130</wp:posOffset>
                </wp:positionH>
                <wp:positionV relativeFrom="paragraph">
                  <wp:posOffset>1452245</wp:posOffset>
                </wp:positionV>
                <wp:extent cx="123825" cy="123825"/>
                <wp:effectExtent l="12700" t="12700" r="15875" b="15875"/>
                <wp:wrapNone/>
                <wp:docPr id="143" name="同心圆 143"/>
                <wp:cNvGraphicFramePr/>
                <a:graphic xmlns:a="http://schemas.openxmlformats.org/drawingml/2006/main">
                  <a:graphicData uri="http://schemas.microsoft.com/office/word/2010/wordprocessingShape">
                    <wps:wsp>
                      <wps:cNvSpPr/>
                      <wps:spPr>
                        <a:xfrm>
                          <a:off x="4770755" y="2104390"/>
                          <a:ext cx="123825" cy="123825"/>
                        </a:xfrm>
                        <a:prstGeom prst="donut">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23" type="#_x0000_t23" style="position:absolute;left:0pt;margin-left:271.9pt;margin-top:114.35pt;height:9.75pt;width:9.75pt;z-index:251779072;v-text-anchor:middle;mso-width-relative:page;mso-height-relative:page;" fillcolor="#4F81BD [3204]" filled="t" stroked="t" coordsize="21600,21600" o:gfxdata="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" adj="5400">
                <v:fill on="t" focussize="0,0"/>
                <v:stroke weight="2pt" color="#376092 [2404]" joinstyle="round"/>
                <v:imagedata o:title=""/>
                <o:lock v:ext="edit" aspectratio="f"/>
              </v:shape>
            </w:pict>
          </mc:Fallback>
        </mc:AlternateContent>
      </w:r>
      <w:r>
        <w:rPr>
          <w:rFonts w:hint="default" w:ascii="Times New Roman" w:hAnsi="Times New Roman" w:eastAsia="宋体" w:cs="Times New Roman"/>
          <w:b/>
          <w:color w:val="auto"/>
          <w:szCs w:val="21"/>
          <w:highlight w:val="none"/>
        </w:rPr>
        <w:object>
          <v:shape id="_x0000_i1026" o:spt="75" type="#_x0000_t75" style="height:419.25pt;width:324.7pt;" o:ole="t" filled="f" o:preferrelative="t" stroked="f" coordsize="21600,21600">
            <v:path/>
            <v:fill on="f" focussize="0,0"/>
            <v:stroke on="f"/>
            <v:imagedata r:id="rId29" o:title=""/>
            <o:lock v:ext="edit" aspectratio="f"/>
            <w10:wrap type="none"/>
            <w10:anchorlock/>
          </v:shape>
          <o:OLEObject Type="Embed" ProgID="Visio.Drawing.15" ShapeID="_x0000_i1026" DrawAspect="Content" ObjectID="_1468075726" r:id="rId28">
            <o:LockedField>false</o:LockedField>
          </o:OLEObject>
        </w:object>
      </w:r>
      <w:r>
        <w:rPr>
          <w:rFonts w:hint="default" w:ascii="Times New Roman" w:hAnsi="Times New Roman" w:eastAsia="宋体" w:cs="Times New Roman"/>
          <w:b/>
          <w:color w:val="auto"/>
          <w:szCs w:val="21"/>
          <w:highlight w:val="none"/>
        </w:rPr>
        <w:drawing>
          <wp:anchor distT="0" distB="0" distL="114300" distR="114300" simplePos="0" relativeHeight="251696128" behindDoc="0" locked="0" layoutInCell="1" allowOverlap="1">
            <wp:simplePos x="0" y="0"/>
            <wp:positionH relativeFrom="column">
              <wp:posOffset>5429885</wp:posOffset>
            </wp:positionH>
            <wp:positionV relativeFrom="paragraph">
              <wp:posOffset>-17780</wp:posOffset>
            </wp:positionV>
            <wp:extent cx="752475" cy="1006475"/>
            <wp:effectExtent l="0" t="0" r="3175" b="9525"/>
            <wp:wrapNone/>
            <wp:docPr id="37"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16.png"/>
                    <pic:cNvPicPr>
                      <a:picLocks noChangeAspect="1"/>
                    </pic:cNvPicPr>
                  </pic:nvPicPr>
                  <pic:blipFill>
                    <a:blip r:embed="rId17"/>
                    <a:stretch>
                      <a:fillRect/>
                    </a:stretch>
                  </pic:blipFill>
                  <pic:spPr>
                    <a:xfrm rot="5400000">
                      <a:off x="0" y="0"/>
                      <a:ext cx="752475" cy="1006475"/>
                    </a:xfrm>
                    <a:prstGeom prst="rect">
                      <a:avLst/>
                    </a:prstGeom>
                    <a:noFill/>
                    <a:ln>
                      <a:noFill/>
                    </a:ln>
                  </pic:spPr>
                </pic:pic>
              </a:graphicData>
            </a:graphic>
          </wp:anchor>
        </w:drawing>
      </w:r>
      <w:r>
        <w:rPr>
          <w:color w:val="auto"/>
          <w:sz w:val="21"/>
          <w:highlight w:val="none"/>
        </w:rPr>
        <mc:AlternateContent>
          <mc:Choice Requires="wpc">
            <w:drawing>
              <wp:inline distT="0" distB="0" distL="114300" distR="114300">
                <wp:extent cx="1572895" cy="1247140"/>
                <wp:effectExtent l="0" t="0" r="0" b="0"/>
                <wp:docPr id="276" name="画布 276"/>
                <wp:cNvGraphicFramePr/>
                <a:graphic xmlns:a="http://schemas.openxmlformats.org/drawingml/2006/main">
                  <a:graphicData uri="http://schemas.microsoft.com/office/word/2010/wordprocessingCanvas">
                    <wpc:wpc>
                      <wpc:bg/>
                      <wpc:whole/>
                      <wps:wsp>
                        <wps:cNvPr id="285" name="文本框 100"/>
                        <wps:cNvSpPr txBox="1"/>
                        <wps:spPr>
                          <a:xfrm>
                            <a:off x="179705" y="179705"/>
                            <a:ext cx="662305" cy="281305"/>
                          </a:xfrm>
                          <a:prstGeom prst="rect">
                            <a:avLst/>
                          </a:prstGeom>
                          <a:noFill/>
                          <a:ln w="6350">
                            <a:noFill/>
                          </a:ln>
                        </wps:spPr>
                        <wps:txbx>
                          <w:txbxContent>
                            <w:p w14:paraId="4F157E5A">
                              <w:r>
                                <w:rPr>
                                  <w:rFonts w:hint="eastAsia"/>
                                </w:rPr>
                                <w:t>比例尺：</w:t>
                              </w:r>
                            </w:p>
                          </w:txbxContent>
                        </wps:txbx>
                        <wps:bodyPr wrap="square" upright="1"/>
                      </wps:wsp>
                      <wps:wsp>
                        <wps:cNvPr id="286" name="矩形 237"/>
                        <wps:cNvSpPr/>
                        <wps:spPr>
                          <a:xfrm>
                            <a:off x="413385" y="551815"/>
                            <a:ext cx="358775" cy="71755"/>
                          </a:xfrm>
                          <a:prstGeom prst="rect">
                            <a:avLst/>
                          </a:prstGeom>
                          <a:solidFill>
                            <a:srgbClr val="000000"/>
                          </a:solidFill>
                          <a:ln w="19050" cap="flat" cmpd="sng">
                            <a:solidFill>
                              <a:srgbClr val="000000"/>
                            </a:solidFill>
                            <a:prstDash val="solid"/>
                            <a:miter/>
                            <a:headEnd type="none" w="med" len="med"/>
                            <a:tailEnd type="none" w="med" len="med"/>
                          </a:ln>
                        </wps:spPr>
                        <wps:bodyPr wrap="square" anchor="ctr" anchorCtr="0" upright="1"/>
                      </wps:wsp>
                      <wps:wsp>
                        <wps:cNvPr id="287" name="矩形 237"/>
                        <wps:cNvSpPr/>
                        <wps:spPr>
                          <a:xfrm>
                            <a:off x="794385" y="552450"/>
                            <a:ext cx="358775" cy="76200"/>
                          </a:xfrm>
                          <a:prstGeom prst="rect">
                            <a:avLst/>
                          </a:prstGeom>
                          <a:solidFill>
                            <a:srgbClr val="FF0000"/>
                          </a:solidFill>
                          <a:ln w="19050" cap="flat" cmpd="sng">
                            <a:solidFill>
                              <a:srgbClr val="FF0000"/>
                            </a:solidFill>
                            <a:prstDash val="solid"/>
                            <a:miter/>
                            <a:headEnd type="none" w="med" len="med"/>
                            <a:tailEnd type="none" w="med" len="med"/>
                          </a:ln>
                        </wps:spPr>
                        <wps:bodyPr wrap="square" anchor="ctr" anchorCtr="0" upright="1"/>
                      </wps:wsp>
                      <wps:wsp>
                        <wps:cNvPr id="294" name="文本框 241"/>
                        <wps:cNvSpPr txBox="1"/>
                        <wps:spPr>
                          <a:xfrm>
                            <a:off x="370205" y="699135"/>
                            <a:ext cx="831215" cy="257175"/>
                          </a:xfrm>
                          <a:prstGeom prst="rect">
                            <a:avLst/>
                          </a:prstGeom>
                          <a:noFill/>
                          <a:ln w="6350">
                            <a:noFill/>
                          </a:ln>
                        </wps:spPr>
                        <wps:txbx>
                          <w:txbxContent>
                            <w:p w14:paraId="650BCDF6">
                              <w:pPr>
                                <w:ind w:left="210" w:hanging="210" w:hangingChars="100"/>
                              </w:pPr>
                              <w:r>
                                <w:rPr>
                                  <w:rFonts w:hint="eastAsia"/>
                                  <w:lang w:val="en-US" w:eastAsia="zh-CN"/>
                                </w:rPr>
                                <w:t>0m1m2</w:t>
                              </w:r>
                              <w:r>
                                <w:rPr>
                                  <w:rFonts w:hint="eastAsia"/>
                                </w:rPr>
                                <w:t>m</w:t>
                              </w:r>
                            </w:p>
                          </w:txbxContent>
                        </wps:txbx>
                        <wps:bodyPr wrap="square" upright="1"/>
                      </wps:wsp>
                    </wpc:wpc>
                  </a:graphicData>
                </a:graphic>
              </wp:inline>
            </w:drawing>
          </mc:Choice>
          <mc:Fallback>
            <w:pict>
              <v:group id="_x0000_s1026" o:spid="_x0000_s1026" o:spt="203" style="height:98.2pt;width:123.85pt;" coordsize="1572895,1247140" editas="canvas" o:gfxdata="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">
                <o:lock v:ext="edit" aspectratio="f"/>
                <v:shape id="_x0000_s1026" o:spid="_x0000_s1026" style="position:absolute;left:0;top:0;height:1247140;width:1572895;" filled="f" stroked="f" coordsize="21600,21600" o:gfxdata="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">
                  <v:fill on="f" focussize="0,0"/>
                  <v:stroke on="f"/>
                  <v:imagedata o:title=""/>
                  <o:lock v:ext="edit" aspectratio="f"/>
                </v:shape>
                <v:shape id="文本框 100" o:spid="_x0000_s1026" o:spt="202" type="#_x0000_t202" style="position:absolute;left:179705;top:179705;height:281305;width:662305;" filled="f" stroked="f" coordsize="21600,21600" o:gfxdata="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Imtfk3XAAAABQEAAA8AAAAAAAAAAQAgAAAAIgAAAGRycy9kb3ducmV2&#10;LnhtbFBLAQIUABQAAAAIAIdO4kBYkKS5xAEAAHIDAAAOAAAAAAAAAAEAIAAAACYBAABkcnMvZTJv&#10;RG9jLnhtbFBLBQYAAAAABgAGAFkBAABcBQAAAAA=&#10;">
                  <v:fill on="f" focussize="0,0"/>
                  <v:stroke on="f" weight="0.5pt"/>
                  <v:imagedata o:title=""/>
                  <o:lock v:ext="edit" aspectratio="f"/>
                  <v:textbox>
                    <w:txbxContent>
                      <w:p w14:paraId="4F157E5A">
                        <w:r>
                          <w:rPr>
                            <w:rFonts w:hint="eastAsia"/>
                          </w:rPr>
                          <w:t>比例尺：</w:t>
                        </w:r>
                      </w:p>
                    </w:txbxContent>
                  </v:textbox>
                </v:shape>
                <v:rect id="矩形 237" o:spid="_x0000_s1026" o:spt="1" style="position:absolute;left:413385;top:551815;height:71755;width:358775;v-text-anchor:middle;" fillcolor="#000000" filled="t" stroked="t" coordsize="21600,21600" o:gfxdata="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EgXQ7/VAAAABQEA&#10;AA8AAAAAAAAAAQAgAAAAIgAAAGRycy9kb3ducmV2LnhtbFBLAQIUABQAAAAIAIdO4kDBWgazHQIA&#10;AFQEAAAOAAAAAAAAAAEAIAAAACQBAABkcnMvZTJvRG9jLnhtbFBLBQYAAAAABgAGAFkBAACzBQAA&#10;AAA=&#10;">
                  <v:fill on="t" focussize="0,0"/>
                  <v:stroke weight="1.5pt" color="#000000" joinstyle="miter"/>
                  <v:imagedata o:title=""/>
                  <o:lock v:ext="edit" aspectratio="f"/>
                </v:rect>
                <v:rect id="矩形 237" o:spid="_x0000_s1026" o:spt="1" style="position:absolute;left:794385;top:552450;height:76200;width:358775;v-text-anchor:middle;" fillcolor="#FF0000" filled="t" stroked="t" coordsize="21600,21600" o:gfxdata="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T3t8p9YAAAAF&#10;AQAADwAAAAAAAAABACAAAAAiAAAAZHJzL2Rvd25yZXYueG1sUEsBAhQAFAAAAAgAh07iQLm9Wz8e&#10;AgAAVAQAAA4AAAAAAAAAAQAgAAAAJQEAAGRycy9lMm9Eb2MueG1sUEsFBgAAAAAGAAYAWQEAALUF&#10;AAAAAA==&#10;">
                  <v:fill on="t" focussize="0,0"/>
                  <v:stroke weight="1.5pt" color="#FF0000" joinstyle="miter"/>
                  <v:imagedata o:title=""/>
                  <o:lock v:ext="edit" aspectratio="f"/>
                </v:rect>
                <v:shape id="文本框 241" o:spid="_x0000_s1026" o:spt="202" type="#_x0000_t202" style="position:absolute;left:370205;top:699135;height:257175;width:831215;" filled="f" stroked="f" coordsize="21600,21600" o:gfxdata="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&#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Imtfk3XAAAABQEAAA8AAAAAAAAAAQAgAAAAIgAAAGRy&#10;cy9kb3ducmV2LnhtbFBLAQIUABQAAAAIAIdO4kAusYDEzQEAAHIDAAAOAAAAAAAAAAEAIAAAACYB&#10;AABkcnMvZTJvRG9jLnhtbFBLBQYAAAAABgAGAFkBAABlBQAAAAA=&#10;">
                  <v:fill on="f" focussize="0,0"/>
                  <v:stroke on="f" weight="0.5pt"/>
                  <v:imagedata o:title=""/>
                  <o:lock v:ext="edit" aspectratio="f"/>
                  <v:textbox>
                    <w:txbxContent>
                      <w:p w14:paraId="650BCDF6">
                        <w:pPr>
                          <w:ind w:left="210" w:hanging="210" w:hangingChars="100"/>
                        </w:pPr>
                        <w:r>
                          <w:rPr>
                            <w:rFonts w:hint="eastAsia"/>
                            <w:lang w:val="en-US" w:eastAsia="zh-CN"/>
                          </w:rPr>
                          <w:t>0m1m2</w:t>
                        </w:r>
                        <w:r>
                          <w:rPr>
                            <w:rFonts w:hint="eastAsia"/>
                          </w:rPr>
                          <w:t>m</w:t>
                        </w:r>
                      </w:p>
                    </w:txbxContent>
                  </v:textbox>
                </v:shape>
                <w10:wrap type="none"/>
                <w10:anchorlock/>
              </v:group>
            </w:pict>
          </mc:Fallback>
        </mc:AlternateContent>
      </w:r>
    </w:p>
    <w:p w14:paraId="5CCE6092">
      <w:pPr>
        <w:shd w:val="clear"/>
        <w:bidi w:val="0"/>
        <w:jc w:val="center"/>
        <w:rPr>
          <w:rFonts w:hint="default"/>
          <w:b/>
          <w:bCs/>
          <w:color w:val="auto"/>
          <w:sz w:val="36"/>
          <w:szCs w:val="36"/>
          <w:highlight w:val="none"/>
          <w:lang w:val="en-US"/>
        </w:rPr>
      </w:pPr>
      <w:bookmarkStart w:id="18" w:name="_Toc26047"/>
      <w:r>
        <w:rPr>
          <w:rFonts w:hint="default"/>
          <w:b/>
          <w:bCs/>
          <w:color w:val="auto"/>
          <w:sz w:val="36"/>
          <w:szCs w:val="36"/>
          <w:highlight w:val="none"/>
          <w:lang w:val="en-US" w:eastAsia="zh-CN"/>
        </w:rPr>
        <w:t>附图4</w:t>
      </w:r>
      <w:r>
        <w:rPr>
          <w:rFonts w:hint="eastAsia"/>
          <w:b/>
          <w:bCs/>
          <w:color w:val="auto"/>
          <w:sz w:val="36"/>
          <w:szCs w:val="36"/>
          <w:highlight w:val="none"/>
          <w:lang w:val="en-US" w:eastAsia="zh-CN"/>
        </w:rPr>
        <w:t xml:space="preserve"> 项目</w:t>
      </w:r>
      <w:r>
        <w:rPr>
          <w:rFonts w:hint="default"/>
          <w:b/>
          <w:bCs/>
          <w:color w:val="auto"/>
          <w:sz w:val="36"/>
          <w:szCs w:val="36"/>
          <w:highlight w:val="none"/>
          <w:lang w:val="en-US" w:eastAsia="zh-CN"/>
        </w:rPr>
        <w:t>平面图</w:t>
      </w:r>
      <w:bookmarkEnd w:id="18"/>
    </w:p>
    <w:p w14:paraId="086F931C">
      <w:pPr>
        <w:shd w:val="clear"/>
        <w:spacing w:line="219" w:lineRule="auto"/>
        <w:rPr>
          <w:rFonts w:hint="default" w:ascii="Times New Roman" w:hAnsi="Times New Roman" w:eastAsia="宋体" w:cs="Times New Roman"/>
          <w:color w:val="auto"/>
          <w:highlight w:val="none"/>
          <w:lang w:val="en-US" w:eastAsia="zh-CN"/>
        </w:rPr>
        <w:sectPr>
          <w:footerReference r:id="rId12" w:type="default"/>
          <w:pgSz w:w="16839" w:h="11906"/>
          <w:pgMar w:top="1012" w:right="2525" w:bottom="957" w:left="2525" w:header="0" w:footer="694" w:gutter="0"/>
          <w:pgNumType w:fmt="decimal"/>
          <w:cols w:space="720" w:num="1"/>
        </w:sectPr>
      </w:pPr>
    </w:p>
    <w:p w14:paraId="12BEA16D">
      <w:pPr>
        <w:keepNext w:val="0"/>
        <w:keepLines w:val="0"/>
        <w:pageBreakBefore w:val="0"/>
        <w:widowControl w:val="0"/>
        <w:shd w:val="clear"/>
        <w:kinsoku/>
        <w:wordWrap/>
        <w:overflowPunct/>
        <w:topLinePunct w:val="0"/>
        <w:autoSpaceDE/>
        <w:autoSpaceDN/>
        <w:bidi w:val="0"/>
        <w:adjustRightInd/>
        <w:snapToGrid/>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sz w:val="21"/>
          <w:highlight w:val="none"/>
        </w:rPr>
        <mc:AlternateContent>
          <mc:Choice Requires="wpg">
            <w:drawing>
              <wp:anchor distT="0" distB="0" distL="114300" distR="114300" simplePos="0" relativeHeight="251670528" behindDoc="0" locked="0" layoutInCell="1" allowOverlap="1">
                <wp:simplePos x="0" y="0"/>
                <wp:positionH relativeFrom="column">
                  <wp:posOffset>3439160</wp:posOffset>
                </wp:positionH>
                <wp:positionV relativeFrom="paragraph">
                  <wp:posOffset>2263775</wp:posOffset>
                </wp:positionV>
                <wp:extent cx="1051560" cy="657225"/>
                <wp:effectExtent l="0" t="0" r="0" b="0"/>
                <wp:wrapNone/>
                <wp:docPr id="54" name="组合 72"/>
                <wp:cNvGraphicFramePr/>
                <a:graphic xmlns:a="http://schemas.openxmlformats.org/drawingml/2006/main">
                  <a:graphicData uri="http://schemas.microsoft.com/office/word/2010/wordprocessingGroup">
                    <wpg:wgp>
                      <wpg:cNvGrpSpPr/>
                      <wpg:grpSpPr>
                        <a:xfrm>
                          <a:off x="0" y="0"/>
                          <a:ext cx="1051560" cy="657225"/>
                          <a:chOff x="9440" y="496529"/>
                          <a:chExt cx="1641" cy="901"/>
                        </a:xfrm>
                      </wpg:grpSpPr>
                      <wps:wsp>
                        <wps:cNvPr id="52" name="矩形标注 224"/>
                        <wps:cNvSpPr/>
                        <wps:spPr>
                          <a:xfrm>
                            <a:off x="9551" y="496529"/>
                            <a:ext cx="1531" cy="430"/>
                          </a:xfrm>
                          <a:prstGeom prst="wedgeRectCallout">
                            <a:avLst>
                              <a:gd name="adj1" fmla="val -49227"/>
                              <a:gd name="adj2" fmla="val 129148"/>
                            </a:avLst>
                          </a:prstGeom>
                          <a:solidFill>
                            <a:srgbClr val="FFFFFF"/>
                          </a:solidFill>
                          <a:ln w="9525" cap="flat" cmpd="sng">
                            <a:solidFill>
                              <a:srgbClr val="000000"/>
                            </a:solidFill>
                            <a:prstDash val="solid"/>
                            <a:miter/>
                            <a:headEnd type="none" w="med" len="med"/>
                            <a:tailEnd type="none" w="med" len="med"/>
                          </a:ln>
                        </wps:spPr>
                        <wps:txbx>
                          <w:txbxContent>
                            <w:p w14:paraId="218CE8C6">
                              <w:pPr>
                                <w:rPr>
                                  <w:sz w:val="24"/>
                                </w:rPr>
                              </w:pPr>
                              <w:r>
                                <w:rPr>
                                  <w:rFonts w:hint="eastAsia" w:eastAsia="宋体"/>
                                  <w:sz w:val="24"/>
                                </w:rPr>
                                <w:t>项目所在地</w:t>
                              </w:r>
                            </w:p>
                          </w:txbxContent>
                        </wps:txbx>
                        <wps:bodyPr vert="horz" wrap="square" anchor="t" anchorCtr="0" upright="1"/>
                      </wps:wsp>
                      <wps:wsp>
                        <wps:cNvPr id="53" name="椭圆 74"/>
                        <wps:cNvSpPr/>
                        <wps:spPr>
                          <a:xfrm>
                            <a:off x="9440" y="497290"/>
                            <a:ext cx="140" cy="140"/>
                          </a:xfrm>
                          <a:prstGeom prst="ellipse">
                            <a:avLst/>
                          </a:prstGeom>
                          <a:solidFill>
                            <a:srgbClr val="FF0000"/>
                          </a:solidFill>
                          <a:ln w="9525" cap="flat" cmpd="sng">
                            <a:solidFill>
                              <a:srgbClr val="000000"/>
                            </a:solidFill>
                            <a:prstDash val="solid"/>
                            <a:headEnd type="none" w="med" len="med"/>
                            <a:tailEnd type="none" w="med" len="med"/>
                          </a:ln>
                        </wps:spPr>
                        <wps:bodyPr vert="horz" wrap="square" anchor="t" anchorCtr="0" upright="1"/>
                      </wps:wsp>
                    </wpg:wgp>
                  </a:graphicData>
                </a:graphic>
              </wp:anchor>
            </w:drawing>
          </mc:Choice>
          <mc:Fallback>
            <w:pict>
              <v:group id="组合 72" o:spid="_x0000_s1026" o:spt="203" style="position:absolute;left:0pt;margin-left:270.8pt;margin-top:178.25pt;height:51.75pt;width:82.8pt;z-index:251670528;mso-width-relative:page;mso-height-relative:page;" coordorigin="9440,496529" coordsize="1641,901" o:gfxdata="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">
                <o:lock v:ext="edit" aspectratio="f"/>
                <v:shape id="矩形标注 224" o:spid="_x0000_s1026" o:spt="61" type="#_x0000_t61" style="position:absolute;left:9551;top:496529;height:430;width:1531;" fillcolor="#FFFFFF" filled="t" stroked="t" coordsize="21600,21600" o:gfxdata="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IYpmG7sAAADb&#10;AAAADwAAAAAAAAABACAAAAAiAAAAZHJzL2Rvd25yZXYueG1sUEsBAhQAFAAAAAgAh07iQDMvBZ47&#10;AAAAOQAAABAAAAAAAAAAAQAgAAAACgEAAGRycy9zaGFwZXhtbC54bWxQSwUGAAAAAAYABgBbAQAA&#10;tAMAAAAA&#10;" adj="167,38696">
                  <v:fill on="t" focussize="0,0"/>
                  <v:stroke color="#000000" joinstyle="miter"/>
                  <v:imagedata o:title=""/>
                  <o:lock v:ext="edit" aspectratio="f"/>
                  <v:textbox>
                    <w:txbxContent>
                      <w:p w14:paraId="218CE8C6">
                        <w:pPr>
                          <w:rPr>
                            <w:sz w:val="24"/>
                          </w:rPr>
                        </w:pPr>
                        <w:r>
                          <w:rPr>
                            <w:rFonts w:hint="eastAsia" w:eastAsia="宋体"/>
                            <w:sz w:val="24"/>
                          </w:rPr>
                          <w:t>项目所在地</w:t>
                        </w:r>
                      </w:p>
                    </w:txbxContent>
                  </v:textbox>
                </v:shape>
                <v:shape id="椭圆 74" o:spid="_x0000_s1026" o:spt="3" type="#_x0000_t3" style="position:absolute;left:9440;top:497290;height:140;width:140;" fillcolor="#FF0000" filled="t" stroked="t" coordsize="21600,21600" o:gfxdata="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9z/DL4A&#10;AADbAAAADwAAAAAAAAABACAAAAAiAAAAZHJzL2Rvd25yZXYueG1sUEsBAhQAFAAAAAgAh07iQDMv&#10;BZ47AAAAOQAAABAAAAAAAAAAAQAgAAAADQEAAGRycy9zaGFwZXhtbC54bWxQSwUGAAAAAAYABgBb&#10;AQAAtwMAAAAA&#10;">
                  <v:fill on="t" focussize="0,0"/>
                  <v:stroke color="#000000" joinstyle="round"/>
                  <v:imagedata o:title=""/>
                  <o:lock v:ext="edit" aspectratio="f"/>
                </v:shape>
              </v:group>
            </w:pict>
          </mc:Fallback>
        </mc:AlternateContent>
      </w:r>
      <w:r>
        <w:rPr>
          <w:rFonts w:hint="default" w:ascii="Times New Roman" w:hAnsi="Times New Roman" w:eastAsia="宋体" w:cs="Times New Roman"/>
          <w:color w:val="auto"/>
          <w:highlight w:val="none"/>
          <w:lang w:val="en-US" w:eastAsia="zh-CN"/>
        </w:rPr>
        <w:drawing>
          <wp:inline distT="0" distB="0" distL="114300" distR="114300">
            <wp:extent cx="5641340" cy="7343140"/>
            <wp:effectExtent l="0" t="0" r="16510" b="10160"/>
            <wp:docPr id="135" name="图片 16" descr="中山市大气功能区区划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6" descr="中山市大气功能区区划图"/>
                    <pic:cNvPicPr>
                      <a:picLocks noChangeAspect="1"/>
                    </pic:cNvPicPr>
                  </pic:nvPicPr>
                  <pic:blipFill>
                    <a:blip r:embed="rId30"/>
                    <a:stretch>
                      <a:fillRect/>
                    </a:stretch>
                  </pic:blipFill>
                  <pic:spPr>
                    <a:xfrm>
                      <a:off x="0" y="0"/>
                      <a:ext cx="5641340" cy="7343140"/>
                    </a:xfrm>
                    <a:prstGeom prst="rect">
                      <a:avLst/>
                    </a:prstGeom>
                    <a:noFill/>
                    <a:ln>
                      <a:noFill/>
                    </a:ln>
                  </pic:spPr>
                </pic:pic>
              </a:graphicData>
            </a:graphic>
          </wp:inline>
        </w:drawing>
      </w:r>
    </w:p>
    <w:p w14:paraId="33E3733E">
      <w:pPr>
        <w:shd w:val="clear"/>
        <w:bidi w:val="0"/>
        <w:jc w:val="center"/>
        <w:rPr>
          <w:rFonts w:hint="default"/>
          <w:b/>
          <w:bCs/>
          <w:color w:val="auto"/>
          <w:sz w:val="36"/>
          <w:szCs w:val="36"/>
          <w:highlight w:val="none"/>
          <w:lang w:val="en-US" w:eastAsia="zh-CN"/>
        </w:rPr>
      </w:pPr>
      <w:bookmarkStart w:id="19" w:name="_Toc28416"/>
      <w:r>
        <w:rPr>
          <w:rFonts w:hint="default"/>
          <w:b/>
          <w:bCs/>
          <w:color w:val="auto"/>
          <w:sz w:val="36"/>
          <w:szCs w:val="36"/>
          <w:highlight w:val="none"/>
          <w:lang w:val="en-US" w:eastAsia="zh-CN"/>
        </w:rPr>
        <w:t>附图5中山市环境空气质量功能区划图</w:t>
      </w:r>
      <w:bookmarkEnd w:id="19"/>
    </w:p>
    <w:p w14:paraId="3336FE41">
      <w:pPr>
        <w:shd w:val="clear"/>
        <w:rPr>
          <w:rFonts w:hint="default" w:ascii="Times New Roman" w:hAnsi="Times New Roman" w:eastAsia="宋体" w:cs="Times New Roman"/>
          <w:color w:val="auto"/>
          <w:highlight w:val="none"/>
        </w:rPr>
      </w:pPr>
    </w:p>
    <w:p w14:paraId="1D2A3F76">
      <w:pPr>
        <w:keepNext w:val="0"/>
        <w:keepLines w:val="0"/>
        <w:pageBreakBefore w:val="0"/>
        <w:widowControl w:val="0"/>
        <w:shd w:val="clear"/>
        <w:kinsoku/>
        <w:wordWrap/>
        <w:overflowPunct/>
        <w:topLinePunct w:val="0"/>
        <w:autoSpaceDE/>
        <w:autoSpaceDN/>
        <w:bidi w:val="0"/>
        <w:adjustRightInd/>
        <w:snapToGrid/>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sz w:val="21"/>
          <w:highlight w:val="none"/>
        </w:rPr>
        <mc:AlternateContent>
          <mc:Choice Requires="wpg">
            <w:drawing>
              <wp:anchor distT="0" distB="0" distL="114300" distR="114300" simplePos="0" relativeHeight="251671552" behindDoc="0" locked="0" layoutInCell="1" allowOverlap="1">
                <wp:simplePos x="0" y="0"/>
                <wp:positionH relativeFrom="column">
                  <wp:posOffset>3630930</wp:posOffset>
                </wp:positionH>
                <wp:positionV relativeFrom="paragraph">
                  <wp:posOffset>2720340</wp:posOffset>
                </wp:positionV>
                <wp:extent cx="1042035" cy="572135"/>
                <wp:effectExtent l="0" t="0" r="0" b="0"/>
                <wp:wrapNone/>
                <wp:docPr id="57" name="组合 75"/>
                <wp:cNvGraphicFramePr/>
                <a:graphic xmlns:a="http://schemas.openxmlformats.org/drawingml/2006/main">
                  <a:graphicData uri="http://schemas.microsoft.com/office/word/2010/wordprocessingGroup">
                    <wpg:wgp>
                      <wpg:cNvGrpSpPr/>
                      <wpg:grpSpPr>
                        <a:xfrm>
                          <a:off x="0" y="0"/>
                          <a:ext cx="1042035" cy="572135"/>
                          <a:chOff x="9440" y="496529"/>
                          <a:chExt cx="1641" cy="901"/>
                        </a:xfrm>
                      </wpg:grpSpPr>
                      <wps:wsp>
                        <wps:cNvPr id="55" name="矩形标注 224"/>
                        <wps:cNvSpPr/>
                        <wps:spPr>
                          <a:xfrm>
                            <a:off x="9551" y="496529"/>
                            <a:ext cx="1531" cy="430"/>
                          </a:xfrm>
                          <a:prstGeom prst="wedgeRectCallout">
                            <a:avLst>
                              <a:gd name="adj1" fmla="val -49227"/>
                              <a:gd name="adj2" fmla="val 129148"/>
                            </a:avLst>
                          </a:prstGeom>
                          <a:solidFill>
                            <a:srgbClr val="FFFFFF"/>
                          </a:solidFill>
                          <a:ln w="9525" cap="flat" cmpd="sng">
                            <a:solidFill>
                              <a:srgbClr val="000000"/>
                            </a:solidFill>
                            <a:prstDash val="solid"/>
                            <a:miter/>
                            <a:headEnd type="none" w="med" len="med"/>
                            <a:tailEnd type="none" w="med" len="med"/>
                          </a:ln>
                        </wps:spPr>
                        <wps:txbx>
                          <w:txbxContent>
                            <w:p w14:paraId="4114122A">
                              <w:pPr>
                                <w:rPr>
                                  <w:sz w:val="24"/>
                                </w:rPr>
                              </w:pPr>
                              <w:r>
                                <w:rPr>
                                  <w:rFonts w:hint="eastAsia" w:eastAsia="宋体"/>
                                  <w:sz w:val="24"/>
                                </w:rPr>
                                <w:t>项目所在地</w:t>
                              </w:r>
                            </w:p>
                          </w:txbxContent>
                        </wps:txbx>
                        <wps:bodyPr wrap="square" upright="1"/>
                      </wps:wsp>
                      <wps:wsp>
                        <wps:cNvPr id="56" name="椭圆 77"/>
                        <wps:cNvSpPr/>
                        <wps:spPr>
                          <a:xfrm>
                            <a:off x="9440" y="497290"/>
                            <a:ext cx="140" cy="140"/>
                          </a:xfrm>
                          <a:prstGeom prst="ellipse">
                            <a:avLst/>
                          </a:prstGeom>
                          <a:solidFill>
                            <a:srgbClr val="FF0000"/>
                          </a:solidFill>
                          <a:ln w="9525" cap="flat" cmpd="sng">
                            <a:solidFill>
                              <a:srgbClr val="000000"/>
                            </a:solidFill>
                            <a:prstDash val="solid"/>
                            <a:headEnd type="none" w="med" len="med"/>
                            <a:tailEnd type="none" w="med" len="med"/>
                          </a:ln>
                        </wps:spPr>
                        <wps:bodyPr wrap="square" upright="1"/>
                      </wps:wsp>
                    </wpg:wgp>
                  </a:graphicData>
                </a:graphic>
              </wp:anchor>
            </w:drawing>
          </mc:Choice>
          <mc:Fallback>
            <w:pict>
              <v:group id="组合 75" o:spid="_x0000_s1026" o:spt="203" style="position:absolute;left:0pt;margin-left:285.9pt;margin-top:214.2pt;height:45.05pt;width:82.05pt;z-index:251671552;mso-width-relative:page;mso-height-relative:page;" coordorigin="9440,496529" coordsize="1641,901" o:gfxdata="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">
                <o:lock v:ext="edit" aspectratio="f"/>
                <v:shape id="矩形标注 224" o:spid="_x0000_s1026" o:spt="61" type="#_x0000_t61" style="position:absolute;left:9551;top:496529;height:430;width:1531;" fillcolor="#FFFFFF" filled="t" stroked="t" coordsize="21600,21600" o:gfxdata="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5j/m+8AAAA&#10;2wAAAA8AAAAAAAAAAQAgAAAAIgAAAGRycy9kb3ducmV2LnhtbFBLAQIUABQAAAAIAIdO4kAzLwWe&#10;OwAAADkAAAAQAAAAAAAAAAEAIAAAAAsBAABkcnMvc2hhcGV4bWwueG1sUEsFBgAAAAAGAAYAWwEA&#10;ALUDAAAAAA==&#10;" adj="167,38696">
                  <v:fill on="t" focussize="0,0"/>
                  <v:stroke color="#000000" joinstyle="miter"/>
                  <v:imagedata o:title=""/>
                  <o:lock v:ext="edit" aspectratio="f"/>
                  <v:textbox>
                    <w:txbxContent>
                      <w:p w14:paraId="4114122A">
                        <w:pPr>
                          <w:rPr>
                            <w:sz w:val="24"/>
                          </w:rPr>
                        </w:pPr>
                        <w:r>
                          <w:rPr>
                            <w:rFonts w:hint="eastAsia" w:eastAsia="宋体"/>
                            <w:sz w:val="24"/>
                          </w:rPr>
                          <w:t>项目所在地</w:t>
                        </w:r>
                      </w:p>
                    </w:txbxContent>
                  </v:textbox>
                </v:shape>
                <v:shape id="椭圆 77" o:spid="_x0000_s1026" o:spt="3" type="#_x0000_t3" style="position:absolute;left:9440;top:497290;height:140;width:140;" fillcolor="#FF0000" filled="t" stroked="t" coordsize="21600,21600" o:gfxdata="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6tclL4A&#10;AADbAAAADwAAAAAAAAABACAAAAAiAAAAZHJzL2Rvd25yZXYueG1sUEsBAhQAFAAAAAgAh07iQDMv&#10;BZ47AAAAOQAAABAAAAAAAAAAAQAgAAAADQEAAGRycy9zaGFwZXhtbC54bWxQSwUGAAAAAAYABgBb&#10;AQAAtwMAAAAA&#10;">
                  <v:fill on="t" focussize="0,0"/>
                  <v:stroke color="#000000" joinstyle="round"/>
                  <v:imagedata o:title=""/>
                  <o:lock v:ext="edit" aspectratio="f"/>
                </v:shape>
              </v:group>
            </w:pict>
          </mc:Fallback>
        </mc:AlternateContent>
      </w:r>
      <w:r>
        <w:rPr>
          <w:rFonts w:hint="default" w:ascii="Times New Roman" w:hAnsi="Times New Roman" w:eastAsia="宋体" w:cs="Times New Roman"/>
          <w:color w:val="auto"/>
          <w:highlight w:val="none"/>
          <w:lang w:val="en-US" w:eastAsia="zh-CN"/>
        </w:rPr>
        <w:drawing>
          <wp:inline distT="0" distB="0" distL="114300" distR="114300">
            <wp:extent cx="5615305" cy="7879715"/>
            <wp:effectExtent l="0" t="0" r="0" b="0"/>
            <wp:docPr id="136" name="图片 17" descr="中山市水环境功能区划示意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7" descr="中山市水环境功能区划示意图"/>
                    <pic:cNvPicPr>
                      <a:picLocks noChangeAspect="1"/>
                    </pic:cNvPicPr>
                  </pic:nvPicPr>
                  <pic:blipFill>
                    <a:blip r:embed="rId31"/>
                    <a:stretch>
                      <a:fillRect/>
                    </a:stretch>
                  </pic:blipFill>
                  <pic:spPr>
                    <a:xfrm>
                      <a:off x="0" y="0"/>
                      <a:ext cx="5615305" cy="7879715"/>
                    </a:xfrm>
                    <a:prstGeom prst="rect">
                      <a:avLst/>
                    </a:prstGeom>
                    <a:noFill/>
                    <a:ln>
                      <a:noFill/>
                    </a:ln>
                  </pic:spPr>
                </pic:pic>
              </a:graphicData>
            </a:graphic>
          </wp:inline>
        </w:drawing>
      </w:r>
    </w:p>
    <w:p w14:paraId="717005EE">
      <w:pPr>
        <w:keepNext w:val="0"/>
        <w:keepLines w:val="0"/>
        <w:pageBreakBefore w:val="0"/>
        <w:widowControl w:val="0"/>
        <w:shd w:val="clear"/>
        <w:kinsoku/>
        <w:wordWrap/>
        <w:overflowPunct/>
        <w:topLinePunct w:val="0"/>
        <w:autoSpaceDE/>
        <w:autoSpaceDN/>
        <w:bidi w:val="0"/>
        <w:adjustRightInd/>
        <w:snapToGrid/>
        <w:textAlignment w:val="auto"/>
        <w:rPr>
          <w:rFonts w:hint="default" w:ascii="Times New Roman" w:hAnsi="Times New Roman" w:eastAsia="宋体" w:cs="Times New Roman"/>
          <w:color w:val="auto"/>
          <w:highlight w:val="none"/>
          <w:lang w:val="en-US" w:eastAsia="zh-CN"/>
        </w:rPr>
      </w:pPr>
    </w:p>
    <w:p w14:paraId="0C27AC60">
      <w:pPr>
        <w:shd w:val="clear"/>
        <w:bidi w:val="0"/>
        <w:jc w:val="center"/>
        <w:rPr>
          <w:rFonts w:hint="default"/>
          <w:b/>
          <w:bCs/>
          <w:color w:val="auto"/>
          <w:sz w:val="36"/>
          <w:szCs w:val="36"/>
          <w:highlight w:val="none"/>
          <w:lang w:val="en-US" w:eastAsia="zh-CN"/>
        </w:rPr>
      </w:pPr>
      <w:bookmarkStart w:id="20" w:name="_Toc23624"/>
      <w:r>
        <w:rPr>
          <w:rFonts w:hint="default"/>
          <w:b/>
          <w:bCs/>
          <w:color w:val="auto"/>
          <w:sz w:val="36"/>
          <w:szCs w:val="36"/>
          <w:highlight w:val="none"/>
          <w:lang w:val="en-US" w:eastAsia="zh-CN"/>
        </w:rPr>
        <w:t>附图6中山市水环境功能区划示意</w:t>
      </w:r>
      <w:r>
        <w:rPr>
          <w:rFonts w:hint="default"/>
          <w:b/>
          <w:bCs/>
          <w:color w:val="auto"/>
          <w:sz w:val="36"/>
          <w:szCs w:val="36"/>
          <w:highlight w:val="none"/>
        </w:rPr>
        <mc:AlternateContent>
          <mc:Choice Requires="wps">
            <w:drawing>
              <wp:anchor distT="0" distB="0" distL="114300" distR="114300" simplePos="0" relativeHeight="251668480" behindDoc="0" locked="0" layoutInCell="1" allowOverlap="1">
                <wp:simplePos x="0" y="0"/>
                <wp:positionH relativeFrom="column">
                  <wp:posOffset>4286885</wp:posOffset>
                </wp:positionH>
                <wp:positionV relativeFrom="paragraph">
                  <wp:posOffset>11067415</wp:posOffset>
                </wp:positionV>
                <wp:extent cx="635" cy="861695"/>
                <wp:effectExtent l="0" t="0" r="0" b="0"/>
                <wp:wrapNone/>
                <wp:docPr id="47" name="直线 50"/>
                <wp:cNvGraphicFramePr/>
                <a:graphic xmlns:a="http://schemas.openxmlformats.org/drawingml/2006/main">
                  <a:graphicData uri="http://schemas.microsoft.com/office/word/2010/wordprocessingShape">
                    <wps:wsp>
                      <wps:cNvCnPr/>
                      <wps:spPr>
                        <a:xfrm>
                          <a:off x="0" y="0"/>
                          <a:ext cx="635" cy="861695"/>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直线 50" o:spid="_x0000_s1026" o:spt="20" style="position:absolute;left:0pt;margin-left:337.55pt;margin-top:871.45pt;height:67.85pt;width:0.05pt;z-index:251668480;mso-width-relative:page;mso-height-relative:page;" filled="f" stroked="t" coordsize="21600,21600" o:gfxdata="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nWBdU3AAAAA0BAAAPAAAAAAAAAAEAIAAAACIAAABkcnMvZG93bnJldi54bWxQSwEC&#10;FAAUAAAACACHTuJAU5xFZ/ABAADiAwAADgAAAAAAAAABACAAAAArAQAAZHJzL2Uyb0RvYy54bWxQ&#10;SwUGAAAAAAYABgBZAQAAjQUAAAAA&#10;">
                <v:fill on="f" focussize="0,0"/>
                <v:stroke color="#000000" joinstyle="round" endarrow="block"/>
                <v:imagedata o:title=""/>
                <o:lock v:ext="edit" aspectratio="f"/>
              </v:line>
            </w:pict>
          </mc:Fallback>
        </mc:AlternateContent>
      </w:r>
      <w:r>
        <w:rPr>
          <w:rFonts w:hint="default"/>
          <w:b/>
          <w:bCs/>
          <w:color w:val="auto"/>
          <w:sz w:val="36"/>
          <w:szCs w:val="36"/>
          <w:highlight w:val="none"/>
        </w:rPr>
        <mc:AlternateContent>
          <mc:Choice Requires="wps">
            <w:drawing>
              <wp:anchor distT="0" distB="0" distL="114300" distR="114300" simplePos="0" relativeHeight="251667456" behindDoc="0" locked="0" layoutInCell="1" allowOverlap="1">
                <wp:simplePos x="0" y="0"/>
                <wp:positionH relativeFrom="column">
                  <wp:posOffset>3725545</wp:posOffset>
                </wp:positionH>
                <wp:positionV relativeFrom="paragraph">
                  <wp:posOffset>10039985</wp:posOffset>
                </wp:positionV>
                <wp:extent cx="1163320" cy="1027430"/>
                <wp:effectExtent l="0" t="0" r="0" b="0"/>
                <wp:wrapNone/>
                <wp:docPr id="46" name="矩形 51"/>
                <wp:cNvGraphicFramePr/>
                <a:graphic xmlns:a="http://schemas.openxmlformats.org/drawingml/2006/main">
                  <a:graphicData uri="http://schemas.microsoft.com/office/word/2010/wordprocessingShape">
                    <wps:wsp>
                      <wps:cNvSpPr/>
                      <wps:spPr>
                        <a:xfrm>
                          <a:off x="0" y="0"/>
                          <a:ext cx="1163320" cy="1027430"/>
                        </a:xfrm>
                        <a:prstGeom prst="rect">
                          <a:avLst/>
                        </a:prstGeom>
                        <a:noFill/>
                        <a:ln w="9525" cap="flat" cmpd="sng">
                          <a:solidFill>
                            <a:srgbClr val="000000"/>
                          </a:solidFill>
                          <a:prstDash val="solid"/>
                          <a:miter/>
                          <a:headEnd type="none" w="med" len="med"/>
                          <a:tailEnd type="none" w="med" len="med"/>
                        </a:ln>
                      </wps:spPr>
                      <wps:bodyPr wrap="square" upright="1"/>
                    </wps:wsp>
                  </a:graphicData>
                </a:graphic>
              </wp:anchor>
            </w:drawing>
          </mc:Choice>
          <mc:Fallback>
            <w:pict>
              <v:rect id="矩形 51" o:spid="_x0000_s1026" o:spt="1" style="position:absolute;left:0pt;margin-left:293.35pt;margin-top:790.55pt;height:80.9pt;width:91.6pt;z-index:251667456;mso-width-relative:page;mso-height-relative:page;" filled="f" stroked="t" coordsize="21600,21600" o:gfxdata="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&#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J1pwczaAAAADQEAAA8AAAAAAAAAAQAgAAAAIgAAAGRy&#10;cy9kb3ducmV2LnhtbFBLAQIUABQAAAAIAIdO4kDQbi8xAwIAAAYEAAAOAAAAAAAAAAEAIAAAACkB&#10;AABkcnMvZTJvRG9jLnhtbFBLBQYAAAAABgAGAFkBAACeBQAAAAA=&#10;">
                <v:fill on="f" focussize="0,0"/>
                <v:stroke color="#000000" joinstyle="miter"/>
                <v:imagedata o:title=""/>
                <o:lock v:ext="edit" aspectratio="f"/>
              </v:rect>
            </w:pict>
          </mc:Fallback>
        </mc:AlternateContent>
      </w:r>
      <w:r>
        <w:rPr>
          <w:rFonts w:hint="default"/>
          <w:b/>
          <w:bCs/>
          <w:color w:val="auto"/>
          <w:sz w:val="36"/>
          <w:szCs w:val="36"/>
          <w:highlight w:val="none"/>
        </w:rPr>
        <w:drawing>
          <wp:anchor distT="0" distB="0" distL="114300" distR="114300" simplePos="0" relativeHeight="251666432" behindDoc="0" locked="0" layoutInCell="1" allowOverlap="1">
            <wp:simplePos x="0" y="0"/>
            <wp:positionH relativeFrom="column">
              <wp:posOffset>3003550</wp:posOffset>
            </wp:positionH>
            <wp:positionV relativeFrom="paragraph">
              <wp:posOffset>11920855</wp:posOffset>
            </wp:positionV>
            <wp:extent cx="2308225" cy="2206625"/>
            <wp:effectExtent l="0" t="0" r="0" b="0"/>
            <wp:wrapNone/>
            <wp:docPr id="45" name="图片 48" descr="fa673ee4a1235588531a9a1fd8df6f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8" descr="fa673ee4a1235588531a9a1fd8df6f5"/>
                    <pic:cNvPicPr>
                      <a:picLocks noChangeAspect="1"/>
                    </pic:cNvPicPr>
                  </pic:nvPicPr>
                  <pic:blipFill>
                    <a:blip r:embed="rId32"/>
                    <a:stretch>
                      <a:fillRect/>
                    </a:stretch>
                  </pic:blipFill>
                  <pic:spPr>
                    <a:xfrm>
                      <a:off x="0" y="0"/>
                      <a:ext cx="2308225" cy="2206625"/>
                    </a:xfrm>
                    <a:prstGeom prst="rect">
                      <a:avLst/>
                    </a:prstGeom>
                    <a:noFill/>
                    <a:ln w="6350" cap="flat" cmpd="sng">
                      <a:solidFill>
                        <a:srgbClr val="000000"/>
                      </a:solidFill>
                      <a:prstDash val="solid"/>
                      <a:miter/>
                      <a:headEnd type="none" w="med" len="med"/>
                      <a:tailEnd type="none" w="med" len="med"/>
                    </a:ln>
                  </pic:spPr>
                </pic:pic>
              </a:graphicData>
            </a:graphic>
          </wp:anchor>
        </w:drawing>
      </w:r>
      <w:r>
        <w:rPr>
          <w:rFonts w:hint="default"/>
          <w:b/>
          <w:bCs/>
          <w:color w:val="auto"/>
          <w:sz w:val="36"/>
          <w:szCs w:val="36"/>
          <w:highlight w:val="none"/>
          <w:lang w:val="en-US" w:eastAsia="zh-CN"/>
        </w:rPr>
        <w:t>图</w:t>
      </w:r>
      <w:bookmarkEnd w:id="20"/>
    </w:p>
    <w:p w14:paraId="1237D500">
      <w:pPr>
        <w:pStyle w:val="40"/>
        <w:shd w:val="clear"/>
        <w:rPr>
          <w:rFonts w:hint="default" w:ascii="Times New Roman" w:hAnsi="Times New Roman" w:eastAsia="宋体" w:cs="Times New Roman"/>
          <w:color w:val="auto"/>
          <w:highlight w:val="none"/>
          <w:lang w:val="en-US" w:eastAsia="zh-CN"/>
        </w:rPr>
        <w:sectPr>
          <w:pgSz w:w="11906" w:h="16838"/>
          <w:pgMar w:top="1701" w:right="1531" w:bottom="1701" w:left="1531" w:header="851" w:footer="851" w:gutter="0"/>
          <w:pgNumType w:fmt="decimal"/>
          <w:cols w:space="720" w:num="1"/>
          <w:docGrid w:linePitch="312" w:charSpace="0"/>
        </w:sectPr>
      </w:pPr>
    </w:p>
    <w:p w14:paraId="1E66B2E8">
      <w:pPr>
        <w:shd w:val="clear"/>
        <w:jc w:val="center"/>
        <w:rPr>
          <w:rFonts w:hint="default" w:ascii="Times New Roman" w:hAnsi="Times New Roman" w:eastAsia="宋体" w:cs="Times New Roman"/>
          <w:color w:val="auto"/>
          <w:highlight w:val="none"/>
          <w:lang w:val="en-US" w:eastAsia="zh-CN"/>
        </w:rPr>
      </w:pPr>
      <w:r>
        <w:rPr>
          <w:color w:val="auto"/>
          <w:highlight w:val="none"/>
        </w:rPr>
        <mc:AlternateContent>
          <mc:Choice Requires="wps">
            <w:drawing>
              <wp:anchor distT="0" distB="0" distL="114300" distR="114300" simplePos="0" relativeHeight="251713536" behindDoc="0" locked="0" layoutInCell="1" allowOverlap="1">
                <wp:simplePos x="0" y="0"/>
                <wp:positionH relativeFrom="column">
                  <wp:posOffset>4889500</wp:posOffset>
                </wp:positionH>
                <wp:positionV relativeFrom="paragraph">
                  <wp:posOffset>3710305</wp:posOffset>
                </wp:positionV>
                <wp:extent cx="972185" cy="272415"/>
                <wp:effectExtent l="8255" t="4445" r="10160" b="237490"/>
                <wp:wrapNone/>
                <wp:docPr id="87" name="矩形标注 224"/>
                <wp:cNvGraphicFramePr/>
                <a:graphic xmlns:a="http://schemas.openxmlformats.org/drawingml/2006/main">
                  <a:graphicData uri="http://schemas.microsoft.com/office/word/2010/wordprocessingShape">
                    <wps:wsp>
                      <wps:cNvSpPr/>
                      <wps:spPr>
                        <a:xfrm>
                          <a:off x="0" y="0"/>
                          <a:ext cx="972185" cy="272415"/>
                        </a:xfrm>
                        <a:prstGeom prst="wedgeRectCallout">
                          <a:avLst>
                            <a:gd name="adj1" fmla="val -49227"/>
                            <a:gd name="adj2" fmla="val 129148"/>
                          </a:avLst>
                        </a:prstGeom>
                        <a:solidFill>
                          <a:srgbClr val="FFFFFF"/>
                        </a:solidFill>
                        <a:ln w="9525" cap="flat" cmpd="sng">
                          <a:solidFill>
                            <a:srgbClr val="000000"/>
                          </a:solidFill>
                          <a:prstDash val="solid"/>
                          <a:miter/>
                          <a:headEnd type="none" w="med" len="med"/>
                          <a:tailEnd type="none" w="med" len="med"/>
                        </a:ln>
                      </wps:spPr>
                      <wps:txbx>
                        <w:txbxContent>
                          <w:p w14:paraId="6B328464">
                            <w:pPr>
                              <w:jc w:val="both"/>
                              <w:rPr>
                                <w:i w:val="0"/>
                                <w:iCs w:val="0"/>
                                <w:sz w:val="24"/>
                              </w:rPr>
                            </w:pPr>
                            <w:r>
                              <w:rPr>
                                <w:rFonts w:hint="eastAsia" w:eastAsia="宋体"/>
                                <w:i w:val="0"/>
                                <w:iCs w:val="0"/>
                                <w:sz w:val="24"/>
                              </w:rPr>
                              <w:t>项目所在地</w:t>
                            </w:r>
                          </w:p>
                        </w:txbxContent>
                      </wps:txbx>
                      <wps:bodyPr vert="horz" wrap="square" anchor="t" anchorCtr="0" upright="1"/>
                    </wps:wsp>
                  </a:graphicData>
                </a:graphic>
              </wp:anchor>
            </w:drawing>
          </mc:Choice>
          <mc:Fallback>
            <w:pict>
              <v:shape id="矩形标注 224" o:spid="_x0000_s1026" o:spt="61" type="#_x0000_t61" style="position:absolute;left:0pt;margin-left:385pt;margin-top:292.15pt;height:21.45pt;width:76.55pt;z-index:251713536;mso-width-relative:page;mso-height-relative:page;" fillcolor="#FFFFFF" filled="t" stroked="t" coordsize="21600,21600" o:gfxdata="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Dw0SFY&#10;2wAAAAsBAAAPAAAAAAAAAAEAIAAAACIAAABkcnMvZG93bnJldi54bWxQSwECFAAUAAAACACHTuJA&#10;5GY531cCAADDBAAADgAAAAAAAAABACAAAAAqAQAAZHJzL2Uyb0RvYy54bWxQSwUGAAAAAAYABgBZ&#10;AQAA8wUAAAAA&#10;" adj="167,38696">
                <v:fill on="t" focussize="0,0"/>
                <v:stroke color="#000000" joinstyle="miter"/>
                <v:imagedata o:title=""/>
                <o:lock v:ext="edit" aspectratio="f"/>
                <v:textbox>
                  <w:txbxContent>
                    <w:p w14:paraId="6B328464">
                      <w:pPr>
                        <w:jc w:val="both"/>
                        <w:rPr>
                          <w:i w:val="0"/>
                          <w:iCs w:val="0"/>
                          <w:sz w:val="24"/>
                        </w:rPr>
                      </w:pPr>
                      <w:r>
                        <w:rPr>
                          <w:rFonts w:hint="eastAsia" w:eastAsia="宋体"/>
                          <w:i w:val="0"/>
                          <w:iCs w:val="0"/>
                          <w:sz w:val="24"/>
                        </w:rPr>
                        <w:t>项目所在地</w:t>
                      </w:r>
                    </w:p>
                  </w:txbxContent>
                </v:textbox>
              </v:shape>
            </w:pict>
          </mc:Fallback>
        </mc:AlternateContent>
      </w:r>
      <w:r>
        <w:rPr>
          <w:color w:val="auto"/>
          <w:highlight w:val="none"/>
        </w:rPr>
        <mc:AlternateContent>
          <mc:Choice Requires="wps">
            <w:drawing>
              <wp:anchor distT="0" distB="0" distL="114300" distR="114300" simplePos="0" relativeHeight="251712512" behindDoc="0" locked="0" layoutInCell="1" allowOverlap="1">
                <wp:simplePos x="0" y="0"/>
                <wp:positionH relativeFrom="column">
                  <wp:posOffset>4822190</wp:posOffset>
                </wp:positionH>
                <wp:positionV relativeFrom="paragraph">
                  <wp:posOffset>4151630</wp:posOffset>
                </wp:positionV>
                <wp:extent cx="88900" cy="88900"/>
                <wp:effectExtent l="4445" t="4445" r="20955" b="20955"/>
                <wp:wrapNone/>
                <wp:docPr id="86" name="椭圆 80"/>
                <wp:cNvGraphicFramePr/>
                <a:graphic xmlns:a="http://schemas.openxmlformats.org/drawingml/2006/main">
                  <a:graphicData uri="http://schemas.microsoft.com/office/word/2010/wordprocessingShape">
                    <wps:wsp>
                      <wps:cNvSpPr/>
                      <wps:spPr>
                        <a:xfrm>
                          <a:off x="0" y="0"/>
                          <a:ext cx="88900" cy="88900"/>
                        </a:xfrm>
                        <a:prstGeom prst="ellipse">
                          <a:avLst/>
                        </a:prstGeom>
                        <a:solidFill>
                          <a:srgbClr val="FF0000"/>
                        </a:solidFill>
                        <a:ln w="9525" cap="flat" cmpd="sng">
                          <a:solidFill>
                            <a:srgbClr val="000000"/>
                          </a:solidFill>
                          <a:prstDash val="solid"/>
                          <a:headEnd type="none" w="med" len="med"/>
                          <a:tailEnd type="none" w="med" len="med"/>
                        </a:ln>
                      </wps:spPr>
                      <wps:bodyPr vert="horz" wrap="square" anchor="t" anchorCtr="0" upright="1"/>
                    </wps:wsp>
                  </a:graphicData>
                </a:graphic>
              </wp:anchor>
            </w:drawing>
          </mc:Choice>
          <mc:Fallback>
            <w:pict>
              <v:shape id="椭圆 80" o:spid="_x0000_s1026" o:spt="3" type="#_x0000_t3" style="position:absolute;left:0pt;margin-left:379.7pt;margin-top:326.9pt;height:7pt;width:7pt;z-index:251712512;mso-width-relative:page;mso-height-relative:page;" fillcolor="#FF0000" filled="t" stroked="t" coordsize="21600,21600" o:gfxdata="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D0hHxb2QAAAAsBAAAPAAAA&#10;AAAAAAEAIAAAACIAAABkcnMvZG93bnJldi54bWxQSwECFAAUAAAACACHTuJAmYIfQxQCAABJBAAA&#10;DgAAAAAAAAABACAAAAAoAQAAZHJzL2Uyb0RvYy54bWxQSwUGAAAAAAYABgBZAQAArgUAAAAA&#10;">
                <v:fill on="t" focussize="0,0"/>
                <v:stroke color="#000000" joinstyle="round"/>
                <v:imagedata o:title=""/>
                <o:lock v:ext="edit" aspectratio="f"/>
              </v:shape>
            </w:pict>
          </mc:Fallback>
        </mc:AlternateContent>
      </w:r>
      <w:r>
        <w:rPr>
          <w:color w:val="auto"/>
          <w:highlight w:val="none"/>
        </w:rPr>
        <w:drawing>
          <wp:anchor distT="0" distB="0" distL="114300" distR="114300" simplePos="0" relativeHeight="251709440" behindDoc="0" locked="0" layoutInCell="1" allowOverlap="1">
            <wp:simplePos x="0" y="0"/>
            <wp:positionH relativeFrom="column">
              <wp:posOffset>3599180</wp:posOffset>
            </wp:positionH>
            <wp:positionV relativeFrom="paragraph">
              <wp:posOffset>3009900</wp:posOffset>
            </wp:positionV>
            <wp:extent cx="2119630" cy="1753870"/>
            <wp:effectExtent l="12700" t="12700" r="20320" b="24130"/>
            <wp:wrapNone/>
            <wp:docPr id="83" name="图片 83" descr="72308bcf-6a8c-4a93-a05d-b28d8a17fe2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72308bcf-6a8c-4a93-a05d-b28d8a17fe2d"/>
                    <pic:cNvPicPr>
                      <a:picLocks noChangeAspect="1"/>
                    </pic:cNvPicPr>
                  </pic:nvPicPr>
                  <pic:blipFill>
                    <a:blip r:embed="rId33"/>
                    <a:stretch>
                      <a:fillRect/>
                    </a:stretch>
                  </pic:blipFill>
                  <pic:spPr>
                    <a:xfrm>
                      <a:off x="0" y="0"/>
                      <a:ext cx="2119630" cy="1753870"/>
                    </a:xfrm>
                    <a:prstGeom prst="rect">
                      <a:avLst/>
                    </a:prstGeom>
                    <a:ln w="12700">
                      <a:solidFill>
                        <a:schemeClr val="tx1"/>
                      </a:solidFill>
                    </a:ln>
                  </pic:spPr>
                </pic:pic>
              </a:graphicData>
            </a:graphic>
          </wp:anchor>
        </w:drawing>
      </w:r>
      <w:r>
        <w:rPr>
          <w:color w:val="auto"/>
          <w:sz w:val="21"/>
          <w:highlight w:val="none"/>
        </w:rPr>
        <mc:AlternateContent>
          <mc:Choice Requires="wps">
            <w:drawing>
              <wp:anchor distT="0" distB="0" distL="114300" distR="114300" simplePos="0" relativeHeight="251711488" behindDoc="0" locked="0" layoutInCell="1" allowOverlap="1">
                <wp:simplePos x="0" y="0"/>
                <wp:positionH relativeFrom="column">
                  <wp:posOffset>4644390</wp:posOffset>
                </wp:positionH>
                <wp:positionV relativeFrom="paragraph">
                  <wp:posOffset>2056130</wp:posOffset>
                </wp:positionV>
                <wp:extent cx="14605" cy="953770"/>
                <wp:effectExtent l="37465" t="0" r="62230" b="17780"/>
                <wp:wrapNone/>
                <wp:docPr id="85" name="直接箭头连接符 85"/>
                <wp:cNvGraphicFramePr/>
                <a:graphic xmlns:a="http://schemas.openxmlformats.org/drawingml/2006/main">
                  <a:graphicData uri="http://schemas.microsoft.com/office/word/2010/wordprocessingShape">
                    <wps:wsp>
                      <wps:cNvCnPr>
                        <a:stCxn id="84" idx="2"/>
                        <a:endCxn id="83" idx="0"/>
                      </wps:cNvCnPr>
                      <wps:spPr>
                        <a:xfrm>
                          <a:off x="5724525" y="3028315"/>
                          <a:ext cx="14605" cy="953770"/>
                        </a:xfrm>
                        <a:prstGeom prst="straightConnector1">
                          <a:avLst/>
                        </a:prstGeom>
                        <a:ln w="12700">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365.7pt;margin-top:161.9pt;height:75.1pt;width:1.15pt;z-index:251711488;mso-width-relative:page;mso-height-relative:page;" filled="f" stroked="t" coordsize="21600,21600" o:gfxdata="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gWNGINsAAAALAQAADwAAAAAAAAABACAAAAAiAAAAZHJzL2Rvd25yZXYueG1sUEsBAhQAFAAA&#10;AAgAh07iQBxDikklAgAAGwQAAA4AAAAAAAAAAQAgAAAAKgEAAGRycy9lMm9Eb2MueG1sUEsFBgAA&#10;AAAGAAYAWQEAAMEFAAAAAA==&#10;">
                <v:fill on="f" focussize="0,0"/>
                <v:stroke weight="1pt" color="#000000 [3213]" joinstyle="round" endarrow="open"/>
                <v:imagedata o:title=""/>
                <o:lock v:ext="edit" aspectratio="f"/>
              </v:shape>
            </w:pict>
          </mc:Fallback>
        </mc:AlternateContent>
      </w:r>
      <w:r>
        <w:rPr>
          <w:color w:val="auto"/>
          <w:sz w:val="21"/>
          <w:highlight w:val="none"/>
        </w:rPr>
        <mc:AlternateContent>
          <mc:Choice Requires="wps">
            <w:drawing>
              <wp:anchor distT="0" distB="0" distL="114300" distR="114300" simplePos="0" relativeHeight="251710464" behindDoc="0" locked="0" layoutInCell="1" allowOverlap="1">
                <wp:simplePos x="0" y="0"/>
                <wp:positionH relativeFrom="column">
                  <wp:posOffset>4277360</wp:posOffset>
                </wp:positionH>
                <wp:positionV relativeFrom="paragraph">
                  <wp:posOffset>1389380</wp:posOffset>
                </wp:positionV>
                <wp:extent cx="733425" cy="666750"/>
                <wp:effectExtent l="6350" t="6350" r="22225" b="12700"/>
                <wp:wrapNone/>
                <wp:docPr id="84" name="矩形 84"/>
                <wp:cNvGraphicFramePr/>
                <a:graphic xmlns:a="http://schemas.openxmlformats.org/drawingml/2006/main">
                  <a:graphicData uri="http://schemas.microsoft.com/office/word/2010/wordprocessingShape">
                    <wps:wsp>
                      <wps:cNvSpPr/>
                      <wps:spPr>
                        <a:xfrm>
                          <a:off x="5357495" y="2361565"/>
                          <a:ext cx="733425" cy="666750"/>
                        </a:xfrm>
                        <a:prstGeom prst="rect">
                          <a:avLst/>
                        </a:prstGeom>
                        <a:noFill/>
                        <a:ln w="1270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36.8pt;margin-top:109.4pt;height:52.5pt;width:57.75pt;z-index:251710464;v-text-anchor:middle;mso-width-relative:page;mso-height-relative:page;" filled="f" stroked="t" coordsize="21600,21600" o:gfxdata="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mgpGKtoAAAALAQAADwAAAAAAAAABACAAAAAiAAAAZHJzL2Rvd25yZXYu&#10;eG1sUEsBAhQAFAAAAAgAh07iQNZEwwprAgAAwQQAAA4AAAAAAAAAAQAgAAAAKQEAAGRycy9lMm9E&#10;b2MueG1sUEsFBgAAAAAGAAYAWQEAAAYGAAAAAA==&#10;">
                <v:fill on="f" focussize="0,0"/>
                <v:stroke weight="1pt" color="#000000 [3213]" joinstyle="round"/>
                <v:imagedata o:title=""/>
                <o:lock v:ext="edit" aspectratio="f"/>
              </v:rect>
            </w:pict>
          </mc:Fallback>
        </mc:AlternateContent>
      </w:r>
      <w:r>
        <w:rPr>
          <w:color w:val="auto"/>
          <w:highlight w:val="none"/>
        </w:rPr>
        <w:drawing>
          <wp:inline distT="0" distB="0" distL="114300" distR="114300">
            <wp:extent cx="7360285" cy="5144770"/>
            <wp:effectExtent l="0" t="0" r="12065" b="17780"/>
            <wp:docPr id="2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3"/>
                    <pic:cNvPicPr>
                      <a:picLocks noChangeAspect="1"/>
                    </pic:cNvPicPr>
                  </pic:nvPicPr>
                  <pic:blipFill>
                    <a:blip r:embed="rId34"/>
                    <a:stretch>
                      <a:fillRect/>
                    </a:stretch>
                  </pic:blipFill>
                  <pic:spPr>
                    <a:xfrm>
                      <a:off x="0" y="0"/>
                      <a:ext cx="7360285" cy="5144770"/>
                    </a:xfrm>
                    <a:prstGeom prst="rect">
                      <a:avLst/>
                    </a:prstGeom>
                    <a:noFill/>
                    <a:ln>
                      <a:noFill/>
                    </a:ln>
                  </pic:spPr>
                </pic:pic>
              </a:graphicData>
            </a:graphic>
          </wp:inline>
        </w:drawing>
      </w:r>
    </w:p>
    <w:p w14:paraId="3633E372">
      <w:pPr>
        <w:shd w:val="clear"/>
        <w:bidi w:val="0"/>
        <w:jc w:val="center"/>
        <w:rPr>
          <w:rFonts w:hint="default"/>
          <w:b/>
          <w:bCs/>
          <w:color w:val="auto"/>
          <w:sz w:val="36"/>
          <w:szCs w:val="36"/>
          <w:highlight w:val="none"/>
          <w:lang w:val="en-US" w:eastAsia="zh-CN"/>
        </w:rPr>
      </w:pPr>
      <w:r>
        <w:rPr>
          <w:rFonts w:hint="default"/>
          <w:b/>
          <w:bCs/>
          <w:color w:val="auto"/>
          <w:sz w:val="36"/>
          <w:szCs w:val="36"/>
          <w:highlight w:val="none"/>
          <w:lang w:val="en-US" w:eastAsia="zh-CN"/>
        </w:rPr>
        <w:t>附图7中心城区声环境功能区划图</w:t>
      </w:r>
    </w:p>
    <w:p w14:paraId="0B23BC8D">
      <w:pPr>
        <w:shd w:val="clear"/>
        <w:bidi w:val="0"/>
        <w:jc w:val="center"/>
        <w:rPr>
          <w:rFonts w:hint="default"/>
          <w:b/>
          <w:bCs/>
          <w:color w:val="auto"/>
          <w:sz w:val="36"/>
          <w:szCs w:val="36"/>
          <w:highlight w:val="none"/>
          <w:lang w:val="en-US" w:eastAsia="zh-CN"/>
        </w:rPr>
        <w:sectPr>
          <w:pgSz w:w="16838" w:h="11906" w:orient="landscape"/>
          <w:pgMar w:top="1531" w:right="1701" w:bottom="1531" w:left="1701" w:header="851" w:footer="850" w:gutter="0"/>
          <w:pgNumType w:fmt="decimal"/>
          <w:cols w:space="0" w:num="1"/>
          <w:rtlGutter w:val="0"/>
          <w:docGrid w:linePitch="312" w:charSpace="0"/>
        </w:sectPr>
      </w:pPr>
    </w:p>
    <w:p w14:paraId="0B7F795B">
      <w:pPr>
        <w:pStyle w:val="40"/>
        <w:shd w:val="clear"/>
        <w:bidi w:val="0"/>
        <w:jc w:val="center"/>
        <w:rPr>
          <w:rFonts w:hint="default" w:ascii="Times New Roman" w:hAnsi="Times New Roman" w:eastAsia="宋体" w:cs="Times New Roman"/>
          <w:color w:val="auto"/>
          <w:highlight w:val="none"/>
          <w:lang w:val="en-US" w:eastAsia="zh-CN"/>
        </w:rPr>
      </w:pPr>
      <w:r>
        <w:rPr>
          <w:color w:val="auto"/>
          <w:sz w:val="24"/>
          <w:highlight w:val="none"/>
        </w:rPr>
        <mc:AlternateContent>
          <mc:Choice Requires="wps">
            <w:drawing>
              <wp:anchor distT="0" distB="0" distL="114300" distR="114300" simplePos="0" relativeHeight="251797504" behindDoc="0" locked="0" layoutInCell="1" allowOverlap="1">
                <wp:simplePos x="0" y="0"/>
                <wp:positionH relativeFrom="column">
                  <wp:posOffset>4122420</wp:posOffset>
                </wp:positionH>
                <wp:positionV relativeFrom="paragraph">
                  <wp:posOffset>3223260</wp:posOffset>
                </wp:positionV>
                <wp:extent cx="1370330" cy="371475"/>
                <wp:effectExtent l="0" t="0" r="0" b="0"/>
                <wp:wrapNone/>
                <wp:docPr id="118" name="文本框 118"/>
                <wp:cNvGraphicFramePr/>
                <a:graphic xmlns:a="http://schemas.openxmlformats.org/drawingml/2006/main">
                  <a:graphicData uri="http://schemas.microsoft.com/office/word/2010/wordprocessingShape">
                    <wps:wsp>
                      <wps:cNvSpPr txBox="1"/>
                      <wps:spPr>
                        <a:xfrm>
                          <a:off x="5436870" y="4202430"/>
                          <a:ext cx="1370330" cy="3714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8E134B6">
                            <w:pPr>
                              <w:rPr>
                                <w:rFonts w:ascii="Arial" w:hAnsi="Arial" w:eastAsia="宋体" w:cs="Arial"/>
                                <w:b/>
                                <w:bCs/>
                                <w:i w:val="0"/>
                                <w:iCs w:val="0"/>
                                <w:caps w:val="0"/>
                                <w:color w:val="auto"/>
                                <w:spacing w:val="0"/>
                                <w:sz w:val="18"/>
                                <w:szCs w:val="18"/>
                                <w:shd w:val="clear" w:fill="FFFFFF"/>
                              </w:rPr>
                            </w:pPr>
                            <w:r>
                              <w:rPr>
                                <w:rFonts w:ascii="Arial" w:hAnsi="Arial" w:eastAsia="宋体" w:cs="Arial"/>
                                <w:b/>
                                <w:bCs/>
                                <w:i w:val="0"/>
                                <w:iCs w:val="0"/>
                                <w:caps w:val="0"/>
                                <w:color w:val="auto"/>
                                <w:spacing w:val="0"/>
                                <w:sz w:val="18"/>
                                <w:szCs w:val="18"/>
                                <w:shd w:val="clear" w:fill="FFFFFF"/>
                              </w:rPr>
                              <w:t>西城派出所沙边驻警站</w:t>
                            </w:r>
                          </w:p>
                          <w:p w14:paraId="1624D5A3">
                            <w:pPr>
                              <w:jc w:val="center"/>
                              <w:rPr>
                                <w:rFonts w:ascii="Arial" w:hAnsi="Arial" w:eastAsia="宋体" w:cs="Arial"/>
                                <w:b/>
                                <w:bCs/>
                                <w:i w:val="0"/>
                                <w:iCs w:val="0"/>
                                <w:caps w:val="0"/>
                                <w:color w:val="auto"/>
                                <w:spacing w:val="0"/>
                                <w:sz w:val="18"/>
                                <w:szCs w:val="18"/>
                                <w:shd w:val="clear" w:fill="FFFFFF"/>
                              </w:rPr>
                            </w:pPr>
                            <w:r>
                              <w:rPr>
                                <w:rFonts w:hint="eastAsia" w:ascii="Arial" w:hAnsi="Arial" w:eastAsia="宋体" w:cs="Arial"/>
                                <w:b/>
                                <w:bCs/>
                                <w:i w:val="0"/>
                                <w:iCs w:val="0"/>
                                <w:caps w:val="0"/>
                                <w:color w:val="auto"/>
                                <w:spacing w:val="0"/>
                                <w:sz w:val="18"/>
                                <w:szCs w:val="18"/>
                                <w:shd w:val="clear" w:fill="FFFFFF"/>
                                <w:lang w:val="en-US" w:eastAsia="zh-CN"/>
                              </w:rPr>
                              <w:t>120m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24.6pt;margin-top:253.8pt;height:29.25pt;width:107.9pt;z-index:251797504;mso-width-relative:page;mso-height-relative:page;" filled="f" stroked="f" coordsize="21600,21600" o:gfxdata="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BXSE1Y2wAAAAsBAAAPAAAAAAAA&#10;AAEAIAAAACIAAABkcnMvZG93bnJldi54bWxQSwECFAAUAAAACACHTuJA/u40iEgCAAB2BAAADgAA&#10;AAAAAAABACAAAAAqAQAAZHJzL2Uyb0RvYy54bWxQSwUGAAAAAAYABgBZAQAA5AUAAAAA&#10;">
                <v:fill on="f" focussize="0,0"/>
                <v:stroke on="f" weight="0.5pt"/>
                <v:imagedata o:title=""/>
                <o:lock v:ext="edit" aspectratio="f"/>
                <v:textbox>
                  <w:txbxContent>
                    <w:p w14:paraId="48E134B6">
                      <w:pPr>
                        <w:rPr>
                          <w:rFonts w:ascii="Arial" w:hAnsi="Arial" w:eastAsia="宋体" w:cs="Arial"/>
                          <w:b/>
                          <w:bCs/>
                          <w:i w:val="0"/>
                          <w:iCs w:val="0"/>
                          <w:caps w:val="0"/>
                          <w:color w:val="auto"/>
                          <w:spacing w:val="0"/>
                          <w:sz w:val="18"/>
                          <w:szCs w:val="18"/>
                          <w:shd w:val="clear" w:fill="FFFFFF"/>
                        </w:rPr>
                      </w:pPr>
                      <w:r>
                        <w:rPr>
                          <w:rFonts w:ascii="Arial" w:hAnsi="Arial" w:eastAsia="宋体" w:cs="Arial"/>
                          <w:b/>
                          <w:bCs/>
                          <w:i w:val="0"/>
                          <w:iCs w:val="0"/>
                          <w:caps w:val="0"/>
                          <w:color w:val="auto"/>
                          <w:spacing w:val="0"/>
                          <w:sz w:val="18"/>
                          <w:szCs w:val="18"/>
                          <w:shd w:val="clear" w:fill="FFFFFF"/>
                        </w:rPr>
                        <w:t>西城派出所沙边驻警站</w:t>
                      </w:r>
                    </w:p>
                    <w:p w14:paraId="1624D5A3">
                      <w:pPr>
                        <w:jc w:val="center"/>
                        <w:rPr>
                          <w:rFonts w:ascii="Arial" w:hAnsi="Arial" w:eastAsia="宋体" w:cs="Arial"/>
                          <w:b/>
                          <w:bCs/>
                          <w:i w:val="0"/>
                          <w:iCs w:val="0"/>
                          <w:caps w:val="0"/>
                          <w:color w:val="auto"/>
                          <w:spacing w:val="0"/>
                          <w:sz w:val="18"/>
                          <w:szCs w:val="18"/>
                          <w:shd w:val="clear" w:fill="FFFFFF"/>
                        </w:rPr>
                      </w:pPr>
                      <w:r>
                        <w:rPr>
                          <w:rFonts w:hint="eastAsia" w:ascii="Arial" w:hAnsi="Arial" w:eastAsia="宋体" w:cs="Arial"/>
                          <w:b/>
                          <w:bCs/>
                          <w:i w:val="0"/>
                          <w:iCs w:val="0"/>
                          <w:caps w:val="0"/>
                          <w:color w:val="auto"/>
                          <w:spacing w:val="0"/>
                          <w:sz w:val="18"/>
                          <w:szCs w:val="18"/>
                          <w:shd w:val="clear" w:fill="FFFFFF"/>
                          <w:lang w:val="en-US" w:eastAsia="zh-CN"/>
                        </w:rPr>
                        <w:t>120m</w:t>
                      </w:r>
                    </w:p>
                  </w:txbxContent>
                </v:textbox>
              </v:shape>
            </w:pict>
          </mc:Fallback>
        </mc:AlternateContent>
      </w:r>
      <w:r>
        <w:rPr>
          <w:color w:val="auto"/>
          <w:sz w:val="24"/>
          <w:highlight w:val="none"/>
        </w:rPr>
        <mc:AlternateContent>
          <mc:Choice Requires="wps">
            <w:drawing>
              <wp:anchor distT="0" distB="0" distL="114300" distR="114300" simplePos="0" relativeHeight="251796480" behindDoc="0" locked="0" layoutInCell="1" allowOverlap="1">
                <wp:simplePos x="0" y="0"/>
                <wp:positionH relativeFrom="column">
                  <wp:posOffset>2831465</wp:posOffset>
                </wp:positionH>
                <wp:positionV relativeFrom="paragraph">
                  <wp:posOffset>885825</wp:posOffset>
                </wp:positionV>
                <wp:extent cx="1443990" cy="601980"/>
                <wp:effectExtent l="0" t="0" r="0" b="0"/>
                <wp:wrapNone/>
                <wp:docPr id="117" name="文本框 117"/>
                <wp:cNvGraphicFramePr/>
                <a:graphic xmlns:a="http://schemas.openxmlformats.org/drawingml/2006/main">
                  <a:graphicData uri="http://schemas.microsoft.com/office/word/2010/wordprocessingShape">
                    <wps:wsp>
                      <wps:cNvSpPr txBox="1"/>
                      <wps:spPr>
                        <a:xfrm>
                          <a:off x="3999865" y="1843405"/>
                          <a:ext cx="1443990" cy="6019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3E888FF">
                            <w:pPr>
                              <w:rPr>
                                <w:rFonts w:hint="default" w:ascii="Times New Roman" w:hAnsi="Times New Roman" w:eastAsia="宋体" w:cs="Times New Roman"/>
                                <w:b/>
                                <w:bCs/>
                                <w:sz w:val="18"/>
                                <w:szCs w:val="18"/>
                                <w:lang w:eastAsia="zh-CN"/>
                              </w:rPr>
                            </w:pPr>
                            <w:r>
                              <w:rPr>
                                <w:rFonts w:hint="default" w:ascii="Times New Roman" w:hAnsi="Times New Roman" w:eastAsia="宋体" w:cs="Times New Roman"/>
                                <w:b/>
                                <w:bCs/>
                                <w:sz w:val="18"/>
                                <w:szCs w:val="18"/>
                              </w:rPr>
                              <w:t>新帮珺悦花园</w:t>
                            </w:r>
                            <w:r>
                              <w:rPr>
                                <w:rFonts w:hint="default" w:ascii="Times New Roman" w:hAnsi="Times New Roman" w:eastAsia="宋体" w:cs="Times New Roman"/>
                                <w:b/>
                                <w:bCs/>
                                <w:sz w:val="18"/>
                                <w:szCs w:val="18"/>
                                <w:lang w:eastAsia="zh-CN"/>
                              </w:rPr>
                              <w:t>（</w:t>
                            </w:r>
                            <w:r>
                              <w:rPr>
                                <w:rFonts w:hint="default" w:ascii="Times New Roman" w:hAnsi="Times New Roman" w:eastAsia="宋体" w:cs="Times New Roman"/>
                                <w:b/>
                                <w:bCs/>
                                <w:sz w:val="18"/>
                                <w:szCs w:val="18"/>
                                <w:lang w:val="en-US" w:eastAsia="zh-CN"/>
                              </w:rPr>
                              <w:t>在建</w:t>
                            </w:r>
                            <w:r>
                              <w:rPr>
                                <w:rFonts w:hint="default" w:ascii="Times New Roman" w:hAnsi="Times New Roman" w:eastAsia="宋体" w:cs="Times New Roman"/>
                                <w:b/>
                                <w:bCs/>
                                <w:sz w:val="18"/>
                                <w:szCs w:val="18"/>
                                <w:lang w:eastAsia="zh-CN"/>
                              </w:rPr>
                              <w:t>）</w:t>
                            </w:r>
                          </w:p>
                          <w:p w14:paraId="740CB31C">
                            <w:pPr>
                              <w:rPr>
                                <w:rFonts w:hint="default" w:ascii="Times New Roman" w:hAnsi="Times New Roman" w:eastAsia="宋体" w:cs="Times New Roman"/>
                                <w:b/>
                                <w:bCs/>
                                <w:sz w:val="18"/>
                                <w:szCs w:val="18"/>
                                <w:lang w:val="en-US" w:eastAsia="zh-CN"/>
                              </w:rPr>
                            </w:pPr>
                            <w:r>
                              <w:rPr>
                                <w:rFonts w:hint="default" w:ascii="Times New Roman" w:hAnsi="Times New Roman" w:eastAsia="宋体" w:cs="Times New Roman"/>
                                <w:b/>
                                <w:bCs/>
                                <w:sz w:val="18"/>
                                <w:szCs w:val="18"/>
                                <w:lang w:val="en-US" w:eastAsia="zh-CN"/>
                              </w:rPr>
                              <w:t>306</w:t>
                            </w:r>
                            <w:r>
                              <w:rPr>
                                <w:rFonts w:hint="default" w:ascii="Times New Roman" w:hAnsi="Times New Roman" w:cs="Times New Roman"/>
                                <w:b/>
                                <w:bCs/>
                                <w:sz w:val="18"/>
                                <w:szCs w:val="18"/>
                                <w:lang w:val="en-US" w:eastAsia="zh-CN"/>
                              </w:rPr>
                              <w:t>m</w:t>
                            </w:r>
                          </w:p>
                          <w:p w14:paraId="20714FD4">
                            <w:pPr>
                              <w:rPr>
                                <w:rFonts w:hint="eastAsia" w:ascii="宋体" w:hAnsi="宋体" w:eastAsia="宋体" w:cs="宋体"/>
                                <w:sz w:val="21"/>
                                <w:szCs w:val="21"/>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2.95pt;margin-top:69.75pt;height:47.4pt;width:113.7pt;z-index:251796480;mso-width-relative:page;mso-height-relative:page;" filled="f" stroked="f" coordsize="21600,21600" o:gfxdata="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PEM9C9wAAAALAQAADwAAAAAA&#10;AAABACAAAAAiAAAAZHJzL2Rvd25yZXYueG1sUEsBAhQAFAAAAAgAh07iQHBsSsJIAgAAdgQAAA4A&#10;AAAAAAAAAQAgAAAAKwEAAGRycy9lMm9Eb2MueG1sUEsFBgAAAAAGAAYAWQEAAOUFAAAAAA==&#10;">
                <v:fill on="f" focussize="0,0"/>
                <v:stroke on="f" weight="0.5pt"/>
                <v:imagedata o:title=""/>
                <o:lock v:ext="edit" aspectratio="f"/>
                <v:textbox>
                  <w:txbxContent>
                    <w:p w14:paraId="73E888FF">
                      <w:pPr>
                        <w:rPr>
                          <w:rFonts w:hint="default" w:ascii="Times New Roman" w:hAnsi="Times New Roman" w:eastAsia="宋体" w:cs="Times New Roman"/>
                          <w:b/>
                          <w:bCs/>
                          <w:sz w:val="18"/>
                          <w:szCs w:val="18"/>
                          <w:lang w:eastAsia="zh-CN"/>
                        </w:rPr>
                      </w:pPr>
                      <w:r>
                        <w:rPr>
                          <w:rFonts w:hint="default" w:ascii="Times New Roman" w:hAnsi="Times New Roman" w:eastAsia="宋体" w:cs="Times New Roman"/>
                          <w:b/>
                          <w:bCs/>
                          <w:sz w:val="18"/>
                          <w:szCs w:val="18"/>
                        </w:rPr>
                        <w:t>新帮珺悦花园</w:t>
                      </w:r>
                      <w:r>
                        <w:rPr>
                          <w:rFonts w:hint="default" w:ascii="Times New Roman" w:hAnsi="Times New Roman" w:eastAsia="宋体" w:cs="Times New Roman"/>
                          <w:b/>
                          <w:bCs/>
                          <w:sz w:val="18"/>
                          <w:szCs w:val="18"/>
                          <w:lang w:eastAsia="zh-CN"/>
                        </w:rPr>
                        <w:t>（</w:t>
                      </w:r>
                      <w:r>
                        <w:rPr>
                          <w:rFonts w:hint="default" w:ascii="Times New Roman" w:hAnsi="Times New Roman" w:eastAsia="宋体" w:cs="Times New Roman"/>
                          <w:b/>
                          <w:bCs/>
                          <w:sz w:val="18"/>
                          <w:szCs w:val="18"/>
                          <w:lang w:val="en-US" w:eastAsia="zh-CN"/>
                        </w:rPr>
                        <w:t>在建</w:t>
                      </w:r>
                      <w:r>
                        <w:rPr>
                          <w:rFonts w:hint="default" w:ascii="Times New Roman" w:hAnsi="Times New Roman" w:eastAsia="宋体" w:cs="Times New Roman"/>
                          <w:b/>
                          <w:bCs/>
                          <w:sz w:val="18"/>
                          <w:szCs w:val="18"/>
                          <w:lang w:eastAsia="zh-CN"/>
                        </w:rPr>
                        <w:t>）</w:t>
                      </w:r>
                    </w:p>
                    <w:p w14:paraId="740CB31C">
                      <w:pPr>
                        <w:rPr>
                          <w:rFonts w:hint="default" w:ascii="Times New Roman" w:hAnsi="Times New Roman" w:eastAsia="宋体" w:cs="Times New Roman"/>
                          <w:b/>
                          <w:bCs/>
                          <w:sz w:val="18"/>
                          <w:szCs w:val="18"/>
                          <w:lang w:val="en-US" w:eastAsia="zh-CN"/>
                        </w:rPr>
                      </w:pPr>
                      <w:r>
                        <w:rPr>
                          <w:rFonts w:hint="default" w:ascii="Times New Roman" w:hAnsi="Times New Roman" w:eastAsia="宋体" w:cs="Times New Roman"/>
                          <w:b/>
                          <w:bCs/>
                          <w:sz w:val="18"/>
                          <w:szCs w:val="18"/>
                          <w:lang w:val="en-US" w:eastAsia="zh-CN"/>
                        </w:rPr>
                        <w:t>306</w:t>
                      </w:r>
                      <w:r>
                        <w:rPr>
                          <w:rFonts w:hint="default" w:ascii="Times New Roman" w:hAnsi="Times New Roman" w:cs="Times New Roman"/>
                          <w:b/>
                          <w:bCs/>
                          <w:sz w:val="18"/>
                          <w:szCs w:val="18"/>
                          <w:lang w:val="en-US" w:eastAsia="zh-CN"/>
                        </w:rPr>
                        <w:t>m</w:t>
                      </w:r>
                    </w:p>
                    <w:p w14:paraId="20714FD4">
                      <w:pPr>
                        <w:rPr>
                          <w:rFonts w:hint="eastAsia" w:ascii="宋体" w:hAnsi="宋体" w:eastAsia="宋体" w:cs="宋体"/>
                          <w:sz w:val="21"/>
                          <w:szCs w:val="21"/>
                        </w:rPr>
                      </w:pPr>
                    </w:p>
                  </w:txbxContent>
                </v:textbox>
              </v:shape>
            </w:pict>
          </mc:Fallback>
        </mc:AlternateContent>
      </w:r>
      <w:r>
        <w:rPr>
          <w:color w:val="auto"/>
          <w:sz w:val="24"/>
          <w:highlight w:val="none"/>
        </w:rPr>
        <mc:AlternateContent>
          <mc:Choice Requires="wps">
            <w:drawing>
              <wp:anchor distT="0" distB="0" distL="114300" distR="114300" simplePos="0" relativeHeight="251795456" behindDoc="0" locked="0" layoutInCell="1" allowOverlap="1">
                <wp:simplePos x="0" y="0"/>
                <wp:positionH relativeFrom="column">
                  <wp:posOffset>2805430</wp:posOffset>
                </wp:positionH>
                <wp:positionV relativeFrom="paragraph">
                  <wp:posOffset>739140</wp:posOffset>
                </wp:positionV>
                <wp:extent cx="1106170" cy="542290"/>
                <wp:effectExtent l="6350" t="6350" r="11430" b="22860"/>
                <wp:wrapNone/>
                <wp:docPr id="116" name="任意多边形 116"/>
                <wp:cNvGraphicFramePr/>
                <a:graphic xmlns:a="http://schemas.openxmlformats.org/drawingml/2006/main">
                  <a:graphicData uri="http://schemas.microsoft.com/office/word/2010/wordprocessingShape">
                    <wps:wsp>
                      <wps:cNvSpPr/>
                      <wps:spPr>
                        <a:xfrm>
                          <a:off x="3885565" y="1711325"/>
                          <a:ext cx="1106170" cy="542290"/>
                        </a:xfrm>
                        <a:custGeom>
                          <a:avLst/>
                          <a:gdLst>
                            <a:gd name="connisteX0" fmla="*/ 58420 w 1106170"/>
                            <a:gd name="connsiteY0" fmla="*/ 0 h 542290"/>
                            <a:gd name="connisteX1" fmla="*/ 0 w 1106170"/>
                            <a:gd name="connsiteY1" fmla="*/ 483870 h 542290"/>
                            <a:gd name="connisteX2" fmla="*/ 1047750 w 1106170"/>
                            <a:gd name="connsiteY2" fmla="*/ 542290 h 542290"/>
                            <a:gd name="connisteX3" fmla="*/ 1106170 w 1106170"/>
                            <a:gd name="connsiteY3" fmla="*/ 314325 h 542290"/>
                            <a:gd name="connisteX4" fmla="*/ 58420 w 1106170"/>
                            <a:gd name="connsiteY4" fmla="*/ 0 h 542290"/>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1106170" h="542290">
                              <a:moveTo>
                                <a:pt x="58420" y="0"/>
                              </a:moveTo>
                              <a:lnTo>
                                <a:pt x="0" y="483870"/>
                              </a:lnTo>
                              <a:lnTo>
                                <a:pt x="1047750" y="542290"/>
                              </a:lnTo>
                              <a:lnTo>
                                <a:pt x="1106170" y="314325"/>
                              </a:lnTo>
                              <a:lnTo>
                                <a:pt x="58420" y="0"/>
                              </a:lnTo>
                              <a:close/>
                            </a:path>
                          </a:pathLst>
                        </a:custGeom>
                        <a:solidFill>
                          <a:schemeClr val="accent6">
                            <a:lumMod val="60000"/>
                            <a:lumOff val="40000"/>
                            <a:alpha val="30000"/>
                          </a:schemeClr>
                        </a:solidFill>
                        <a:ln w="12700">
                          <a:solidFill>
                            <a:schemeClr val="accent6"/>
                          </a:solidFill>
                          <a:prstDash val="sysDash"/>
                        </a:ln>
                      </wps:spPr>
                      <wps:style>
                        <a:lnRef idx="2">
                          <a:schemeClr val="accent1">
                            <a:lumMod val="75000"/>
                          </a:schemeClr>
                        </a:lnRef>
                        <a:fillRef idx="1">
                          <a:schemeClr val="accent1"/>
                        </a:fillRef>
                        <a:effectRef idx="0">
                          <a:srgbClr val="FFFFFF"/>
                        </a:effectRef>
                        <a:fontRef idx="minor">
                          <a:schemeClr val="lt1"/>
                        </a:fontRef>
                      </wps:style>
                      <wps:txbx>
                        <w:txbxContent>
                          <w:p w14:paraId="51025B99">
                            <w:pPr>
                              <w:jc w:val="center"/>
                            </w:pPr>
                          </w:p>
                        </w:txbxContent>
                      </wps:txbx>
                      <wps:bodyPr/>
                    </wps:wsp>
                  </a:graphicData>
                </a:graphic>
              </wp:anchor>
            </w:drawing>
          </mc:Choice>
          <mc:Fallback>
            <w:pict>
              <v:shape id="_x0000_s1026" o:spid="_x0000_s1026" o:spt="100" style="position:absolute;left:0pt;margin-left:220.9pt;margin-top:58.2pt;height:42.7pt;width:87.1pt;z-index:251795456;mso-width-relative:page;mso-height-relative:page;" fillcolor="#FAC090 [1945]" filled="t" stroked="t" coordsize="1106170,542290" o:gfxdata="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" path="m58420,0l0,483870,1047750,542290,1106170,314325,58420,0xe">
                <v:path textboxrect="0,0,1106170,542290" o:connectlocs="58420,0;0,483870;1047750,542290;1106170,314325;58420,0" o:connectangles="0,0,0,0,0"/>
                <v:fill on="t" opacity="19660f" focussize="0,0"/>
                <v:stroke weight="1pt" color="#F79646 [3209]" joinstyle="round" dashstyle="3 1"/>
                <v:imagedata o:title=""/>
                <o:lock v:ext="edit" aspectratio="f"/>
                <v:textbox>
                  <w:txbxContent>
                    <w:p w14:paraId="51025B99">
                      <w:pPr>
                        <w:jc w:val="center"/>
                      </w:pPr>
                    </w:p>
                  </w:txbxContent>
                </v:textbox>
              </v:shape>
            </w:pict>
          </mc:Fallback>
        </mc:AlternateContent>
      </w:r>
      <w:r>
        <w:rPr>
          <w:color w:val="auto"/>
          <w:sz w:val="24"/>
          <w:highlight w:val="none"/>
        </w:rPr>
        <mc:AlternateContent>
          <mc:Choice Requires="wps">
            <w:drawing>
              <wp:anchor distT="0" distB="0" distL="114300" distR="114300" simplePos="0" relativeHeight="251794432" behindDoc="0" locked="0" layoutInCell="1" allowOverlap="1">
                <wp:simplePos x="0" y="0"/>
                <wp:positionH relativeFrom="column">
                  <wp:posOffset>4440555</wp:posOffset>
                </wp:positionH>
                <wp:positionV relativeFrom="paragraph">
                  <wp:posOffset>2947035</wp:posOffset>
                </wp:positionV>
                <wp:extent cx="440055" cy="234315"/>
                <wp:effectExtent l="6350" t="6350" r="10795" b="6985"/>
                <wp:wrapNone/>
                <wp:docPr id="114" name="矩形 114"/>
                <wp:cNvGraphicFramePr/>
                <a:graphic xmlns:a="http://schemas.openxmlformats.org/drawingml/2006/main">
                  <a:graphicData uri="http://schemas.microsoft.com/office/word/2010/wordprocessingShape">
                    <wps:wsp>
                      <wps:cNvSpPr/>
                      <wps:spPr>
                        <a:xfrm>
                          <a:off x="5520690" y="3919220"/>
                          <a:ext cx="440055" cy="234315"/>
                        </a:xfrm>
                        <a:prstGeom prst="rect">
                          <a:avLst/>
                        </a:prstGeom>
                        <a:solidFill>
                          <a:schemeClr val="accent6">
                            <a:lumMod val="60000"/>
                            <a:lumOff val="40000"/>
                            <a:alpha val="35000"/>
                          </a:schemeClr>
                        </a:solidFill>
                        <a:ln w="12700">
                          <a:solidFill>
                            <a:schemeClr val="accent6"/>
                          </a:solidFill>
                          <a:prstDash val="sysDash"/>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49.65pt;margin-top:232.05pt;height:18.45pt;width:34.65pt;z-index:251794432;v-text-anchor:middle;mso-width-relative:page;mso-height-relative:page;" fillcolor="#FAC090 [1945]" filled="t" stroked="t" coordsize="21600,21600" o:gfxdata="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">
                <v:fill on="t" opacity="22937f" focussize="0,0"/>
                <v:stroke weight="1pt" color="#F79646 [3209]" joinstyle="round" dashstyle="3 1"/>
                <v:imagedata o:title=""/>
                <o:lock v:ext="edit" aspectratio="f"/>
              </v:rect>
            </w:pict>
          </mc:Fallback>
        </mc:AlternateContent>
      </w:r>
      <w:r>
        <w:rPr>
          <w:color w:val="auto"/>
          <w:sz w:val="24"/>
          <w:highlight w:val="none"/>
        </w:rPr>
        <mc:AlternateContent>
          <mc:Choice Requires="wps">
            <w:drawing>
              <wp:anchor distT="0" distB="0" distL="114300" distR="114300" simplePos="0" relativeHeight="251660288" behindDoc="0" locked="0" layoutInCell="1" allowOverlap="1">
                <wp:simplePos x="0" y="0"/>
                <wp:positionH relativeFrom="column">
                  <wp:posOffset>2663190</wp:posOffset>
                </wp:positionH>
                <wp:positionV relativeFrom="paragraph">
                  <wp:posOffset>1770380</wp:posOffset>
                </wp:positionV>
                <wp:extent cx="810260" cy="796925"/>
                <wp:effectExtent l="6350" t="6350" r="21590" b="15875"/>
                <wp:wrapNone/>
                <wp:docPr id="138" name="任意多边形 138"/>
                <wp:cNvGraphicFramePr/>
                <a:graphic xmlns:a="http://schemas.openxmlformats.org/drawingml/2006/main">
                  <a:graphicData uri="http://schemas.microsoft.com/office/word/2010/wordprocessingShape">
                    <wps:wsp>
                      <wps:cNvSpPr/>
                      <wps:spPr>
                        <a:xfrm>
                          <a:off x="3716020" y="2911475"/>
                          <a:ext cx="810260" cy="796925"/>
                        </a:xfrm>
                        <a:custGeom>
                          <a:avLst/>
                          <a:gdLst>
                            <a:gd name="connisteX0" fmla="*/ 34925 w 807085"/>
                            <a:gd name="connsiteY0" fmla="*/ 0 h 715645"/>
                            <a:gd name="connisteX1" fmla="*/ 0 w 807085"/>
                            <a:gd name="connsiteY1" fmla="*/ 715645 h 715645"/>
                            <a:gd name="connisteX2" fmla="*/ 782320 w 807085"/>
                            <a:gd name="connsiteY2" fmla="*/ 571500 h 715645"/>
                            <a:gd name="connisteX3" fmla="*/ 807085 w 807085"/>
                            <a:gd name="connsiteY3" fmla="*/ 13970 h 715645"/>
                            <a:gd name="connisteX4" fmla="*/ 34925 w 807085"/>
                            <a:gd name="connsiteY4" fmla="*/ 0 h 715645"/>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807085" h="715645">
                              <a:moveTo>
                                <a:pt x="34925" y="0"/>
                              </a:moveTo>
                              <a:lnTo>
                                <a:pt x="0" y="715645"/>
                              </a:lnTo>
                              <a:lnTo>
                                <a:pt x="782320" y="571500"/>
                              </a:lnTo>
                              <a:lnTo>
                                <a:pt x="807085" y="13970"/>
                              </a:lnTo>
                              <a:lnTo>
                                <a:pt x="34925" y="0"/>
                              </a:lnTo>
                              <a:close/>
                            </a:path>
                          </a:pathLst>
                        </a:custGeom>
                        <a:solidFill>
                          <a:schemeClr val="accent6">
                            <a:lumMod val="60000"/>
                            <a:lumOff val="40000"/>
                            <a:alpha val="25000"/>
                          </a:schemeClr>
                        </a:solidFill>
                        <a:ln w="12700">
                          <a:solidFill>
                            <a:schemeClr val="accent6">
                              <a:lumMod val="75000"/>
                            </a:schemeClr>
                          </a:solidFill>
                          <a:prstDash val="sysDash"/>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09.7pt;margin-top:139.4pt;height:62.75pt;width:63.8pt;z-index:251660288;mso-width-relative:page;mso-height-relative:page;" fillcolor="#FAC090 [1945]" filled="t" stroked="t" coordsize="807085,715645" o:gfxdata="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" path="m34925,0l0,715645,782320,571500,807085,13970,34925,0xe">
                <v:path o:connectlocs="35062,0;0,796925;785397,636408;810260,15556;35062,0" o:connectangles="0,0,0,0,0"/>
                <v:fill on="t" opacity="16384f" focussize="0,0"/>
                <v:stroke weight="1pt" color="#E46C0A [2409]" joinstyle="round" dashstyle="3 1"/>
                <v:imagedata o:title=""/>
                <o:lock v:ext="edit" aspectratio="f"/>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700224" behindDoc="0" locked="0" layoutInCell="1" allowOverlap="1">
                <wp:simplePos x="0" y="0"/>
                <wp:positionH relativeFrom="column">
                  <wp:posOffset>6045835</wp:posOffset>
                </wp:positionH>
                <wp:positionV relativeFrom="paragraph">
                  <wp:posOffset>3853815</wp:posOffset>
                </wp:positionV>
                <wp:extent cx="551180" cy="281940"/>
                <wp:effectExtent l="0" t="0" r="0" b="0"/>
                <wp:wrapNone/>
                <wp:docPr id="174" name="文本框 174"/>
                <wp:cNvGraphicFramePr/>
                <a:graphic xmlns:a="http://schemas.openxmlformats.org/drawingml/2006/main">
                  <a:graphicData uri="http://schemas.microsoft.com/office/word/2010/wordprocessingShape">
                    <wps:wsp>
                      <wps:cNvSpPr txBox="1"/>
                      <wps:spPr>
                        <a:xfrm>
                          <a:off x="4803775" y="3962400"/>
                          <a:ext cx="551180" cy="2819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2DE17B6">
                            <w:pPr>
                              <w:rPr>
                                <w:rFonts w:hint="eastAsia"/>
                                <w:b/>
                                <w:bCs/>
                                <w:sz w:val="21"/>
                                <w:szCs w:val="21"/>
                                <w:lang w:val="en-US" w:eastAsia="zh-CN"/>
                              </w:rPr>
                            </w:pPr>
                            <w:r>
                              <w:rPr>
                                <w:rFonts w:hint="eastAsia"/>
                                <w:b/>
                                <w:bCs/>
                                <w:sz w:val="21"/>
                                <w:szCs w:val="21"/>
                                <w:lang w:val="en-US" w:eastAsia="zh-CN"/>
                              </w:rPr>
                              <w:t>495m</w:t>
                            </w:r>
                          </w:p>
                          <w:p w14:paraId="4F84BA85">
                            <w:pPr>
                              <w:rPr>
                                <w:rFonts w:hint="default"/>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76.05pt;margin-top:303.45pt;height:22.2pt;width:43.4pt;z-index:251700224;mso-width-relative:page;mso-height-relative:page;" filled="f" stroked="f" coordsize="21600,21600" o:gfxdata="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IFp70zbAAAADAEAAA8AAAAA&#10;AAAAAQAgAAAAIgAAAGRycy9kb3ducmV2LnhtbFBLAQIUABQAAAAIAIdO4kD9s0UxSgIAAHUEAAAO&#10;AAAAAAAAAAEAIAAAACoBAABkcnMvZTJvRG9jLnhtbFBLBQYAAAAABgAGAFkBAADmBQAAAAA=&#10;">
                <v:fill on="f" focussize="0,0"/>
                <v:stroke on="f" weight="0.5pt"/>
                <v:imagedata o:title=""/>
                <o:lock v:ext="edit" aspectratio="f"/>
                <v:textbox>
                  <w:txbxContent>
                    <w:p w14:paraId="52DE17B6">
                      <w:pPr>
                        <w:rPr>
                          <w:rFonts w:hint="eastAsia"/>
                          <w:b/>
                          <w:bCs/>
                          <w:sz w:val="21"/>
                          <w:szCs w:val="21"/>
                          <w:lang w:val="en-US" w:eastAsia="zh-CN"/>
                        </w:rPr>
                      </w:pPr>
                      <w:r>
                        <w:rPr>
                          <w:rFonts w:hint="eastAsia"/>
                          <w:b/>
                          <w:bCs/>
                          <w:sz w:val="21"/>
                          <w:szCs w:val="21"/>
                          <w:lang w:val="en-US" w:eastAsia="zh-CN"/>
                        </w:rPr>
                        <w:t>495m</w:t>
                      </w:r>
                    </w:p>
                    <w:p w14:paraId="4F84BA85">
                      <w:pPr>
                        <w:rPr>
                          <w:rFonts w:hint="default"/>
                          <w:lang w:val="en-US" w:eastAsia="zh-CN"/>
                        </w:rPr>
                      </w:pPr>
                    </w:p>
                  </w:txbxContent>
                </v:textbox>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699200" behindDoc="0" locked="0" layoutInCell="1" allowOverlap="1">
                <wp:simplePos x="0" y="0"/>
                <wp:positionH relativeFrom="column">
                  <wp:posOffset>5875655</wp:posOffset>
                </wp:positionH>
                <wp:positionV relativeFrom="paragraph">
                  <wp:posOffset>3991610</wp:posOffset>
                </wp:positionV>
                <wp:extent cx="767080" cy="281305"/>
                <wp:effectExtent l="0" t="0" r="0" b="0"/>
                <wp:wrapNone/>
                <wp:docPr id="160" name="文本框 160"/>
                <wp:cNvGraphicFramePr/>
                <a:graphic xmlns:a="http://schemas.openxmlformats.org/drawingml/2006/main">
                  <a:graphicData uri="http://schemas.microsoft.com/office/word/2010/wordprocessingShape">
                    <wps:wsp>
                      <wps:cNvSpPr txBox="1"/>
                      <wps:spPr>
                        <a:xfrm>
                          <a:off x="5250815" y="4417060"/>
                          <a:ext cx="767080" cy="2813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D146D73">
                            <w:pPr>
                              <w:rPr>
                                <w:rFonts w:hint="default" w:eastAsia="宋体"/>
                                <w:b/>
                                <w:bCs/>
                                <w:sz w:val="21"/>
                                <w:szCs w:val="21"/>
                                <w:lang w:val="en-US" w:eastAsia="zh-CN"/>
                              </w:rPr>
                            </w:pPr>
                            <w:r>
                              <w:rPr>
                                <w:rFonts w:hint="eastAsia"/>
                                <w:b/>
                                <w:bCs/>
                                <w:sz w:val="21"/>
                                <w:szCs w:val="21"/>
                                <w:lang w:val="en-US" w:eastAsia="zh-CN"/>
                              </w:rPr>
                              <w:t>中港花园</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62.65pt;margin-top:314.3pt;height:22.15pt;width:60.4pt;z-index:251699200;mso-width-relative:page;mso-height-relative:page;" filled="f" stroked="f" coordsize="21600,21600" o:gfxdata="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DFdnfE3QAAAAwBAAAPAAAA&#10;AAAAAAEAIAAAACIAAABkcnMvZG93bnJldi54bWxQSwECFAAUAAAACACHTuJAEYy5zEkCAAB1BAAA&#10;DgAAAAAAAAABACAAAAAsAQAAZHJzL2Uyb0RvYy54bWxQSwUGAAAAAAYABgBZAQAA5wUAAAAA&#10;">
                <v:fill on="f" focussize="0,0"/>
                <v:stroke on="f" weight="0.5pt"/>
                <v:imagedata o:title=""/>
                <o:lock v:ext="edit" aspectratio="f"/>
                <v:textbox>
                  <w:txbxContent>
                    <w:p w14:paraId="6D146D73">
                      <w:pPr>
                        <w:rPr>
                          <w:rFonts w:hint="default" w:eastAsia="宋体"/>
                          <w:b/>
                          <w:bCs/>
                          <w:sz w:val="21"/>
                          <w:szCs w:val="21"/>
                          <w:lang w:val="en-US" w:eastAsia="zh-CN"/>
                        </w:rPr>
                      </w:pPr>
                      <w:r>
                        <w:rPr>
                          <w:rFonts w:hint="eastAsia"/>
                          <w:b/>
                          <w:bCs/>
                          <w:sz w:val="21"/>
                          <w:szCs w:val="21"/>
                          <w:lang w:val="en-US" w:eastAsia="zh-CN"/>
                        </w:rPr>
                        <w:t>中港花园</w:t>
                      </w:r>
                    </w:p>
                  </w:txbxContent>
                </v:textbox>
              </v:shape>
            </w:pict>
          </mc:Fallback>
        </mc:AlternateContent>
      </w:r>
      <w:r>
        <w:rPr>
          <w:color w:val="auto"/>
          <w:sz w:val="24"/>
          <w:highlight w:val="none"/>
        </w:rPr>
        <mc:AlternateContent>
          <mc:Choice Requires="wps">
            <w:drawing>
              <wp:anchor distT="0" distB="0" distL="114300" distR="114300" simplePos="0" relativeHeight="251717632" behindDoc="0" locked="0" layoutInCell="1" allowOverlap="1">
                <wp:simplePos x="0" y="0"/>
                <wp:positionH relativeFrom="column">
                  <wp:posOffset>6122035</wp:posOffset>
                </wp:positionH>
                <wp:positionV relativeFrom="paragraph">
                  <wp:posOffset>4240530</wp:posOffset>
                </wp:positionV>
                <wp:extent cx="450215" cy="227965"/>
                <wp:effectExtent l="6350" t="6350" r="19685" b="13335"/>
                <wp:wrapNone/>
                <wp:docPr id="137" name="任意多边形 137"/>
                <wp:cNvGraphicFramePr/>
                <a:graphic xmlns:a="http://schemas.openxmlformats.org/drawingml/2006/main">
                  <a:graphicData uri="http://schemas.microsoft.com/office/word/2010/wordprocessingShape">
                    <wps:wsp>
                      <wps:cNvSpPr/>
                      <wps:spPr>
                        <a:xfrm>
                          <a:off x="7186295" y="5090795"/>
                          <a:ext cx="450215" cy="227965"/>
                        </a:xfrm>
                        <a:custGeom>
                          <a:avLst/>
                          <a:gdLst>
                            <a:gd name="connisteX0" fmla="*/ 126365 w 393065"/>
                            <a:gd name="connsiteY0" fmla="*/ 18415 h 227965"/>
                            <a:gd name="connisteX1" fmla="*/ 0 w 393065"/>
                            <a:gd name="connsiteY1" fmla="*/ 155575 h 227965"/>
                            <a:gd name="connisteX2" fmla="*/ 0 w 393065"/>
                            <a:gd name="connsiteY2" fmla="*/ 209550 h 227965"/>
                            <a:gd name="connisteX3" fmla="*/ 154940 w 393065"/>
                            <a:gd name="connsiteY3" fmla="*/ 227965 h 227965"/>
                            <a:gd name="connisteX4" fmla="*/ 386080 w 393065"/>
                            <a:gd name="connsiteY4" fmla="*/ 227965 h 227965"/>
                            <a:gd name="connisteX5" fmla="*/ 393065 w 393065"/>
                            <a:gd name="connsiteY5" fmla="*/ 0 h 227965"/>
                            <a:gd name="connisteX6" fmla="*/ 126365 w 393065"/>
                            <a:gd name="connsiteY6" fmla="*/ 18415 h 22796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Lst>
                          <a:rect l="l" t="t" r="r" b="b"/>
                          <a:pathLst>
                            <a:path w="393065" h="227965">
                              <a:moveTo>
                                <a:pt x="126365" y="18415"/>
                              </a:moveTo>
                              <a:lnTo>
                                <a:pt x="0" y="155575"/>
                              </a:lnTo>
                              <a:lnTo>
                                <a:pt x="0" y="209550"/>
                              </a:lnTo>
                              <a:lnTo>
                                <a:pt x="154940" y="227965"/>
                              </a:lnTo>
                              <a:lnTo>
                                <a:pt x="386080" y="227965"/>
                              </a:lnTo>
                              <a:lnTo>
                                <a:pt x="393065" y="0"/>
                              </a:lnTo>
                              <a:lnTo>
                                <a:pt x="126365" y="18415"/>
                              </a:lnTo>
                              <a:close/>
                            </a:path>
                          </a:pathLst>
                        </a:custGeom>
                        <a:solidFill>
                          <a:schemeClr val="accent6">
                            <a:lumMod val="60000"/>
                            <a:lumOff val="40000"/>
                            <a:alpha val="25000"/>
                          </a:schemeClr>
                        </a:solidFill>
                        <a:ln w="12700">
                          <a:solidFill>
                            <a:schemeClr val="accent6">
                              <a:lumMod val="75000"/>
                            </a:schemeClr>
                          </a:solidFill>
                          <a:prstDash val="sysDash"/>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482.05pt;margin-top:333.9pt;height:17.95pt;width:35.45pt;z-index:251717632;mso-width-relative:page;mso-height-relative:page;" fillcolor="#FAC090 [1945]" filled="t" stroked="t" coordsize="393065,227965" o:gfxdata="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" path="m126365,18415l0,155575,0,209550,154940,227965,386080,227965,393065,0,126365,18415xe">
                <v:path o:connectlocs="144737,18415;0,155575;0,209550;177467,227965;442214,227965;450215,0;144737,18415" o:connectangles="0,0,0,0,0,0,0"/>
                <v:fill on="t" opacity="16384f" focussize="0,0"/>
                <v:stroke weight="1pt" color="#E46C0A [2409]" joinstyle="round" dashstyle="3 1"/>
                <v:imagedata o:title=""/>
                <o:lock v:ext="edit" aspectratio="f"/>
              </v:shape>
            </w:pict>
          </mc:Fallback>
        </mc:AlternateContent>
      </w:r>
      <w:r>
        <w:rPr>
          <w:color w:val="auto"/>
          <w:sz w:val="24"/>
          <w:highlight w:val="none"/>
        </w:rPr>
        <mc:AlternateContent>
          <mc:Choice Requires="wps">
            <w:drawing>
              <wp:anchor distT="0" distB="0" distL="114300" distR="114300" simplePos="0" relativeHeight="251742208" behindDoc="0" locked="0" layoutInCell="1" allowOverlap="1">
                <wp:simplePos x="0" y="0"/>
                <wp:positionH relativeFrom="column">
                  <wp:posOffset>8013065</wp:posOffset>
                </wp:positionH>
                <wp:positionV relativeFrom="paragraph">
                  <wp:posOffset>2299970</wp:posOffset>
                </wp:positionV>
                <wp:extent cx="778510" cy="277495"/>
                <wp:effectExtent l="0" t="0" r="0" b="0"/>
                <wp:wrapNone/>
                <wp:docPr id="128" name="文本框 128"/>
                <wp:cNvGraphicFramePr/>
                <a:graphic xmlns:a="http://schemas.openxmlformats.org/drawingml/2006/main">
                  <a:graphicData uri="http://schemas.microsoft.com/office/word/2010/wordprocessingShape">
                    <wps:wsp>
                      <wps:cNvSpPr txBox="1"/>
                      <wps:spPr>
                        <a:xfrm>
                          <a:off x="9128760" y="3275965"/>
                          <a:ext cx="778510" cy="2774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4F47038">
                            <w:pPr>
                              <w:rPr>
                                <w:rFonts w:hint="default" w:eastAsia="宋体"/>
                                <w:lang w:val="en-US" w:eastAsia="zh-CN"/>
                              </w:rPr>
                            </w:pPr>
                            <w:r>
                              <w:rPr>
                                <w:rFonts w:hint="eastAsia"/>
                                <w:lang w:val="en-US" w:eastAsia="zh-CN"/>
                              </w:rPr>
                              <w:t>项目位置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30.95pt;margin-top:181.1pt;height:21.85pt;width:61.3pt;z-index:251742208;mso-width-relative:page;mso-height-relative:page;" filled="f" stroked="f" coordsize="21600,21600" o:gfxdata="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CoO7JC3QAAAA0BAAAPAAAA&#10;AAAAAAEAIAAAACIAAABkcnMvZG93bnJldi54bWxQSwECFAAUAAAACACHTuJAcBz9jEkCAAB1BAAA&#10;DgAAAAAAAAABACAAAAAsAQAAZHJzL2Uyb0RvYy54bWxQSwUGAAAAAAYABgBZAQAA5wUAAAAA&#10;">
                <v:fill on="f" focussize="0,0"/>
                <v:stroke on="f" weight="0.5pt"/>
                <v:imagedata o:title=""/>
                <o:lock v:ext="edit" aspectratio="f"/>
                <v:textbox>
                  <w:txbxContent>
                    <w:p w14:paraId="04F47038">
                      <w:pPr>
                        <w:rPr>
                          <w:rFonts w:hint="default" w:eastAsia="宋体"/>
                          <w:lang w:val="en-US" w:eastAsia="zh-CN"/>
                        </w:rPr>
                      </w:pPr>
                      <w:r>
                        <w:rPr>
                          <w:rFonts w:hint="eastAsia"/>
                          <w:lang w:val="en-US" w:eastAsia="zh-CN"/>
                        </w:rPr>
                        <w:t>项目位置</w:t>
                      </w:r>
                    </w:p>
                  </w:txbxContent>
                </v:textbox>
              </v:shape>
            </w:pict>
          </mc:Fallback>
        </mc:AlternateContent>
      </w: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741184" behindDoc="0" locked="0" layoutInCell="1" allowOverlap="1">
                <wp:simplePos x="0" y="0"/>
                <wp:positionH relativeFrom="column">
                  <wp:posOffset>7571740</wp:posOffset>
                </wp:positionH>
                <wp:positionV relativeFrom="paragraph">
                  <wp:posOffset>2311400</wp:posOffset>
                </wp:positionV>
                <wp:extent cx="406400" cy="200660"/>
                <wp:effectExtent l="9525" t="9525" r="22225" b="18415"/>
                <wp:wrapNone/>
                <wp:docPr id="126" name="矩形 428"/>
                <wp:cNvGraphicFramePr/>
                <a:graphic xmlns:a="http://schemas.openxmlformats.org/drawingml/2006/main">
                  <a:graphicData uri="http://schemas.microsoft.com/office/word/2010/wordprocessingShape">
                    <wps:wsp>
                      <wps:cNvSpPr/>
                      <wps:spPr>
                        <a:xfrm>
                          <a:off x="0" y="0"/>
                          <a:ext cx="406400" cy="200660"/>
                        </a:xfrm>
                        <a:prstGeom prst="rect">
                          <a:avLst/>
                        </a:prstGeom>
                        <a:noFill/>
                        <a:ln w="19050" cap="flat" cmpd="sng">
                          <a:solidFill>
                            <a:srgbClr val="FFFF00"/>
                          </a:solidFill>
                          <a:prstDash val="solid"/>
                          <a:miter/>
                          <a:headEnd type="none" w="med" len="med"/>
                          <a:tailEnd type="none" w="med" len="med"/>
                        </a:ln>
                      </wps:spPr>
                      <wps:bodyPr vert="horz" wrap="square" anchor="t" anchorCtr="0" upright="1"/>
                    </wps:wsp>
                  </a:graphicData>
                </a:graphic>
              </wp:anchor>
            </w:drawing>
          </mc:Choice>
          <mc:Fallback>
            <w:pict>
              <v:rect id="矩形 428" o:spid="_x0000_s1026" o:spt="1" style="position:absolute;left:0pt;margin-left:596.2pt;margin-top:182pt;height:15.8pt;width:32pt;z-index:251741184;mso-width-relative:page;mso-height-relative:page;" filled="f" stroked="t" coordsize="21600,21600" o:gfxdata="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N2GX8fYAAAADQEAAA8AAAAA&#10;AAAAAQAgAAAAIgAAAGRycy9kb3ducmV2LnhtbFBLAQIUABQAAAAIAIdO4kAJMxORFAIAACwEAAAO&#10;AAAAAAAAAAEAIAAAACcBAABkcnMvZTJvRG9jLnhtbFBLBQYAAAAABgAGAFkBAACtBQAAAAA=&#10;">
                <v:fill on="f" focussize="0,0"/>
                <v:stroke weight="1.5pt" color="#FFFF00" joinstyle="miter"/>
                <v:imagedata o:title=""/>
                <o:lock v:ext="edit" aspectratio="f"/>
              </v:rect>
            </w:pict>
          </mc:Fallback>
        </mc:AlternateContent>
      </w:r>
      <w:r>
        <w:rPr>
          <w:color w:val="auto"/>
          <w:sz w:val="24"/>
          <w:highlight w:val="none"/>
        </w:rPr>
        <mc:AlternateContent>
          <mc:Choice Requires="wps">
            <w:drawing>
              <wp:anchor distT="0" distB="0" distL="114300" distR="114300" simplePos="0" relativeHeight="251740160" behindDoc="0" locked="0" layoutInCell="1" allowOverlap="1">
                <wp:simplePos x="0" y="0"/>
                <wp:positionH relativeFrom="column">
                  <wp:posOffset>4044950</wp:posOffset>
                </wp:positionH>
                <wp:positionV relativeFrom="paragraph">
                  <wp:posOffset>2221865</wp:posOffset>
                </wp:positionV>
                <wp:extent cx="569595" cy="481965"/>
                <wp:effectExtent l="6350" t="6350" r="14605" b="6985"/>
                <wp:wrapNone/>
                <wp:docPr id="76" name="任意多边形 76"/>
                <wp:cNvGraphicFramePr/>
                <a:graphic xmlns:a="http://schemas.openxmlformats.org/drawingml/2006/main">
                  <a:graphicData uri="http://schemas.microsoft.com/office/word/2010/wordprocessingShape">
                    <wps:wsp>
                      <wps:cNvSpPr/>
                      <wps:spPr>
                        <a:xfrm>
                          <a:off x="0" y="0"/>
                          <a:ext cx="569595" cy="481965"/>
                        </a:xfrm>
                        <a:custGeom>
                          <a:avLst/>
                          <a:gdLst>
                            <a:gd name="connisteX0" fmla="*/ 1079500 w 1449705"/>
                            <a:gd name="connsiteY0" fmla="*/ 1470660 h 1512570"/>
                            <a:gd name="connisteX1" fmla="*/ 1259205 w 1449705"/>
                            <a:gd name="connsiteY1" fmla="*/ 1512570 h 1512570"/>
                            <a:gd name="connisteX2" fmla="*/ 1354455 w 1449705"/>
                            <a:gd name="connsiteY2" fmla="*/ 1470660 h 1512570"/>
                            <a:gd name="connisteX3" fmla="*/ 1397000 w 1449705"/>
                            <a:gd name="connsiteY3" fmla="*/ 1301750 h 1512570"/>
                            <a:gd name="connisteX4" fmla="*/ 1449705 w 1449705"/>
                            <a:gd name="connsiteY4" fmla="*/ 20320 h 1512570"/>
                            <a:gd name="connisteX5" fmla="*/ 0 w 1449705"/>
                            <a:gd name="connsiteY5" fmla="*/ 0 h 1512570"/>
                            <a:gd name="connisteX6" fmla="*/ 0 w 1449705"/>
                            <a:gd name="connsiteY6" fmla="*/ 1047750 h 1512570"/>
                            <a:gd name="connisteX7" fmla="*/ 1079500 w 1449705"/>
                            <a:gd name="connsiteY7" fmla="*/ 1470660 h 151257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Lst>
                          <a:rect l="l" t="t" r="r" b="b"/>
                          <a:pathLst>
                            <a:path w="1449705" h="1512570">
                              <a:moveTo>
                                <a:pt x="1079500" y="1470660"/>
                              </a:moveTo>
                              <a:lnTo>
                                <a:pt x="1259205" y="1512570"/>
                              </a:lnTo>
                              <a:lnTo>
                                <a:pt x="1354455" y="1470660"/>
                              </a:lnTo>
                              <a:lnTo>
                                <a:pt x="1397000" y="1301750"/>
                              </a:lnTo>
                              <a:lnTo>
                                <a:pt x="1449705" y="20320"/>
                              </a:lnTo>
                              <a:lnTo>
                                <a:pt x="0" y="0"/>
                              </a:lnTo>
                              <a:lnTo>
                                <a:pt x="0" y="1047750"/>
                              </a:lnTo>
                              <a:lnTo>
                                <a:pt x="1079500" y="1470660"/>
                              </a:lnTo>
                              <a:close/>
                            </a:path>
                          </a:pathLst>
                        </a:custGeom>
                        <a:noFill/>
                        <a:ln w="12700">
                          <a:solidFill>
                            <a:srgbClr val="00B0F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318.5pt;margin-top:174.95pt;height:37.95pt;width:44.85pt;z-index:251740160;mso-width-relative:page;mso-height-relative:page;" filled="f" stroked="t" coordsize="1449705,1512570" o:gfxdata="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" path="m1079500,1470660l1259205,1512570,1354455,1470660,1397000,1301750,1449705,20320,0,0,0,1047750,1079500,1470660xe">
                <v:path o:connectlocs="424139,468610;494746,481965;532170,468610;548886,414789;569595,6474;0,0;0,333854;424139,468610" o:connectangles="0,0,0,0,0,0,0,0"/>
                <v:fill on="f" focussize="0,0"/>
                <v:stroke weight="1pt" color="#00B0F0 [2404]" joinstyle="round"/>
                <v:imagedata o:title=""/>
                <o:lock v:ext="edit" aspectratio="f"/>
              </v:shape>
            </w:pict>
          </mc:Fallback>
        </mc:AlternateContent>
      </w:r>
      <w:r>
        <w:rPr>
          <w:color w:val="auto"/>
          <w:sz w:val="24"/>
          <w:highlight w:val="none"/>
        </w:rPr>
        <mc:AlternateContent>
          <mc:Choice Requires="wps">
            <w:drawing>
              <wp:anchor distT="0" distB="0" distL="114300" distR="114300" simplePos="0" relativeHeight="251739136" behindDoc="0" locked="0" layoutInCell="1" allowOverlap="1">
                <wp:simplePos x="0" y="0"/>
                <wp:positionH relativeFrom="column">
                  <wp:posOffset>4254500</wp:posOffset>
                </wp:positionH>
                <wp:positionV relativeFrom="paragraph">
                  <wp:posOffset>2398395</wp:posOffset>
                </wp:positionV>
                <wp:extent cx="135890" cy="119380"/>
                <wp:effectExtent l="6350" t="6350" r="10160" b="7620"/>
                <wp:wrapNone/>
                <wp:docPr id="75" name="任意多边形 75"/>
                <wp:cNvGraphicFramePr/>
                <a:graphic xmlns:a="http://schemas.openxmlformats.org/drawingml/2006/main">
                  <a:graphicData uri="http://schemas.microsoft.com/office/word/2010/wordprocessingShape">
                    <wps:wsp>
                      <wps:cNvSpPr/>
                      <wps:spPr>
                        <a:xfrm>
                          <a:off x="0" y="0"/>
                          <a:ext cx="135890" cy="119380"/>
                        </a:xfrm>
                        <a:custGeom>
                          <a:avLst/>
                          <a:gdLst>
                            <a:gd name="connisteX0" fmla="*/ 0 w 1417955"/>
                            <a:gd name="connsiteY0" fmla="*/ 0 h 941070"/>
                            <a:gd name="connisteX1" fmla="*/ 0 w 1417955"/>
                            <a:gd name="connsiteY1" fmla="*/ 486410 h 941070"/>
                            <a:gd name="connisteX2" fmla="*/ 1143000 w 1417955"/>
                            <a:gd name="connsiteY2" fmla="*/ 941070 h 941070"/>
                            <a:gd name="connisteX3" fmla="*/ 1311910 w 1417955"/>
                            <a:gd name="connsiteY3" fmla="*/ 930910 h 941070"/>
                            <a:gd name="connisteX4" fmla="*/ 1397000 w 1417955"/>
                            <a:gd name="connsiteY4" fmla="*/ 814070 h 941070"/>
                            <a:gd name="connisteX5" fmla="*/ 1417955 w 1417955"/>
                            <a:gd name="connsiteY5" fmla="*/ 73660 h 941070"/>
                            <a:gd name="connisteX6" fmla="*/ 0 w 1417955"/>
                            <a:gd name="connsiteY6" fmla="*/ 0 h 94107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Lst>
                          <a:rect l="l" t="t" r="r" b="b"/>
                          <a:pathLst>
                            <a:path w="1417955" h="941070">
                              <a:moveTo>
                                <a:pt x="0" y="0"/>
                              </a:moveTo>
                              <a:lnTo>
                                <a:pt x="0" y="486410"/>
                              </a:lnTo>
                              <a:lnTo>
                                <a:pt x="1143000" y="941070"/>
                              </a:lnTo>
                              <a:lnTo>
                                <a:pt x="1311910" y="930910"/>
                              </a:lnTo>
                              <a:lnTo>
                                <a:pt x="1397000" y="814070"/>
                              </a:lnTo>
                              <a:lnTo>
                                <a:pt x="1417955" y="73660"/>
                              </a:lnTo>
                              <a:lnTo>
                                <a:pt x="0" y="0"/>
                              </a:lnTo>
                              <a:close/>
                            </a:path>
                          </a:pathLst>
                        </a:custGeom>
                        <a:noFill/>
                        <a:ln w="12700">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335pt;margin-top:188.85pt;height:9.4pt;width:10.7pt;z-index:251739136;mso-width-relative:page;mso-height-relative:page;" filled="f" stroked="t" coordsize="1417955,941070" o:gfxdata="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" path="m0,0l0,486410,1143000,941070,1311910,930910,1397000,814070,1417955,73660,0,0xe">
                <v:path o:connectlocs="0,0;0,61703;109539,119380;125727,118091;133881,103269;135890,9344;0,0" o:connectangles="0,0,0,0,0,0,0"/>
                <v:fill on="f" focussize="0,0"/>
                <v:stroke weight="1pt" color="#FFFF00 [2404]" joinstyle="round"/>
                <v:imagedata o:title=""/>
                <o:lock v:ext="edit" aspectratio="f"/>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702272" behindDoc="0" locked="0" layoutInCell="1" allowOverlap="1">
                <wp:simplePos x="0" y="0"/>
                <wp:positionH relativeFrom="column">
                  <wp:posOffset>2807970</wp:posOffset>
                </wp:positionH>
                <wp:positionV relativeFrom="paragraph">
                  <wp:posOffset>2168525</wp:posOffset>
                </wp:positionV>
                <wp:extent cx="544830" cy="229870"/>
                <wp:effectExtent l="0" t="0" r="0" b="0"/>
                <wp:wrapNone/>
                <wp:docPr id="173" name="文本框 173"/>
                <wp:cNvGraphicFramePr/>
                <a:graphic xmlns:a="http://schemas.openxmlformats.org/drawingml/2006/main">
                  <a:graphicData uri="http://schemas.microsoft.com/office/word/2010/wordprocessingShape">
                    <wps:wsp>
                      <wps:cNvSpPr txBox="1"/>
                      <wps:spPr>
                        <a:xfrm>
                          <a:off x="3626485" y="3554730"/>
                          <a:ext cx="544830" cy="2298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0C3D364">
                            <w:pPr>
                              <w:rPr>
                                <w:rFonts w:hint="eastAsia"/>
                                <w:b/>
                                <w:bCs/>
                                <w:color w:val="000000" w:themeColor="text1"/>
                                <w:sz w:val="18"/>
                                <w:szCs w:val="18"/>
                                <w:lang w:val="en-US" w:eastAsia="zh-CN"/>
                                <w14:textFill>
                                  <w14:solidFill>
                                    <w14:schemeClr w14:val="tx1"/>
                                  </w14:solidFill>
                                </w14:textFill>
                              </w:rPr>
                            </w:pPr>
                            <w:r>
                              <w:rPr>
                                <w:rFonts w:hint="eastAsia"/>
                                <w:b/>
                                <w:bCs/>
                                <w:color w:val="000000" w:themeColor="text1"/>
                                <w:sz w:val="18"/>
                                <w:szCs w:val="18"/>
                                <w:lang w:val="en-US" w:eastAsia="zh-CN"/>
                                <w14:textFill>
                                  <w14:solidFill>
                                    <w14:schemeClr w14:val="tx1"/>
                                  </w14:solidFill>
                                </w14:textFill>
                              </w:rPr>
                              <w:t>189m</w:t>
                            </w:r>
                          </w:p>
                          <w:p w14:paraId="1656155C">
                            <w:pPr>
                              <w:rPr>
                                <w:rFonts w:hint="default"/>
                                <w:color w:val="000000" w:themeColor="text1"/>
                                <w:lang w:val="en-US" w:eastAsia="zh-CN"/>
                                <w14:textFill>
                                  <w14:solidFill>
                                    <w14:schemeClr w14:val="tx1"/>
                                  </w14:solidFill>
                                </w14:textFill>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1.1pt;margin-top:170.75pt;height:18.1pt;width:42.9pt;z-index:251702272;mso-width-relative:page;mso-height-relative:page;" filled="f" stroked="f" coordsize="21600,21600" o:gfxdata="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TzpRktwAAAALAQAADwAAAAAA&#10;AAABACAAAAAiAAAAZHJzL2Rvd25yZXYueG1sUEsBAhQAFAAAAAgAh07iQP0XLd9IAgAAdQQAAA4A&#10;AAAAAAAAAQAgAAAAKwEAAGRycy9lMm9Eb2MueG1sUEsFBgAAAAAGAAYAWQEAAOUFAAAAAA==&#10;">
                <v:fill on="f" focussize="0,0"/>
                <v:stroke on="f" weight="0.5pt"/>
                <v:imagedata o:title=""/>
                <o:lock v:ext="edit" aspectratio="f"/>
                <v:textbox>
                  <w:txbxContent>
                    <w:p w14:paraId="10C3D364">
                      <w:pPr>
                        <w:rPr>
                          <w:rFonts w:hint="eastAsia"/>
                          <w:b/>
                          <w:bCs/>
                          <w:color w:val="000000" w:themeColor="text1"/>
                          <w:sz w:val="18"/>
                          <w:szCs w:val="18"/>
                          <w:lang w:val="en-US" w:eastAsia="zh-CN"/>
                          <w14:textFill>
                            <w14:solidFill>
                              <w14:schemeClr w14:val="tx1"/>
                            </w14:solidFill>
                          </w14:textFill>
                        </w:rPr>
                      </w:pPr>
                      <w:r>
                        <w:rPr>
                          <w:rFonts w:hint="eastAsia"/>
                          <w:b/>
                          <w:bCs/>
                          <w:color w:val="000000" w:themeColor="text1"/>
                          <w:sz w:val="18"/>
                          <w:szCs w:val="18"/>
                          <w:lang w:val="en-US" w:eastAsia="zh-CN"/>
                          <w14:textFill>
                            <w14:solidFill>
                              <w14:schemeClr w14:val="tx1"/>
                            </w14:solidFill>
                          </w14:textFill>
                        </w:rPr>
                        <w:t>189m</w:t>
                      </w:r>
                    </w:p>
                    <w:p w14:paraId="1656155C">
                      <w:pPr>
                        <w:rPr>
                          <w:rFonts w:hint="default"/>
                          <w:color w:val="000000" w:themeColor="text1"/>
                          <w:lang w:val="en-US" w:eastAsia="zh-CN"/>
                          <w14:textFill>
                            <w14:solidFill>
                              <w14:schemeClr w14:val="tx1"/>
                            </w14:solidFill>
                          </w14:textFill>
                        </w:rPr>
                      </w:pPr>
                    </w:p>
                  </w:txbxContent>
                </v:textbox>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701248" behindDoc="0" locked="0" layoutInCell="1" allowOverlap="1">
                <wp:simplePos x="0" y="0"/>
                <wp:positionH relativeFrom="column">
                  <wp:posOffset>2762885</wp:posOffset>
                </wp:positionH>
                <wp:positionV relativeFrom="paragraph">
                  <wp:posOffset>1868170</wp:posOffset>
                </wp:positionV>
                <wp:extent cx="692785" cy="384810"/>
                <wp:effectExtent l="0" t="0" r="0" b="0"/>
                <wp:wrapNone/>
                <wp:docPr id="151" name="文本框 151"/>
                <wp:cNvGraphicFramePr/>
                <a:graphic xmlns:a="http://schemas.openxmlformats.org/drawingml/2006/main">
                  <a:graphicData uri="http://schemas.microsoft.com/office/word/2010/wordprocessingShape">
                    <wps:wsp>
                      <wps:cNvSpPr txBox="1"/>
                      <wps:spPr>
                        <a:xfrm>
                          <a:off x="2533650" y="3117215"/>
                          <a:ext cx="692785" cy="38481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A3F0031">
                            <w:pPr>
                              <w:rPr>
                                <w:rFonts w:hint="default" w:eastAsia="宋体"/>
                                <w:b/>
                                <w:bCs/>
                                <w:sz w:val="18"/>
                                <w:szCs w:val="18"/>
                                <w:lang w:val="en-US" w:eastAsia="zh-CN"/>
                              </w:rPr>
                            </w:pPr>
                            <w:r>
                              <w:rPr>
                                <w:rFonts w:hint="eastAsia"/>
                                <w:b/>
                                <w:bCs/>
                                <w:sz w:val="18"/>
                                <w:szCs w:val="18"/>
                                <w:lang w:val="en-US" w:eastAsia="zh-CN"/>
                              </w:rPr>
                              <w:t>融创东城首府</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7.55pt;margin-top:147.1pt;height:30.3pt;width:54.55pt;z-index:251701248;mso-width-relative:page;mso-height-relative:page;" filled="f" stroked="f" coordsize="21600,21600" o:gfxdata="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YmQg59wAAAALAQAADwAAAAAA&#10;AAABACAAAAAiAAAAZHJzL2Rvd25yZXYueG1sUEsBAhQAFAAAAAgAh07iQJKO3ClIAgAAdQQAAA4A&#10;AAAAAAAAAQAgAAAAKwEAAGRycy9lMm9Eb2MueG1sUEsFBgAAAAAGAAYAWQEAAOUFAAAAAA==&#10;">
                <v:fill on="f" focussize="0,0"/>
                <v:stroke on="f" weight="0.5pt"/>
                <v:imagedata o:title=""/>
                <o:lock v:ext="edit" aspectratio="f"/>
                <v:textbox>
                  <w:txbxContent>
                    <w:p w14:paraId="6A3F0031">
                      <w:pPr>
                        <w:rPr>
                          <w:rFonts w:hint="default" w:eastAsia="宋体"/>
                          <w:b/>
                          <w:bCs/>
                          <w:sz w:val="18"/>
                          <w:szCs w:val="18"/>
                          <w:lang w:val="en-US" w:eastAsia="zh-CN"/>
                        </w:rPr>
                      </w:pPr>
                      <w:r>
                        <w:rPr>
                          <w:rFonts w:hint="eastAsia"/>
                          <w:b/>
                          <w:bCs/>
                          <w:sz w:val="18"/>
                          <w:szCs w:val="18"/>
                          <w:lang w:val="en-US" w:eastAsia="zh-CN"/>
                        </w:rPr>
                        <w:t>融创东城首府</w:t>
                      </w:r>
                    </w:p>
                  </w:txbxContent>
                </v:textbox>
              </v:shape>
            </w:pict>
          </mc:Fallback>
        </mc:AlternateContent>
      </w:r>
      <w:r>
        <w:rPr>
          <w:rFonts w:hint="default" w:ascii="Times New Roman" w:hAnsi="Times New Roman" w:cs="Times New Roman"/>
          <w:color w:val="auto"/>
          <w:sz w:val="24"/>
          <w:highlight w:val="none"/>
        </w:rPr>
        <w:drawing>
          <wp:inline distT="0" distB="0" distL="114300" distR="114300">
            <wp:extent cx="5343525" cy="4724400"/>
            <wp:effectExtent l="0" t="0" r="9525" b="0"/>
            <wp:docPr id="74" name="图片 74" descr="1e6c068e-f34f-403a-a330-d183cd0e4f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1e6c068e-f34f-403a-a330-d183cd0e4f05"/>
                    <pic:cNvPicPr>
                      <a:picLocks noChangeAspect="1"/>
                    </pic:cNvPicPr>
                  </pic:nvPicPr>
                  <pic:blipFill>
                    <a:blip r:embed="rId35"/>
                    <a:stretch>
                      <a:fillRect/>
                    </a:stretch>
                  </pic:blipFill>
                  <pic:spPr>
                    <a:xfrm>
                      <a:off x="0" y="0"/>
                      <a:ext cx="5343525" cy="4724400"/>
                    </a:xfrm>
                    <a:prstGeom prst="rect">
                      <a:avLst/>
                    </a:prstGeom>
                  </pic:spPr>
                </pic:pic>
              </a:graphicData>
            </a:graphic>
          </wp:inline>
        </w:drawing>
      </w: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684864" behindDoc="0" locked="0" layoutInCell="1" allowOverlap="1">
                <wp:simplePos x="0" y="0"/>
                <wp:positionH relativeFrom="column">
                  <wp:posOffset>7576820</wp:posOffset>
                </wp:positionH>
                <wp:positionV relativeFrom="paragraph">
                  <wp:posOffset>3872865</wp:posOffset>
                </wp:positionV>
                <wp:extent cx="406400" cy="200660"/>
                <wp:effectExtent l="9525" t="9525" r="22225" b="18415"/>
                <wp:wrapNone/>
                <wp:docPr id="100" name="矩形 429"/>
                <wp:cNvGraphicFramePr/>
                <a:graphic xmlns:a="http://schemas.openxmlformats.org/drawingml/2006/main">
                  <a:graphicData uri="http://schemas.microsoft.com/office/word/2010/wordprocessingShape">
                    <wps:wsp>
                      <wps:cNvSpPr/>
                      <wps:spPr>
                        <a:xfrm>
                          <a:off x="0" y="0"/>
                          <a:ext cx="406400" cy="200660"/>
                        </a:xfrm>
                        <a:prstGeom prst="rect">
                          <a:avLst/>
                        </a:prstGeom>
                        <a:noFill/>
                        <a:ln w="19050" cap="flat" cmpd="sng">
                          <a:solidFill>
                            <a:srgbClr val="00B0F0"/>
                          </a:solidFill>
                          <a:prstDash val="solid"/>
                          <a:miter/>
                          <a:headEnd type="none" w="med" len="med"/>
                          <a:tailEnd type="none" w="med" len="med"/>
                        </a:ln>
                      </wps:spPr>
                      <wps:bodyPr vert="horz" wrap="square" anchor="t" anchorCtr="0" upright="1"/>
                    </wps:wsp>
                  </a:graphicData>
                </a:graphic>
              </wp:anchor>
            </w:drawing>
          </mc:Choice>
          <mc:Fallback>
            <w:pict>
              <v:rect id="矩形 429" o:spid="_x0000_s1026" o:spt="1" style="position:absolute;left:0pt;margin-left:596.6pt;margin-top:304.95pt;height:15.8pt;width:32pt;z-index:251684864;mso-width-relative:page;mso-height-relative:page;" filled="f" stroked="t" coordsize="21600,21600" o:gfxdata="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AzZXvNoAAAANAQAADwAA&#10;AAAAAAABACAAAAAiAAAAZHJzL2Rvd25yZXYueG1sUEsBAhQAFAAAAAgAh07iQJkEungUAgAALAQA&#10;AA4AAAAAAAAAAQAgAAAAKQEAAGRycy9lMm9Eb2MueG1sUEsFBgAAAAAGAAYAWQEAAK8FAAAAAA==&#10;">
                <v:fill on="f" focussize="0,0"/>
                <v:stroke weight="1.5pt" color="#00B0F0" joinstyle="miter"/>
                <v:imagedata o:title=""/>
                <o:lock v:ext="edit" aspectratio="f"/>
              </v:rect>
            </w:pict>
          </mc:Fallback>
        </mc:AlternateContent>
      </w: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683840" behindDoc="0" locked="0" layoutInCell="1" allowOverlap="1">
                <wp:simplePos x="0" y="0"/>
                <wp:positionH relativeFrom="column">
                  <wp:posOffset>7580630</wp:posOffset>
                </wp:positionH>
                <wp:positionV relativeFrom="paragraph">
                  <wp:posOffset>3430905</wp:posOffset>
                </wp:positionV>
                <wp:extent cx="406400" cy="200660"/>
                <wp:effectExtent l="9525" t="9525" r="22225" b="18415"/>
                <wp:wrapNone/>
                <wp:docPr id="99" name="矩形 428"/>
                <wp:cNvGraphicFramePr/>
                <a:graphic xmlns:a="http://schemas.openxmlformats.org/drawingml/2006/main">
                  <a:graphicData uri="http://schemas.microsoft.com/office/word/2010/wordprocessingShape">
                    <wps:wsp>
                      <wps:cNvSpPr/>
                      <wps:spPr>
                        <a:xfrm>
                          <a:off x="0" y="0"/>
                          <a:ext cx="406400" cy="200660"/>
                        </a:xfrm>
                        <a:prstGeom prst="rect">
                          <a:avLst/>
                        </a:prstGeom>
                        <a:noFill/>
                        <a:ln w="19050" cap="flat" cmpd="sng">
                          <a:solidFill>
                            <a:srgbClr val="00B050"/>
                          </a:solidFill>
                          <a:prstDash val="solid"/>
                          <a:miter/>
                          <a:headEnd type="none" w="med" len="med"/>
                          <a:tailEnd type="none" w="med" len="med"/>
                        </a:ln>
                      </wps:spPr>
                      <wps:bodyPr vert="horz" wrap="square" anchor="t" anchorCtr="0" upright="1"/>
                    </wps:wsp>
                  </a:graphicData>
                </a:graphic>
              </wp:anchor>
            </w:drawing>
          </mc:Choice>
          <mc:Fallback>
            <w:pict>
              <v:rect id="矩形 428" o:spid="_x0000_s1026" o:spt="1" style="position:absolute;left:0pt;margin-left:596.9pt;margin-top:270.15pt;height:15.8pt;width:32pt;z-index:251683840;mso-width-relative:page;mso-height-relative:page;" filled="f" stroked="t" coordsize="21600,21600" o:gfxdata="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pcVYAdkAAAANAQAADwAA&#10;AAAAAAABACAAAAAiAAAAZHJzL2Rvd25yZXYueG1sUEsBAhQAFAAAAAgAh07iQEeVO3AVAgAAKwQA&#10;AA4AAAAAAAAAAQAgAAAAKAEAAGRycy9lMm9Eb2MueG1sUEsFBgAAAAAGAAYAWQEAAK8FAAAAAA==&#10;">
                <v:fill on="f" focussize="0,0"/>
                <v:stroke weight="1.5pt" color="#00B050" joinstyle="miter"/>
                <v:imagedata o:title=""/>
                <o:lock v:ext="edit" aspectratio="f"/>
              </v:rect>
            </w:pict>
          </mc:Fallback>
        </mc:AlternateContent>
      </w: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682816" behindDoc="0" locked="0" layoutInCell="1" allowOverlap="1">
                <wp:simplePos x="0" y="0"/>
                <wp:positionH relativeFrom="column">
                  <wp:posOffset>7572375</wp:posOffset>
                </wp:positionH>
                <wp:positionV relativeFrom="paragraph">
                  <wp:posOffset>2973705</wp:posOffset>
                </wp:positionV>
                <wp:extent cx="406400" cy="209550"/>
                <wp:effectExtent l="9525" t="9525" r="22225" b="9525"/>
                <wp:wrapNone/>
                <wp:docPr id="98" name="矩形 427"/>
                <wp:cNvGraphicFramePr/>
                <a:graphic xmlns:a="http://schemas.openxmlformats.org/drawingml/2006/main">
                  <a:graphicData uri="http://schemas.microsoft.com/office/word/2010/wordprocessingShape">
                    <wps:wsp>
                      <wps:cNvSpPr/>
                      <wps:spPr>
                        <a:xfrm>
                          <a:off x="0" y="0"/>
                          <a:ext cx="406400" cy="209550"/>
                        </a:xfrm>
                        <a:prstGeom prst="rect">
                          <a:avLst/>
                        </a:prstGeom>
                        <a:solidFill>
                          <a:schemeClr val="accent6">
                            <a:lumMod val="60000"/>
                            <a:lumOff val="40000"/>
                          </a:schemeClr>
                        </a:solidFill>
                        <a:ln w="19050" cap="flat" cmpd="sng">
                          <a:solidFill>
                            <a:schemeClr val="accent2"/>
                          </a:solidFill>
                          <a:prstDash val="sysDot"/>
                          <a:miter/>
                          <a:headEnd type="none" w="med" len="med"/>
                          <a:tailEnd type="none" w="med" len="med"/>
                        </a:ln>
                      </wps:spPr>
                      <wps:bodyPr vert="horz" wrap="square" anchor="t" anchorCtr="0" upright="1"/>
                    </wps:wsp>
                  </a:graphicData>
                </a:graphic>
              </wp:anchor>
            </w:drawing>
          </mc:Choice>
          <mc:Fallback>
            <w:pict>
              <v:rect id="矩形 427" o:spid="_x0000_s1026" o:spt="1" style="position:absolute;left:0pt;margin-left:596.25pt;margin-top:234.15pt;height:16.5pt;width:32pt;z-index:251682816;mso-width-relative:page;mso-height-relative:page;" fillcolor="#FAC090 [1945]" filled="t" stroked="t" coordsize="21600,21600" o:gfxdata="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LQu1XNwAAAANAQAADwAAAAAAAAABACAAAAAi&#10;AAAAZHJzL2Rvd25yZXYueG1sUEsBAhQAFAAAAAgAh07iQOhNGaM/AgAAjgQAAA4AAAAAAAAAAQAg&#10;AAAAKwEAAGRycy9lMm9Eb2MueG1sUEsFBgAAAAAGAAYAWQEAANwFAAAAAA==&#10;">
                <v:fill on="t" focussize="0,0"/>
                <v:stroke weight="1.5pt" color="#C0504D [3205]" joinstyle="miter" dashstyle="1 1"/>
                <v:imagedata o:title=""/>
                <o:lock v:ext="edit" aspectratio="f"/>
              </v:rect>
            </w:pict>
          </mc:Fallback>
        </mc:AlternateContent>
      </w: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675648" behindDoc="0" locked="0" layoutInCell="1" allowOverlap="1">
                <wp:simplePos x="0" y="0"/>
                <wp:positionH relativeFrom="column">
                  <wp:posOffset>7567295</wp:posOffset>
                </wp:positionH>
                <wp:positionV relativeFrom="paragraph">
                  <wp:posOffset>2628900</wp:posOffset>
                </wp:positionV>
                <wp:extent cx="406400" cy="200660"/>
                <wp:effectExtent l="52070" t="9525" r="55880" b="113665"/>
                <wp:wrapNone/>
                <wp:docPr id="91" name="矩形 419"/>
                <wp:cNvGraphicFramePr/>
                <a:graphic xmlns:a="http://schemas.openxmlformats.org/drawingml/2006/main">
                  <a:graphicData uri="http://schemas.microsoft.com/office/word/2010/wordprocessingShape">
                    <wps:wsp>
                      <wps:cNvSpPr/>
                      <wps:spPr>
                        <a:xfrm>
                          <a:off x="0" y="0"/>
                          <a:ext cx="406400" cy="200660"/>
                        </a:xfrm>
                        <a:prstGeom prst="rect">
                          <a:avLst/>
                        </a:prstGeom>
                        <a:solidFill>
                          <a:srgbClr val="5B5F98"/>
                        </a:solidFill>
                        <a:ln w="19050" cap="flat" cmpd="sng">
                          <a:solidFill>
                            <a:srgbClr val="FF0000"/>
                          </a:solidFill>
                          <a:prstDash val="solid"/>
                          <a:miter/>
                          <a:headEnd type="none" w="med" len="med"/>
                          <a:tailEnd type="none" w="med" len="med"/>
                        </a:ln>
                        <a:effectLst>
                          <a:outerShdw blurRad="50800" dist="50800" dir="5400000" algn="ctr" rotWithShape="0">
                            <a:srgbClr val="463794">
                              <a:alpha val="20000"/>
                            </a:srgbClr>
                          </a:outerShdw>
                        </a:effectLst>
                      </wps:spPr>
                      <wps:bodyPr vert="horz" wrap="square" anchor="t" anchorCtr="0" upright="1"/>
                    </wps:wsp>
                  </a:graphicData>
                </a:graphic>
              </wp:anchor>
            </w:drawing>
          </mc:Choice>
          <mc:Fallback>
            <w:pict>
              <v:rect id="矩形 419" o:spid="_x0000_s1026" o:spt="1" style="position:absolute;left:0pt;margin-left:595.85pt;margin-top:207pt;height:15.8pt;width:32pt;z-index:251675648;mso-width-relative:page;mso-height-relative:page;" fillcolor="#5B5F98" filled="t" stroked="t" coordsize="21600,21600" o:gfxdata="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Bp24tjXAAAADQEAAA8AAAAAAAAAAQAgAAAAIgAAAGRycy9k&#10;b3ducmV2LnhtbFBLAQIUABQAAAAIAIdO4kCNUYYfdQIAAAsFAAAOAAAAAAAAAAEAIAAAACYBAABk&#10;cnMvZTJvRG9jLnhtbFBLBQYAAAAABgAGAFkBAAANBgAAAAA=&#10;">
                <v:fill on="t" focussize="0,0"/>
                <v:stroke weight="1.5pt" color="#FF0000" joinstyle="miter"/>
                <v:imagedata o:title=""/>
                <o:lock v:ext="edit" aspectratio="f"/>
                <v:shadow on="t" color="#463794" opacity="13107f" offset="0pt,4pt" origin="0f,0f" matrix="65536f,0f,0f,65536f"/>
              </v:rect>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691008" behindDoc="0" locked="0" layoutInCell="1" allowOverlap="1">
                <wp:simplePos x="0" y="0"/>
                <wp:positionH relativeFrom="column">
                  <wp:posOffset>2145030</wp:posOffset>
                </wp:positionH>
                <wp:positionV relativeFrom="paragraph">
                  <wp:posOffset>340995</wp:posOffset>
                </wp:positionV>
                <wp:extent cx="4432935" cy="4175125"/>
                <wp:effectExtent l="12700" t="12700" r="31115" b="22225"/>
                <wp:wrapNone/>
                <wp:docPr id="210" name="矩形 210"/>
                <wp:cNvGraphicFramePr/>
                <a:graphic xmlns:a="http://schemas.openxmlformats.org/drawingml/2006/main">
                  <a:graphicData uri="http://schemas.microsoft.com/office/word/2010/wordprocessingShape">
                    <wps:wsp>
                      <wps:cNvSpPr/>
                      <wps:spPr>
                        <a:xfrm>
                          <a:off x="3043555" y="2466340"/>
                          <a:ext cx="4432935" cy="4175125"/>
                        </a:xfrm>
                        <a:prstGeom prst="rect">
                          <a:avLst/>
                        </a:prstGeom>
                        <a:noFill/>
                        <a:ln>
                          <a:solidFill>
                            <a:srgbClr val="00B05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68.9pt;margin-top:26.85pt;height:328.75pt;width:349.05pt;z-index:251691008;v-text-anchor:middle;mso-width-relative:page;mso-height-relative:page;" filled="f" stroked="t" coordsize="21600,21600" o:gfxdata="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H8hZAfbAAAACwEAAA8AAAAAAAAAAQAgAAAAIgAAAGRycy9kb3du&#10;cmV2LnhtbFBLAQIUABQAAAAIAIdO4kDlP9KkbgIAAMUEAAAOAAAAAAAAAAEAIAAAACoBAABkcnMv&#10;ZTJvRG9jLnhtbFBLBQYAAAAABgAGAFkBAAAKBgAAAAA=&#10;">
                <v:fill on="f" focussize="0,0"/>
                <v:stroke weight="2pt" color="#00B050 [2404]" joinstyle="round"/>
                <v:imagedata o:title=""/>
                <o:lock v:ext="edit" aspectratio="f"/>
              </v:rect>
            </w:pict>
          </mc:Fallback>
        </mc:AlternateContent>
      </w:r>
      <w:r>
        <w:rPr>
          <w:rFonts w:hint="default" w:ascii="Times New Roman" w:hAnsi="Times New Roman" w:eastAsia="宋体" w:cs="Times New Roman"/>
          <w:color w:val="auto"/>
          <w:highlight w:val="none"/>
        </w:rPr>
        <w:drawing>
          <wp:anchor distT="0" distB="0" distL="114300" distR="114300" simplePos="0" relativeHeight="251672576" behindDoc="0" locked="0" layoutInCell="1" allowOverlap="1">
            <wp:simplePos x="0" y="0"/>
            <wp:positionH relativeFrom="column">
              <wp:posOffset>7591425</wp:posOffset>
            </wp:positionH>
            <wp:positionV relativeFrom="paragraph">
              <wp:posOffset>174625</wp:posOffset>
            </wp:positionV>
            <wp:extent cx="749300" cy="1003300"/>
            <wp:effectExtent l="0" t="0" r="0" b="0"/>
            <wp:wrapNone/>
            <wp:docPr id="77"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age16.png"/>
                    <pic:cNvPicPr>
                      <a:picLocks noChangeAspect="1"/>
                    </pic:cNvPicPr>
                  </pic:nvPicPr>
                  <pic:blipFill>
                    <a:blip r:embed="rId17"/>
                    <a:stretch>
                      <a:fillRect/>
                    </a:stretch>
                  </pic:blipFill>
                  <pic:spPr>
                    <a:xfrm>
                      <a:off x="0" y="0"/>
                      <a:ext cx="749300" cy="1003300"/>
                    </a:xfrm>
                    <a:prstGeom prst="rect">
                      <a:avLst/>
                    </a:prstGeom>
                    <a:noFill/>
                    <a:ln>
                      <a:noFill/>
                    </a:ln>
                  </pic:spPr>
                </pic:pic>
              </a:graphicData>
            </a:graphic>
          </wp:anchor>
        </w:drawing>
      </w:r>
      <w:r>
        <w:rPr>
          <w:rFonts w:hint="default" w:ascii="Times New Roman" w:hAnsi="Times New Roman" w:eastAsia="宋体" w:cs="Times New Roman"/>
          <w:color w:val="auto"/>
          <w:highlight w:val="none"/>
        </w:rPr>
        <mc:AlternateContent>
          <mc:Choice Requires="wps">
            <w:drawing>
              <wp:anchor distT="0" distB="0" distL="114300" distR="114300" simplePos="0" relativeHeight="251685888" behindDoc="0" locked="0" layoutInCell="1" allowOverlap="1">
                <wp:simplePos x="0" y="0"/>
                <wp:positionH relativeFrom="character">
                  <wp:posOffset>114300</wp:posOffset>
                </wp:positionH>
                <wp:positionV relativeFrom="line">
                  <wp:posOffset>4262755</wp:posOffset>
                </wp:positionV>
                <wp:extent cx="843915" cy="332740"/>
                <wp:effectExtent l="0" t="0" r="0" b="0"/>
                <wp:wrapNone/>
                <wp:docPr id="101" name="文本框 100"/>
                <wp:cNvGraphicFramePr/>
                <a:graphic xmlns:a="http://schemas.openxmlformats.org/drawingml/2006/main">
                  <a:graphicData uri="http://schemas.microsoft.com/office/word/2010/wordprocessingShape">
                    <wps:wsp>
                      <wps:cNvSpPr txBox="1"/>
                      <wps:spPr>
                        <a:xfrm>
                          <a:off x="0" y="0"/>
                          <a:ext cx="843915" cy="332740"/>
                        </a:xfrm>
                        <a:prstGeom prst="rect">
                          <a:avLst/>
                        </a:prstGeom>
                        <a:noFill/>
                        <a:ln w="6350">
                          <a:noFill/>
                        </a:ln>
                      </wps:spPr>
                      <wps:txbx>
                        <w:txbxContent>
                          <w:p w14:paraId="335859D3">
                            <w:r>
                              <w:rPr>
                                <w:rFonts w:hint="eastAsia"/>
                              </w:rPr>
                              <w:t>比例尺：</w:t>
                            </w:r>
                          </w:p>
                        </w:txbxContent>
                      </wps:txbx>
                      <wps:bodyPr wrap="square" upright="1"/>
                    </wps:wsp>
                  </a:graphicData>
                </a:graphic>
              </wp:anchor>
            </w:drawing>
          </mc:Choice>
          <mc:Fallback>
            <w:pict>
              <v:shape id="文本框 100" o:spid="_x0000_s1026" o:spt="202" type="#_x0000_t202" style="position:absolute;left:0pt;margin-left:9pt;margin-top:335.65pt;height:26.2pt;width:66.45pt;mso-position-horizontal-relative:char;mso-position-vertical-relative:line;z-index:251685888;mso-width-relative:page;mso-height-relative:page;" filled="f" stroked="f" coordsize="21600,21600" o:gfxdata="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Dvu0VW2wAAAAoBAAAPAAAAAAAAAAEAIAAAACIAAABkcnMvZG93bnJl&#10;di54bWxQSwECFAAUAAAACACHTuJAAikxH8EBAABoAwAADgAAAAAAAAABACAAAAAqAQAAZHJzL2Uy&#10;b0RvYy54bWxQSwUGAAAAAAYABgBZAQAAXQUAAAAA&#10;">
                <v:fill on="f" focussize="0,0"/>
                <v:stroke on="f" weight="0.5pt"/>
                <v:imagedata o:title=""/>
                <o:lock v:ext="edit" aspectratio="f"/>
                <v:textbox>
                  <w:txbxContent>
                    <w:p w14:paraId="335859D3">
                      <w:r>
                        <w:rPr>
                          <w:rFonts w:hint="eastAsia"/>
                        </w:rPr>
                        <w:t>比例尺：</w:t>
                      </w:r>
                    </w:p>
                  </w:txbxContent>
                </v:textbox>
              </v:shape>
            </w:pict>
          </mc:Fallback>
        </mc:AlternateContent>
      </w:r>
      <w:r>
        <w:rPr>
          <w:rFonts w:hint="default" w:ascii="Times New Roman" w:hAnsi="Times New Roman" w:eastAsia="宋体" w:cs="Times New Roman"/>
          <w:color w:val="auto"/>
          <w:highlight w:val="none"/>
        </w:rPr>
        <mc:AlternateContent>
          <mc:Choice Requires="wps">
            <w:drawing>
              <wp:anchor distT="0" distB="0" distL="114300" distR="114300" simplePos="0" relativeHeight="251687936" behindDoc="0" locked="0" layoutInCell="1" allowOverlap="1">
                <wp:simplePos x="0" y="0"/>
                <wp:positionH relativeFrom="character">
                  <wp:posOffset>276225</wp:posOffset>
                </wp:positionH>
                <wp:positionV relativeFrom="line">
                  <wp:posOffset>4579620</wp:posOffset>
                </wp:positionV>
                <wp:extent cx="358775" cy="71755"/>
                <wp:effectExtent l="0" t="0" r="0" b="0"/>
                <wp:wrapNone/>
                <wp:docPr id="103" name="矩形 237"/>
                <wp:cNvGraphicFramePr/>
                <a:graphic xmlns:a="http://schemas.openxmlformats.org/drawingml/2006/main">
                  <a:graphicData uri="http://schemas.microsoft.com/office/word/2010/wordprocessingShape">
                    <wps:wsp>
                      <wps:cNvSpPr/>
                      <wps:spPr>
                        <a:xfrm>
                          <a:off x="0" y="0"/>
                          <a:ext cx="358775" cy="71755"/>
                        </a:xfrm>
                        <a:prstGeom prst="rect">
                          <a:avLst/>
                        </a:prstGeom>
                        <a:solidFill>
                          <a:srgbClr val="000000"/>
                        </a:solidFill>
                        <a:ln w="19050" cap="flat" cmpd="sng">
                          <a:solidFill>
                            <a:srgbClr val="000000"/>
                          </a:solidFill>
                          <a:prstDash val="solid"/>
                          <a:miter/>
                          <a:headEnd type="none" w="med" len="med"/>
                          <a:tailEnd type="none" w="med" len="med"/>
                        </a:ln>
                      </wps:spPr>
                      <wps:bodyPr wrap="square" anchor="ctr" anchorCtr="0" upright="1"/>
                    </wps:wsp>
                  </a:graphicData>
                </a:graphic>
              </wp:anchor>
            </w:drawing>
          </mc:Choice>
          <mc:Fallback>
            <w:pict>
              <v:rect id="矩形 237" o:spid="_x0000_s1026" o:spt="1" style="position:absolute;left:0pt;margin-left:21.75pt;margin-top:360.6pt;height:5.65pt;width:28.25pt;mso-position-horizontal-relative:char;mso-position-vertical-relative:line;z-index:251687936;v-text-anchor:middle;mso-width-relative:page;mso-height-relative:page;" fillcolor="#000000" filled="t" stroked="t" coordsize="21600,21600" o:gfxdata="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FGlF+PZAAAACgEAAA8AAAAAAAAA&#10;AQAgAAAAIgAAAGRycy9kb3ducmV2LnhtbFBLAQIUABQAAAAIAIdO4kCIylq3EAIAAEoEAAAOAAAA&#10;AAAAAAEAIAAAACgBAABkcnMvZTJvRG9jLnhtbFBLBQYAAAAABgAGAFkBAACqBQAAAAA=&#10;">
                <v:fill on="t" focussize="0,0"/>
                <v:stroke weight="1.5pt" color="#000000" joinstyle="miter"/>
                <v:imagedata o:title=""/>
                <o:lock v:ext="edit" aspectratio="f"/>
              </v:rect>
            </w:pict>
          </mc:Fallback>
        </mc:AlternateContent>
      </w:r>
      <w:r>
        <w:rPr>
          <w:rFonts w:hint="default" w:ascii="Times New Roman" w:hAnsi="Times New Roman" w:eastAsia="宋体" w:cs="Times New Roman"/>
          <w:color w:val="auto"/>
          <w:highlight w:val="none"/>
        </w:rPr>
        <mc:AlternateContent>
          <mc:Choice Requires="wps">
            <w:drawing>
              <wp:anchor distT="0" distB="0" distL="114300" distR="114300" simplePos="0" relativeHeight="251688960" behindDoc="0" locked="0" layoutInCell="1" allowOverlap="1">
                <wp:simplePos x="0" y="0"/>
                <wp:positionH relativeFrom="character">
                  <wp:posOffset>654050</wp:posOffset>
                </wp:positionH>
                <wp:positionV relativeFrom="line">
                  <wp:posOffset>4578350</wp:posOffset>
                </wp:positionV>
                <wp:extent cx="358775" cy="71755"/>
                <wp:effectExtent l="0" t="0" r="0" b="0"/>
                <wp:wrapNone/>
                <wp:docPr id="104" name="矩形 237"/>
                <wp:cNvGraphicFramePr/>
                <a:graphic xmlns:a="http://schemas.openxmlformats.org/drawingml/2006/main">
                  <a:graphicData uri="http://schemas.microsoft.com/office/word/2010/wordprocessingShape">
                    <wps:wsp>
                      <wps:cNvSpPr/>
                      <wps:spPr>
                        <a:xfrm>
                          <a:off x="0" y="0"/>
                          <a:ext cx="358775" cy="71755"/>
                        </a:xfrm>
                        <a:prstGeom prst="rect">
                          <a:avLst/>
                        </a:prstGeom>
                        <a:solidFill>
                          <a:srgbClr val="FF0000"/>
                        </a:solidFill>
                        <a:ln w="19050" cap="flat" cmpd="sng">
                          <a:solidFill>
                            <a:srgbClr val="FF0000"/>
                          </a:solidFill>
                          <a:prstDash val="solid"/>
                          <a:miter/>
                          <a:headEnd type="none" w="med" len="med"/>
                          <a:tailEnd type="none" w="med" len="med"/>
                        </a:ln>
                      </wps:spPr>
                      <wps:bodyPr vert="horz" wrap="square" anchor="ctr" anchorCtr="0" upright="1"/>
                    </wps:wsp>
                  </a:graphicData>
                </a:graphic>
              </wp:anchor>
            </w:drawing>
          </mc:Choice>
          <mc:Fallback>
            <w:pict>
              <v:rect id="矩形 237" o:spid="_x0000_s1026" o:spt="1" style="position:absolute;left:0pt;margin-left:51.5pt;margin-top:360.5pt;height:5.65pt;width:28.25pt;mso-position-horizontal-relative:char;mso-position-vertical-relative:line;z-index:251688960;v-text-anchor:middle;mso-width-relative:page;mso-height-relative:page;" fillcolor="#FF0000" filled="t" stroked="t" coordsize="21600,21600" o:gfxdata="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Dya6jG2QAAAAsB&#10;AAAPAAAAAAAAAAEAIAAAACIAAABkcnMvZG93bnJldi54bWxQSwECFAAUAAAACACHTuJA10yzGhoC&#10;AABWBAAADgAAAAAAAAABACAAAAAoAQAAZHJzL2Uyb0RvYy54bWxQSwUGAAAAAAYABgBZAQAAtAUA&#10;AAAA&#10;">
                <v:fill on="t" focussize="0,0"/>
                <v:stroke weight="1.5pt" color="#FF0000" joinstyle="miter"/>
                <v:imagedata o:title=""/>
                <o:lock v:ext="edit" aspectratio="f"/>
              </v:rect>
            </w:pict>
          </mc:Fallback>
        </mc:AlternateContent>
      </w:r>
      <w:r>
        <w:rPr>
          <w:rFonts w:hint="default" w:ascii="Times New Roman" w:hAnsi="Times New Roman" w:eastAsia="宋体" w:cs="Times New Roman"/>
          <w:color w:val="auto"/>
          <w:highlight w:val="none"/>
        </w:rPr>
        <mc:AlternateContent>
          <mc:Choice Requires="wps">
            <w:drawing>
              <wp:anchor distT="0" distB="0" distL="114300" distR="114300" simplePos="0" relativeHeight="251680768" behindDoc="0" locked="0" layoutInCell="1" allowOverlap="1">
                <wp:simplePos x="0" y="0"/>
                <wp:positionH relativeFrom="character">
                  <wp:posOffset>824230</wp:posOffset>
                </wp:positionH>
                <wp:positionV relativeFrom="line">
                  <wp:posOffset>3272155</wp:posOffset>
                </wp:positionV>
                <wp:extent cx="1032510" cy="476250"/>
                <wp:effectExtent l="0" t="0" r="0" b="0"/>
                <wp:wrapNone/>
                <wp:docPr id="96" name="文本框 233"/>
                <wp:cNvGraphicFramePr/>
                <a:graphic xmlns:a="http://schemas.openxmlformats.org/drawingml/2006/main">
                  <a:graphicData uri="http://schemas.microsoft.com/office/word/2010/wordprocessingShape">
                    <wps:wsp>
                      <wps:cNvSpPr txBox="1"/>
                      <wps:spPr>
                        <a:xfrm>
                          <a:off x="0" y="0"/>
                          <a:ext cx="1032510" cy="476250"/>
                        </a:xfrm>
                        <a:prstGeom prst="rect">
                          <a:avLst/>
                        </a:prstGeom>
                        <a:noFill/>
                        <a:ln w="6350">
                          <a:noFill/>
                        </a:ln>
                      </wps:spPr>
                      <wps:txbx>
                        <w:txbxContent>
                          <w:p w14:paraId="32BDB718">
                            <w:pPr>
                              <w:ind w:left="420" w:leftChars="200" w:firstLine="0" w:firstLineChars="0"/>
                            </w:pPr>
                            <w:r>
                              <w:rPr>
                                <w:rFonts w:hint="eastAsia"/>
                              </w:rPr>
                              <w:t>大气保护目标范围</w:t>
                            </w:r>
                          </w:p>
                        </w:txbxContent>
                      </wps:txbx>
                      <wps:bodyPr wrap="square" upright="1"/>
                    </wps:wsp>
                  </a:graphicData>
                </a:graphic>
              </wp:anchor>
            </w:drawing>
          </mc:Choice>
          <mc:Fallback>
            <w:pict>
              <v:shape id="文本框 233" o:spid="_x0000_s1026" o:spt="202" type="#_x0000_t202" style="position:absolute;left:0pt;margin-left:64.9pt;margin-top:257.65pt;height:37.5pt;width:81.3pt;mso-position-horizontal-relative:char;mso-position-vertical-relative:line;z-index:251680768;mso-width-relative:page;mso-height-relative:page;" filled="f" stroked="f" coordsize="21600,21600" o:gfxdata="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AEemO32wAAAAsBAAAPAAAAAAAAAAEAIAAAACIAAABkcnMvZG93bnJl&#10;di54bWxQSwECFAAUAAAACACHTuJA1G2xgcEBAABoAwAADgAAAAAAAAABACAAAAAqAQAAZHJzL2Uy&#10;b0RvYy54bWxQSwUGAAAAAAYABgBZAQAAXQUAAAAA&#10;">
                <v:fill on="f" focussize="0,0"/>
                <v:stroke on="f" weight="0.5pt"/>
                <v:imagedata o:title=""/>
                <o:lock v:ext="edit" aspectratio="f"/>
                <v:textbox>
                  <w:txbxContent>
                    <w:p w14:paraId="32BDB718">
                      <w:pPr>
                        <w:ind w:left="420" w:leftChars="200" w:firstLine="0" w:firstLineChars="0"/>
                      </w:pPr>
                      <w:r>
                        <w:rPr>
                          <w:rFonts w:hint="eastAsia"/>
                        </w:rPr>
                        <w:t>大气保护目标范围</w:t>
                      </w:r>
                    </w:p>
                  </w:txbxContent>
                </v:textbox>
              </v:shape>
            </w:pict>
          </mc:Fallback>
        </mc:AlternateContent>
      </w:r>
      <w:r>
        <w:rPr>
          <w:rFonts w:hint="default" w:ascii="Times New Roman" w:hAnsi="Times New Roman" w:eastAsia="宋体" w:cs="Times New Roman"/>
          <w:color w:val="auto"/>
          <w:highlight w:val="none"/>
        </w:rPr>
        <mc:AlternateContent>
          <mc:Choice Requires="wps">
            <w:drawing>
              <wp:anchor distT="0" distB="0" distL="114300" distR="114300" simplePos="0" relativeHeight="251686912" behindDoc="0" locked="0" layoutInCell="1" allowOverlap="1">
                <wp:simplePos x="0" y="0"/>
                <wp:positionH relativeFrom="character">
                  <wp:posOffset>147955</wp:posOffset>
                </wp:positionH>
                <wp:positionV relativeFrom="line">
                  <wp:posOffset>4693920</wp:posOffset>
                </wp:positionV>
                <wp:extent cx="1258570" cy="257175"/>
                <wp:effectExtent l="0" t="0" r="0" b="0"/>
                <wp:wrapNone/>
                <wp:docPr id="102" name="文本框 241"/>
                <wp:cNvGraphicFramePr/>
                <a:graphic xmlns:a="http://schemas.openxmlformats.org/drawingml/2006/main">
                  <a:graphicData uri="http://schemas.microsoft.com/office/word/2010/wordprocessingShape">
                    <wps:wsp>
                      <wps:cNvSpPr txBox="1"/>
                      <wps:spPr>
                        <a:xfrm>
                          <a:off x="0" y="0"/>
                          <a:ext cx="1258570" cy="257175"/>
                        </a:xfrm>
                        <a:prstGeom prst="rect">
                          <a:avLst/>
                        </a:prstGeom>
                        <a:noFill/>
                        <a:ln w="6350">
                          <a:noFill/>
                        </a:ln>
                      </wps:spPr>
                      <wps:txbx>
                        <w:txbxContent>
                          <w:p w14:paraId="713507F0">
                            <w:pPr>
                              <w:ind w:left="210" w:hanging="210" w:hangingChars="100"/>
                            </w:pPr>
                            <w:r>
                              <w:rPr>
                                <w:rFonts w:hint="eastAsia"/>
                                <w:lang w:val="en-US" w:eastAsia="zh-CN"/>
                              </w:rPr>
                              <w:t>0m  50m  100</w:t>
                            </w:r>
                            <w:r>
                              <w:rPr>
                                <w:rFonts w:hint="eastAsia"/>
                              </w:rPr>
                              <w:t>m</w:t>
                            </w:r>
                          </w:p>
                        </w:txbxContent>
                      </wps:txbx>
                      <wps:bodyPr wrap="square" upright="1"/>
                    </wps:wsp>
                  </a:graphicData>
                </a:graphic>
              </wp:anchor>
            </w:drawing>
          </mc:Choice>
          <mc:Fallback>
            <w:pict>
              <v:shape id="文本框 241" o:spid="_x0000_s1026" o:spt="202" type="#_x0000_t202" style="position:absolute;left:0pt;margin-left:11.65pt;margin-top:369.6pt;height:20.25pt;width:99.1pt;mso-position-horizontal-relative:char;mso-position-vertical-relative:line;z-index:251686912;mso-width-relative:page;mso-height-relative:page;" filled="f" stroked="f" coordsize="21600,21600" o:gfxdata="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D4Ta+72wAAAAoBAAAPAAAAAAAAAAEAIAAAACIAAABkcnMvZG93bnJl&#10;di54bWxQSwECFAAUAAAACACHTuJAhxwMl8EBAABpAwAADgAAAAAAAAABACAAAAAqAQAAZHJzL2Uy&#10;b0RvYy54bWxQSwUGAAAAAAYABgBZAQAAXQUAAAAA&#10;">
                <v:fill on="f" focussize="0,0"/>
                <v:stroke on="f" weight="0.5pt"/>
                <v:imagedata o:title=""/>
                <o:lock v:ext="edit" aspectratio="f"/>
                <v:textbox>
                  <w:txbxContent>
                    <w:p w14:paraId="713507F0">
                      <w:pPr>
                        <w:ind w:left="210" w:hanging="210" w:hangingChars="100"/>
                      </w:pPr>
                      <w:r>
                        <w:rPr>
                          <w:rFonts w:hint="eastAsia"/>
                          <w:lang w:val="en-US" w:eastAsia="zh-CN"/>
                        </w:rPr>
                        <w:t>0m  50m  100</w:t>
                      </w:r>
                      <w:r>
                        <w:rPr>
                          <w:rFonts w:hint="eastAsia"/>
                        </w:rPr>
                        <w:t>m</w:t>
                      </w:r>
                    </w:p>
                  </w:txbxContent>
                </v:textbox>
              </v:shape>
            </w:pict>
          </mc:Fallback>
        </mc:AlternateContent>
      </w:r>
      <w:r>
        <w:rPr>
          <w:rFonts w:hint="default" w:ascii="Times New Roman" w:hAnsi="Times New Roman" w:eastAsia="宋体" w:cs="Times New Roman"/>
          <w:color w:val="auto"/>
          <w:highlight w:val="none"/>
        </w:rPr>
        <mc:AlternateContent>
          <mc:Choice Requires="wps">
            <w:drawing>
              <wp:anchor distT="0" distB="0" distL="114300" distR="114300" simplePos="0" relativeHeight="251679744" behindDoc="0" locked="0" layoutInCell="1" allowOverlap="1">
                <wp:simplePos x="0" y="0"/>
                <wp:positionH relativeFrom="character">
                  <wp:posOffset>1099820</wp:posOffset>
                </wp:positionH>
                <wp:positionV relativeFrom="line">
                  <wp:posOffset>3747770</wp:posOffset>
                </wp:positionV>
                <wp:extent cx="792480" cy="473075"/>
                <wp:effectExtent l="0" t="0" r="0" b="0"/>
                <wp:wrapNone/>
                <wp:docPr id="95" name="文本框 233"/>
                <wp:cNvGraphicFramePr/>
                <a:graphic xmlns:a="http://schemas.openxmlformats.org/drawingml/2006/main">
                  <a:graphicData uri="http://schemas.microsoft.com/office/word/2010/wordprocessingShape">
                    <wps:wsp>
                      <wps:cNvSpPr txBox="1"/>
                      <wps:spPr>
                        <a:xfrm>
                          <a:off x="0" y="0"/>
                          <a:ext cx="792480" cy="473075"/>
                        </a:xfrm>
                        <a:prstGeom prst="rect">
                          <a:avLst/>
                        </a:prstGeom>
                        <a:noFill/>
                        <a:ln w="6350">
                          <a:noFill/>
                        </a:ln>
                      </wps:spPr>
                      <wps:txbx>
                        <w:txbxContent>
                          <w:p w14:paraId="6D055ED5">
                            <w:r>
                              <w:rPr>
                                <w:rFonts w:hint="eastAsia"/>
                              </w:rPr>
                              <w:t>噪声保护目标范围</w:t>
                            </w:r>
                          </w:p>
                        </w:txbxContent>
                      </wps:txbx>
                      <wps:bodyPr wrap="square" upright="1"/>
                    </wps:wsp>
                  </a:graphicData>
                </a:graphic>
              </wp:anchor>
            </w:drawing>
          </mc:Choice>
          <mc:Fallback>
            <w:pict>
              <v:shape id="文本框 233" o:spid="_x0000_s1026" o:spt="202" type="#_x0000_t202" style="position:absolute;left:0pt;margin-left:86.6pt;margin-top:295.1pt;height:37.25pt;width:62.4pt;mso-position-horizontal-relative:char;mso-position-vertical-relative:line;z-index:251679744;mso-width-relative:page;mso-height-relative:page;" filled="f" stroked="f" coordsize="21600,21600" o:gfxdata="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CChA8X2wAAAAsBAAAPAAAAAAAAAAEAIAAAACIAAABkcnMvZG93bnJl&#10;di54bWxQSwECFAAUAAAACACHTuJALi65/sEBAABnAwAADgAAAAAAAAABACAAAAAqAQAAZHJzL2Uy&#10;b0RvYy54bWxQSwUGAAAAAAYABgBZAQAAXQUAAAAA&#10;">
                <v:fill on="f" focussize="0,0"/>
                <v:stroke on="f" weight="0.5pt"/>
                <v:imagedata o:title=""/>
                <o:lock v:ext="edit" aspectratio="f"/>
                <v:textbox>
                  <w:txbxContent>
                    <w:p w14:paraId="6D055ED5">
                      <w:r>
                        <w:rPr>
                          <w:rFonts w:hint="eastAsia"/>
                        </w:rPr>
                        <w:t>噪声保护目标范围</w:t>
                      </w:r>
                    </w:p>
                  </w:txbxContent>
                </v:textbox>
              </v:shape>
            </w:pict>
          </mc:Fallback>
        </mc:AlternateContent>
      </w:r>
      <w:r>
        <w:rPr>
          <w:rFonts w:hint="default" w:ascii="Times New Roman" w:hAnsi="Times New Roman" w:eastAsia="宋体" w:cs="Times New Roman"/>
          <w:color w:val="auto"/>
          <w:highlight w:val="none"/>
        </w:rPr>
        <mc:AlternateContent>
          <mc:Choice Requires="wps">
            <w:drawing>
              <wp:anchor distT="0" distB="0" distL="114300" distR="114300" simplePos="0" relativeHeight="251678720" behindDoc="0" locked="0" layoutInCell="1" allowOverlap="1">
                <wp:simplePos x="0" y="0"/>
                <wp:positionH relativeFrom="character">
                  <wp:posOffset>1052830</wp:posOffset>
                </wp:positionH>
                <wp:positionV relativeFrom="line">
                  <wp:posOffset>2560320</wp:posOffset>
                </wp:positionV>
                <wp:extent cx="865505" cy="433070"/>
                <wp:effectExtent l="0" t="0" r="0" b="0"/>
                <wp:wrapNone/>
                <wp:docPr id="94" name="文本框 96"/>
                <wp:cNvGraphicFramePr/>
                <a:graphic xmlns:a="http://schemas.openxmlformats.org/drawingml/2006/main">
                  <a:graphicData uri="http://schemas.microsoft.com/office/word/2010/wordprocessingShape">
                    <wps:wsp>
                      <wps:cNvSpPr txBox="1"/>
                      <wps:spPr>
                        <a:xfrm>
                          <a:off x="0" y="0"/>
                          <a:ext cx="865505" cy="433070"/>
                        </a:xfrm>
                        <a:prstGeom prst="rect">
                          <a:avLst/>
                        </a:prstGeom>
                        <a:noFill/>
                        <a:ln w="6350">
                          <a:noFill/>
                        </a:ln>
                      </wps:spPr>
                      <wps:txbx>
                        <w:txbxContent>
                          <w:p w14:paraId="191467FE">
                            <w:pPr>
                              <w:rPr>
                                <w:rFonts w:hint="default" w:eastAsia="宋体"/>
                                <w:lang w:val="en-US" w:eastAsia="zh-CN"/>
                              </w:rPr>
                            </w:pPr>
                            <w:r>
                              <w:rPr>
                                <w:rFonts w:hint="eastAsia"/>
                                <w:lang w:val="en-US" w:eastAsia="zh-CN"/>
                              </w:rPr>
                              <w:t>项目所在建筑物</w:t>
                            </w:r>
                          </w:p>
                        </w:txbxContent>
                      </wps:txbx>
                      <wps:bodyPr wrap="square" upright="1"/>
                    </wps:wsp>
                  </a:graphicData>
                </a:graphic>
              </wp:anchor>
            </w:drawing>
          </mc:Choice>
          <mc:Fallback>
            <w:pict>
              <v:shape id="文本框 96" o:spid="_x0000_s1026" o:spt="202" type="#_x0000_t202" style="position:absolute;left:0pt;margin-left:82.9pt;margin-top:201.6pt;height:34.1pt;width:68.15pt;mso-position-horizontal-relative:char;mso-position-vertical-relative:line;z-index:251678720;mso-width-relative:page;mso-height-relative:page;" filled="f" stroked="f" coordsize="21600,21600" o:gfxdata="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P/b3tsAAAALAQAADwAAAAAAAAABACAAAAAiAAAAZHJzL2Rvd25y&#10;ZXYueG1sUEsBAhQAFAAAAAgAh07iQJdleMjCAQAAZgMAAA4AAAAAAAAAAQAgAAAAKgEAAGRycy9l&#10;Mm9Eb2MueG1sUEsFBgAAAAAGAAYAWQEAAF4FAAAAAA==&#10;">
                <v:fill on="f" focussize="0,0"/>
                <v:stroke on="f" weight="0.5pt"/>
                <v:imagedata o:title=""/>
                <o:lock v:ext="edit" aspectratio="f"/>
                <v:textbox>
                  <w:txbxContent>
                    <w:p w14:paraId="191467FE">
                      <w:pPr>
                        <w:rPr>
                          <w:rFonts w:hint="default" w:eastAsia="宋体"/>
                          <w:lang w:val="en-US" w:eastAsia="zh-CN"/>
                        </w:rPr>
                      </w:pPr>
                      <w:r>
                        <w:rPr>
                          <w:rFonts w:hint="eastAsia"/>
                          <w:lang w:val="en-US" w:eastAsia="zh-CN"/>
                        </w:rPr>
                        <w:t>项目所在建筑物</w:t>
                      </w:r>
                    </w:p>
                  </w:txbxContent>
                </v:textbox>
              </v:shape>
            </w:pict>
          </mc:Fallback>
        </mc:AlternateContent>
      </w:r>
      <w:r>
        <w:rPr>
          <w:rFonts w:hint="default" w:ascii="Times New Roman" w:hAnsi="Times New Roman" w:eastAsia="宋体" w:cs="Times New Roman"/>
          <w:color w:val="auto"/>
          <w:highlight w:val="none"/>
        </w:rPr>
        <mc:AlternateContent>
          <mc:Choice Requires="wps">
            <w:drawing>
              <wp:anchor distT="0" distB="0" distL="114300" distR="114300" simplePos="0" relativeHeight="251681792" behindDoc="0" locked="0" layoutInCell="1" allowOverlap="1">
                <wp:simplePos x="0" y="0"/>
                <wp:positionH relativeFrom="character">
                  <wp:posOffset>1156335</wp:posOffset>
                </wp:positionH>
                <wp:positionV relativeFrom="line">
                  <wp:posOffset>2943225</wp:posOffset>
                </wp:positionV>
                <wp:extent cx="690880" cy="332105"/>
                <wp:effectExtent l="0" t="0" r="0" b="0"/>
                <wp:wrapNone/>
                <wp:docPr id="97" name="文本框 91"/>
                <wp:cNvGraphicFramePr/>
                <a:graphic xmlns:a="http://schemas.openxmlformats.org/drawingml/2006/main">
                  <a:graphicData uri="http://schemas.microsoft.com/office/word/2010/wordprocessingShape">
                    <wps:wsp>
                      <wps:cNvSpPr txBox="1"/>
                      <wps:spPr>
                        <a:xfrm>
                          <a:off x="0" y="0"/>
                          <a:ext cx="690880" cy="332105"/>
                        </a:xfrm>
                        <a:prstGeom prst="rect">
                          <a:avLst/>
                        </a:prstGeom>
                        <a:noFill/>
                        <a:ln w="6350">
                          <a:noFill/>
                        </a:ln>
                      </wps:spPr>
                      <wps:txbx>
                        <w:txbxContent>
                          <w:p w14:paraId="594487FB">
                            <w:r>
                              <w:rPr>
                                <w:rFonts w:hint="eastAsia"/>
                              </w:rPr>
                              <w:t>敏感点</w:t>
                            </w:r>
                          </w:p>
                        </w:txbxContent>
                      </wps:txbx>
                      <wps:bodyPr wrap="square" upright="1"/>
                    </wps:wsp>
                  </a:graphicData>
                </a:graphic>
              </wp:anchor>
            </w:drawing>
          </mc:Choice>
          <mc:Fallback>
            <w:pict>
              <v:shape id="文本框 91" o:spid="_x0000_s1026" o:spt="202" type="#_x0000_t202" style="position:absolute;left:0pt;margin-left:91.05pt;margin-top:231.75pt;height:26.15pt;width:54.4pt;mso-position-horizontal-relative:char;mso-position-vertical-relative:line;z-index:251681792;mso-width-relative:page;mso-height-relative:page;" filled="f" stroked="f" coordsize="21600,21600" o:gfxdata="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BKC+1R3AAAAAsBAAAPAAAAAAAAAAEAIAAAACIAAABkcnMvZG93bnJl&#10;di54bWxQSwECFAAUAAAACACHTuJARRImh8ABAABmAwAADgAAAAAAAAABACAAAAArAQAAZHJzL2Uy&#10;b0RvYy54bWxQSwUGAAAAAAYABgBZAQAAXQUAAAAA&#10;">
                <v:fill on="f" focussize="0,0"/>
                <v:stroke on="f" weight="0.5pt"/>
                <v:imagedata o:title=""/>
                <o:lock v:ext="edit" aspectratio="f"/>
                <v:textbox>
                  <w:txbxContent>
                    <w:p w14:paraId="594487FB">
                      <w:r>
                        <w:rPr>
                          <w:rFonts w:hint="eastAsia"/>
                        </w:rPr>
                        <w:t>敏感点</w:t>
                      </w:r>
                    </w:p>
                  </w:txbxContent>
                </v:textbox>
              </v:shape>
            </w:pict>
          </mc:Fallback>
        </mc:AlternateContent>
      </w:r>
      <w:r>
        <w:rPr>
          <w:rFonts w:hint="default" w:ascii="Times New Roman" w:hAnsi="Times New Roman" w:eastAsia="宋体" w:cs="Times New Roman"/>
          <w:color w:val="auto"/>
          <w:highlight w:val="none"/>
        </w:rPr>
        <mc:AlternateContent>
          <mc:Choice Requires="wps">
            <w:drawing>
              <wp:anchor distT="0" distB="0" distL="114300" distR="114300" simplePos="0" relativeHeight="251677696" behindDoc="0" locked="0" layoutInCell="1" allowOverlap="1">
                <wp:simplePos x="0" y="0"/>
                <wp:positionH relativeFrom="character">
                  <wp:posOffset>534035</wp:posOffset>
                </wp:positionH>
                <wp:positionV relativeFrom="line">
                  <wp:posOffset>1903095</wp:posOffset>
                </wp:positionV>
                <wp:extent cx="654685" cy="332740"/>
                <wp:effectExtent l="0" t="0" r="0" b="0"/>
                <wp:wrapNone/>
                <wp:docPr id="93" name="文本框 100"/>
                <wp:cNvGraphicFramePr/>
                <a:graphic xmlns:a="http://schemas.openxmlformats.org/drawingml/2006/main">
                  <a:graphicData uri="http://schemas.microsoft.com/office/word/2010/wordprocessingShape">
                    <wps:wsp>
                      <wps:cNvSpPr txBox="1"/>
                      <wps:spPr>
                        <a:xfrm>
                          <a:off x="0" y="0"/>
                          <a:ext cx="654685" cy="332740"/>
                        </a:xfrm>
                        <a:prstGeom prst="rect">
                          <a:avLst/>
                        </a:prstGeom>
                        <a:noFill/>
                        <a:ln w="6350">
                          <a:noFill/>
                        </a:ln>
                      </wps:spPr>
                      <wps:txbx>
                        <w:txbxContent>
                          <w:p w14:paraId="55B365F3">
                            <w:r>
                              <w:rPr>
                                <w:rFonts w:hint="eastAsia"/>
                              </w:rPr>
                              <w:t>图例：</w:t>
                            </w:r>
                          </w:p>
                        </w:txbxContent>
                      </wps:txbx>
                      <wps:bodyPr wrap="square" upright="1"/>
                    </wps:wsp>
                  </a:graphicData>
                </a:graphic>
              </wp:anchor>
            </w:drawing>
          </mc:Choice>
          <mc:Fallback>
            <w:pict>
              <v:shape id="文本框 100" o:spid="_x0000_s1026" o:spt="202" type="#_x0000_t202" style="position:absolute;left:0pt;margin-left:42.05pt;margin-top:149.85pt;height:26.2pt;width:51.55pt;mso-position-horizontal-relative:char;mso-position-vertical-relative:line;z-index:251677696;mso-width-relative:page;mso-height-relative:page;" filled="f" stroked="f" coordsize="21600,21600" o:gfxdata="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Di5SwI2wAAAAoBAAAPAAAAAAAAAAEAIAAAACIAAABkcnMvZG93bnJl&#10;di54bWxQSwECFAAUAAAACACHTuJAjsezh8EBAABnAwAADgAAAAAAAAABACAAAAAqAQAAZHJzL2Uy&#10;b0RvYy54bWxQSwUGAAAAAAYABgBZAQAAXQUAAAAA&#10;">
                <v:fill on="f" focussize="0,0"/>
                <v:stroke on="f" weight="0.5pt"/>
                <v:imagedata o:title=""/>
                <o:lock v:ext="edit" aspectratio="f"/>
                <v:textbox>
                  <w:txbxContent>
                    <w:p w14:paraId="55B365F3">
                      <w:r>
                        <w:rPr>
                          <w:rFonts w:hint="eastAsia"/>
                        </w:rPr>
                        <w:t>图例：</w:t>
                      </w:r>
                    </w:p>
                  </w:txbxContent>
                </v:textbox>
              </v:shape>
            </w:pict>
          </mc:Fallback>
        </mc:AlternateContent>
      </w:r>
      <w:r>
        <w:rPr>
          <w:rFonts w:hint="default" w:ascii="Times New Roman" w:hAnsi="Times New Roman" w:eastAsia="宋体" w:cs="Times New Roman"/>
          <w:color w:val="auto"/>
          <w:highlight w:val="none"/>
        </w:rPr>
        <mc:AlternateContent>
          <mc:Choice Requires="wps">
            <w:drawing>
              <wp:anchor distT="0" distB="0" distL="114300" distR="114300" simplePos="0" relativeHeight="251676672" behindDoc="0" locked="0" layoutInCell="1" allowOverlap="1">
                <wp:simplePos x="0" y="0"/>
                <wp:positionH relativeFrom="character">
                  <wp:posOffset>481965</wp:posOffset>
                </wp:positionH>
                <wp:positionV relativeFrom="line">
                  <wp:posOffset>1840865</wp:posOffset>
                </wp:positionV>
                <wp:extent cx="1365885" cy="2430145"/>
                <wp:effectExtent l="6350" t="6350" r="18415" b="20955"/>
                <wp:wrapNone/>
                <wp:docPr id="92" name="矩形 112"/>
                <wp:cNvGraphicFramePr/>
                <a:graphic xmlns:a="http://schemas.openxmlformats.org/drawingml/2006/main">
                  <a:graphicData uri="http://schemas.microsoft.com/office/word/2010/wordprocessingShape">
                    <wps:wsp>
                      <wps:cNvSpPr/>
                      <wps:spPr>
                        <a:xfrm>
                          <a:off x="0" y="0"/>
                          <a:ext cx="1365885" cy="2430145"/>
                        </a:xfrm>
                        <a:prstGeom prst="rect">
                          <a:avLst/>
                        </a:prstGeom>
                        <a:noFill/>
                        <a:ln w="12700" cap="flat" cmpd="sng">
                          <a:solidFill>
                            <a:srgbClr val="000000"/>
                          </a:solidFill>
                          <a:prstDash val="solid"/>
                          <a:miter/>
                          <a:headEnd type="none" w="med" len="med"/>
                          <a:tailEnd type="none" w="med" len="med"/>
                        </a:ln>
                      </wps:spPr>
                      <wps:bodyPr vert="horz" wrap="square" anchor="ctr" anchorCtr="0" upright="1"/>
                    </wps:wsp>
                  </a:graphicData>
                </a:graphic>
              </wp:anchor>
            </w:drawing>
          </mc:Choice>
          <mc:Fallback>
            <w:pict>
              <v:rect id="矩形 112" o:spid="_x0000_s1026" o:spt="1" style="position:absolute;left:0pt;margin-left:37.95pt;margin-top:144.95pt;height:191.35pt;width:107.55pt;mso-position-horizontal-relative:char;mso-position-vertical-relative:line;z-index:251676672;v-text-anchor:middle;mso-width-relative:page;mso-height-relative:page;" filled="f" stroked="t" coordsize="21600,21600" o:gfxdata="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C8BYnXZAAAACgEA&#10;AA8AAAAAAAAAAQAgAAAAIgAAAGRycy9kb3ducmV2LnhtbFBLAQIUABQAAAAIAIdO4kAQwiWWGQIA&#10;AC8EAAAOAAAAAAAAAAEAIAAAACgBAABkcnMvZTJvRG9jLnhtbFBLBQYAAAAABgAGAFkBAACzBQAA&#10;AAA=&#10;">
                <v:fill on="f" focussize="0,0"/>
                <v:stroke weight="1pt" color="#000000" joinstyle="miter"/>
                <v:imagedata o:title=""/>
                <o:lock v:ext="edit" aspectratio="f"/>
              </v:rect>
            </w:pict>
          </mc:Fallback>
        </mc:AlternateContent>
      </w:r>
    </w:p>
    <w:p w14:paraId="7F4AC732">
      <w:pPr>
        <w:shd w:val="clear"/>
        <w:bidi w:val="0"/>
        <w:jc w:val="center"/>
        <w:rPr>
          <w:rFonts w:hint="default"/>
          <w:b/>
          <w:bCs/>
          <w:color w:val="auto"/>
          <w:sz w:val="36"/>
          <w:szCs w:val="36"/>
          <w:highlight w:val="none"/>
          <w:lang w:val="en-US" w:eastAsia="zh-CN"/>
        </w:rPr>
        <w:sectPr>
          <w:pgSz w:w="16838" w:h="11906" w:orient="landscape"/>
          <w:pgMar w:top="1531" w:right="1701" w:bottom="1531" w:left="1701" w:header="851" w:footer="850" w:gutter="0"/>
          <w:pgNumType w:fmt="decimal"/>
          <w:cols w:space="0" w:num="1"/>
          <w:rtlGutter w:val="0"/>
          <w:docGrid w:linePitch="312" w:charSpace="0"/>
        </w:sectPr>
      </w:pPr>
      <w:r>
        <w:rPr>
          <w:rFonts w:hint="default"/>
          <w:b/>
          <w:bCs/>
          <w:color w:val="auto"/>
          <w:sz w:val="36"/>
          <w:szCs w:val="36"/>
          <w:highlight w:val="none"/>
          <w:lang w:val="en-US" w:eastAsia="zh-CN"/>
        </w:rPr>
        <w:t>附图8</w:t>
      </w:r>
      <w:r>
        <w:rPr>
          <w:rFonts w:hint="eastAsia"/>
          <w:b/>
          <w:bCs/>
          <w:color w:val="auto"/>
          <w:sz w:val="36"/>
          <w:szCs w:val="36"/>
          <w:highlight w:val="none"/>
          <w:lang w:val="en-US" w:eastAsia="zh-CN"/>
        </w:rPr>
        <w:t>-1</w:t>
      </w:r>
      <w:r>
        <w:rPr>
          <w:rFonts w:hint="default"/>
          <w:b/>
          <w:bCs/>
          <w:color w:val="auto"/>
          <w:sz w:val="36"/>
          <w:szCs w:val="36"/>
          <w:highlight w:val="none"/>
          <w:lang w:val="en-US" w:eastAsia="zh-CN"/>
        </w:rPr>
        <w:t>建设项目范围内环境保护目标</w:t>
      </w:r>
    </w:p>
    <w:p w14:paraId="4AEBC5AD">
      <w:pPr>
        <w:pStyle w:val="40"/>
        <w:shd w:val="clear"/>
        <w:bidi w:val="0"/>
        <w:jc w:val="center"/>
        <w:rPr>
          <w:rFonts w:hint="default" w:ascii="Times New Roman" w:hAnsi="Times New Roman" w:eastAsia="宋体" w:cs="Times New Roman"/>
          <w:color w:val="auto"/>
          <w:highlight w:val="none"/>
          <w:lang w:val="en-US" w:eastAsia="zh-CN"/>
        </w:rPr>
      </w:pPr>
      <w:r>
        <w:rPr>
          <w:color w:val="auto"/>
          <w:sz w:val="24"/>
          <w:highlight w:val="none"/>
        </w:rPr>
        <mc:AlternateContent>
          <mc:Choice Requires="wps">
            <w:drawing>
              <wp:anchor distT="0" distB="0" distL="114300" distR="114300" simplePos="0" relativeHeight="251778048" behindDoc="0" locked="0" layoutInCell="1" allowOverlap="1">
                <wp:simplePos x="0" y="0"/>
                <wp:positionH relativeFrom="column">
                  <wp:posOffset>4257040</wp:posOffset>
                </wp:positionH>
                <wp:positionV relativeFrom="paragraph">
                  <wp:posOffset>3128010</wp:posOffset>
                </wp:positionV>
                <wp:extent cx="528320" cy="298450"/>
                <wp:effectExtent l="0" t="0" r="0" b="0"/>
                <wp:wrapNone/>
                <wp:docPr id="142" name="文本框 142"/>
                <wp:cNvGraphicFramePr/>
                <a:graphic xmlns:a="http://schemas.openxmlformats.org/drawingml/2006/main">
                  <a:graphicData uri="http://schemas.microsoft.com/office/word/2010/wordprocessingShape">
                    <wps:wsp>
                      <wps:cNvSpPr txBox="1"/>
                      <wps:spPr>
                        <a:xfrm>
                          <a:off x="4046220" y="2929890"/>
                          <a:ext cx="528320" cy="2984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4CF60DB">
                            <w:pPr>
                              <w:rPr>
                                <w:rFonts w:hint="default"/>
                                <w:b/>
                                <w:bCs/>
                                <w:color w:val="E46C0A" w:themeColor="accent6" w:themeShade="BF"/>
                                <w:sz w:val="18"/>
                                <w:szCs w:val="18"/>
                                <w:lang w:val="en-US" w:eastAsia="zh-CN"/>
                              </w:rPr>
                            </w:pPr>
                            <w:r>
                              <w:rPr>
                                <w:rFonts w:hint="eastAsia"/>
                                <w:b/>
                                <w:bCs/>
                                <w:color w:val="E46C0A" w:themeColor="accent6" w:themeShade="BF"/>
                                <w:sz w:val="18"/>
                                <w:szCs w:val="18"/>
                                <w:lang w:val="en-US" w:eastAsia="zh-CN"/>
                              </w:rPr>
                              <w:t>144m</w:t>
                            </w:r>
                          </w:p>
                          <w:p w14:paraId="527D43B6">
                            <w:pPr>
                              <w:rPr>
                                <w:rFonts w:hint="default"/>
                                <w:lang w:val="en-US" w:eastAsia="zh-CN"/>
                              </w:rPr>
                            </w:pPr>
                          </w:p>
                          <w:p w14:paraId="6F9BA786">
                            <w:pPr>
                              <w:rPr>
                                <w:rFonts w:hint="default"/>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5.2pt;margin-top:246.3pt;height:23.5pt;width:41.6pt;z-index:251778048;mso-width-relative:page;mso-height-relative:page;" filled="f" stroked="f" coordsize="21600,21600" o:gfxdata="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CTrUEvdAAAACwEAAA8AAAAAAAAA&#10;AQAgAAAAIgAAAGRycy9kb3ducmV2LnhtbFBLAQIUABQAAAAIAIdO4kDUAccuRQIAAHUEAAAOAAAA&#10;AAAAAAEAIAAAACwBAABkcnMvZTJvRG9jLnhtbFBLBQYAAAAABgAGAFkBAADjBQAAAAA=&#10;">
                <v:fill on="f" focussize="0,0"/>
                <v:stroke on="f" weight="0.5pt"/>
                <v:imagedata o:title=""/>
                <o:lock v:ext="edit" aspectratio="f"/>
                <v:textbox>
                  <w:txbxContent>
                    <w:p w14:paraId="64CF60DB">
                      <w:pPr>
                        <w:rPr>
                          <w:rFonts w:hint="default"/>
                          <w:b/>
                          <w:bCs/>
                          <w:color w:val="E46C0A" w:themeColor="accent6" w:themeShade="BF"/>
                          <w:sz w:val="18"/>
                          <w:szCs w:val="18"/>
                          <w:lang w:val="en-US" w:eastAsia="zh-CN"/>
                        </w:rPr>
                      </w:pPr>
                      <w:r>
                        <w:rPr>
                          <w:rFonts w:hint="eastAsia"/>
                          <w:b/>
                          <w:bCs/>
                          <w:color w:val="E46C0A" w:themeColor="accent6" w:themeShade="BF"/>
                          <w:sz w:val="18"/>
                          <w:szCs w:val="18"/>
                          <w:lang w:val="en-US" w:eastAsia="zh-CN"/>
                        </w:rPr>
                        <w:t>144m</w:t>
                      </w:r>
                    </w:p>
                    <w:p w14:paraId="527D43B6">
                      <w:pPr>
                        <w:rPr>
                          <w:rFonts w:hint="default"/>
                          <w:lang w:val="en-US" w:eastAsia="zh-CN"/>
                        </w:rPr>
                      </w:pPr>
                    </w:p>
                    <w:p w14:paraId="6F9BA786">
                      <w:pPr>
                        <w:rPr>
                          <w:rFonts w:hint="default"/>
                          <w:lang w:val="en-US" w:eastAsia="zh-CN"/>
                        </w:rPr>
                      </w:pPr>
                    </w:p>
                  </w:txbxContent>
                </v:textbox>
              </v:shape>
            </w:pict>
          </mc:Fallback>
        </mc:AlternateContent>
      </w:r>
      <w:r>
        <w:rPr>
          <w:color w:val="auto"/>
          <w:sz w:val="24"/>
          <w:highlight w:val="none"/>
        </w:rPr>
        <mc:AlternateContent>
          <mc:Choice Requires="wps">
            <w:drawing>
              <wp:anchor distT="0" distB="0" distL="114300" distR="114300" simplePos="0" relativeHeight="251777024" behindDoc="0" locked="0" layoutInCell="1" allowOverlap="1">
                <wp:simplePos x="0" y="0"/>
                <wp:positionH relativeFrom="column">
                  <wp:posOffset>5026025</wp:posOffset>
                </wp:positionH>
                <wp:positionV relativeFrom="paragraph">
                  <wp:posOffset>3086735</wp:posOffset>
                </wp:positionV>
                <wp:extent cx="474980" cy="209550"/>
                <wp:effectExtent l="0" t="0" r="0" b="0"/>
                <wp:wrapNone/>
                <wp:docPr id="141" name="文本框 141"/>
                <wp:cNvGraphicFramePr/>
                <a:graphic xmlns:a="http://schemas.openxmlformats.org/drawingml/2006/main">
                  <a:graphicData uri="http://schemas.microsoft.com/office/word/2010/wordprocessingShape">
                    <wps:wsp>
                      <wps:cNvSpPr txBox="1"/>
                      <wps:spPr>
                        <a:xfrm>
                          <a:off x="4288790" y="2821305"/>
                          <a:ext cx="474980" cy="209550"/>
                        </a:xfrm>
                        <a:prstGeom prst="rect">
                          <a:avLst/>
                        </a:prstGeom>
                        <a:noFill/>
                        <a:ln w="6350">
                          <a:solidFill>
                            <a:srgbClr val="000000">
                              <a:alpha val="0"/>
                            </a:srgbClr>
                          </a:solidFill>
                        </a:ln>
                      </wps:spPr>
                      <wps:style>
                        <a:lnRef idx="0">
                          <a:schemeClr val="accent1"/>
                        </a:lnRef>
                        <a:fillRef idx="0">
                          <a:schemeClr val="accent1"/>
                        </a:fillRef>
                        <a:effectRef idx="0">
                          <a:schemeClr val="accent1"/>
                        </a:effectRef>
                        <a:fontRef idx="minor">
                          <a:schemeClr val="dk1"/>
                        </a:fontRef>
                      </wps:style>
                      <wps:txbx>
                        <w:txbxContent>
                          <w:p w14:paraId="73D01C89">
                            <w:pPr>
                              <w:rPr>
                                <w:rFonts w:hint="default"/>
                                <w:b/>
                                <w:bCs/>
                                <w:color w:val="E46C0A" w:themeColor="accent6" w:themeShade="BF"/>
                                <w:sz w:val="18"/>
                                <w:szCs w:val="18"/>
                                <w:lang w:val="en-US" w:eastAsia="zh-CN"/>
                              </w:rPr>
                            </w:pPr>
                            <w:r>
                              <w:rPr>
                                <w:rFonts w:hint="eastAsia"/>
                                <w:b/>
                                <w:bCs/>
                                <w:color w:val="E46C0A" w:themeColor="accent6" w:themeShade="BF"/>
                                <w:sz w:val="18"/>
                                <w:szCs w:val="18"/>
                                <w:lang w:val="en-US" w:eastAsia="zh-CN"/>
                              </w:rPr>
                              <w:t>146m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95.75pt;margin-top:243.05pt;height:16.5pt;width:37.4pt;z-index:251777024;mso-width-relative:page;mso-height-relative:page;" filled="f" stroked="t" coordsize="21600,21600" o:gfxdata="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P+2CVbdAAAACwEAAA8AAAAAAAAAAQAgAAAAIgAAAGRycy9kb3ducmV2Lnht&#10;bFBLAQIUABQAAAAIAIdO4kC74pIpZgIAALsEAAAOAAAAAAAAAAEAIAAAACwBAABkcnMvZTJvRG9j&#10;LnhtbFBLBQYAAAAABgAGAFkBAAAEBgAAAAA=&#10;">
                <v:fill on="f" focussize="0,0"/>
                <v:stroke weight="0.5pt" color="#000000 [3204]" opacity="0f" joinstyle="round"/>
                <v:imagedata o:title=""/>
                <o:lock v:ext="edit" aspectratio="f"/>
                <v:textbox>
                  <w:txbxContent>
                    <w:p w14:paraId="73D01C89">
                      <w:pPr>
                        <w:rPr>
                          <w:rFonts w:hint="default"/>
                          <w:b/>
                          <w:bCs/>
                          <w:color w:val="E46C0A" w:themeColor="accent6" w:themeShade="BF"/>
                          <w:sz w:val="18"/>
                          <w:szCs w:val="18"/>
                          <w:lang w:val="en-US" w:eastAsia="zh-CN"/>
                        </w:rPr>
                      </w:pPr>
                      <w:r>
                        <w:rPr>
                          <w:rFonts w:hint="eastAsia"/>
                          <w:b/>
                          <w:bCs/>
                          <w:color w:val="E46C0A" w:themeColor="accent6" w:themeShade="BF"/>
                          <w:sz w:val="18"/>
                          <w:szCs w:val="18"/>
                          <w:lang w:val="en-US" w:eastAsia="zh-CN"/>
                        </w:rPr>
                        <w:t>146m</w:t>
                      </w:r>
                    </w:p>
                  </w:txbxContent>
                </v:textbox>
              </v:shape>
            </w:pict>
          </mc:Fallback>
        </mc:AlternateContent>
      </w:r>
      <w:r>
        <w:rPr>
          <w:rFonts w:hint="default" w:ascii="Times New Roman" w:hAnsi="Times New Roman" w:eastAsia="宋体" w:cs="Times New Roman"/>
          <w:color w:val="auto"/>
          <w:sz w:val="24"/>
          <w:highlight w:val="none"/>
        </w:rPr>
        <w:drawing>
          <wp:inline distT="0" distB="0" distL="114300" distR="114300">
            <wp:extent cx="5574030" cy="4747260"/>
            <wp:effectExtent l="0" t="0" r="7620" b="15240"/>
            <wp:docPr id="179" name="图片 179" descr="d7353fec-be83-45db-81db-461a5da08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79" descr="d7353fec-be83-45db-81db-461a5da08717"/>
                    <pic:cNvPicPr>
                      <a:picLocks noChangeAspect="1"/>
                    </pic:cNvPicPr>
                  </pic:nvPicPr>
                  <pic:blipFill>
                    <a:blip r:embed="rId36"/>
                    <a:srcRect l="5770" r="6756" b="9542"/>
                    <a:stretch>
                      <a:fillRect/>
                    </a:stretch>
                  </pic:blipFill>
                  <pic:spPr>
                    <a:xfrm>
                      <a:off x="0" y="0"/>
                      <a:ext cx="5574030" cy="4747260"/>
                    </a:xfrm>
                    <a:prstGeom prst="rect">
                      <a:avLst/>
                    </a:prstGeom>
                  </pic:spPr>
                </pic:pic>
              </a:graphicData>
            </a:graphic>
          </wp:inline>
        </w:drawing>
      </w:r>
      <w:r>
        <w:rPr>
          <w:color w:val="auto"/>
          <w:sz w:val="24"/>
          <w:highlight w:val="none"/>
        </w:rPr>
        <mc:AlternateContent>
          <mc:Choice Requires="wps">
            <w:drawing>
              <wp:anchor distT="0" distB="0" distL="114300" distR="114300" simplePos="0" relativeHeight="251769856" behindDoc="0" locked="0" layoutInCell="1" allowOverlap="1">
                <wp:simplePos x="0" y="0"/>
                <wp:positionH relativeFrom="column">
                  <wp:posOffset>4696460</wp:posOffset>
                </wp:positionH>
                <wp:positionV relativeFrom="paragraph">
                  <wp:posOffset>3028315</wp:posOffset>
                </wp:positionV>
                <wp:extent cx="469900" cy="207010"/>
                <wp:effectExtent l="0" t="0" r="0" b="0"/>
                <wp:wrapNone/>
                <wp:docPr id="19" name="文本框 19"/>
                <wp:cNvGraphicFramePr/>
                <a:graphic xmlns:a="http://schemas.openxmlformats.org/drawingml/2006/main">
                  <a:graphicData uri="http://schemas.microsoft.com/office/word/2010/wordprocessingShape">
                    <wps:wsp>
                      <wps:cNvSpPr txBox="1"/>
                      <wps:spPr>
                        <a:xfrm>
                          <a:off x="4116705" y="3260725"/>
                          <a:ext cx="469900" cy="20701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9202804">
                            <w:pPr>
                              <w:rPr>
                                <w:rFonts w:hint="default"/>
                                <w:b/>
                                <w:bCs/>
                                <w:sz w:val="15"/>
                                <w:szCs w:val="15"/>
                                <w:lang w:val="en-US" w:eastAsia="zh-CN"/>
                              </w:rPr>
                            </w:pPr>
                            <w:r>
                              <w:rPr>
                                <w:rFonts w:hint="eastAsia"/>
                                <w:b/>
                                <w:bCs/>
                                <w:sz w:val="15"/>
                                <w:szCs w:val="15"/>
                                <w:lang w:val="en-US" w:eastAsia="zh-CN"/>
                              </w:rPr>
                              <w:t>133m</w:t>
                            </w:r>
                          </w:p>
                          <w:p w14:paraId="5AAB8C83">
                            <w:pPr>
                              <w:rPr>
                                <w:rFonts w:hint="default"/>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69.8pt;margin-top:238.45pt;height:16.3pt;width:37pt;z-index:251769856;mso-width-relative:page;mso-height-relative:page;" filled="f" stroked="f" coordsize="21600,21600" o:gfxdata="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rRn0+d0AAAALAQAADwAAAAAA&#10;AAABACAAAAAiAAAAZHJzL2Rvd25yZXYueG1sUEsBAhQAFAAAAAgAh07iQD8lsRJHAgAAcwQAAA4A&#10;AAAAAAAAAQAgAAAALAEAAGRycy9lMm9Eb2MueG1sUEsFBgAAAAAGAAYAWQEAAOUFAAAAAA==&#10;">
                <v:fill on="f" focussize="0,0"/>
                <v:stroke on="f" weight="0.5pt"/>
                <v:imagedata o:title=""/>
                <o:lock v:ext="edit" aspectratio="f"/>
                <v:textbox>
                  <w:txbxContent>
                    <w:p w14:paraId="39202804">
                      <w:pPr>
                        <w:rPr>
                          <w:rFonts w:hint="default"/>
                          <w:b/>
                          <w:bCs/>
                          <w:sz w:val="15"/>
                          <w:szCs w:val="15"/>
                          <w:lang w:val="en-US" w:eastAsia="zh-CN"/>
                        </w:rPr>
                      </w:pPr>
                      <w:r>
                        <w:rPr>
                          <w:rFonts w:hint="eastAsia"/>
                          <w:b/>
                          <w:bCs/>
                          <w:sz w:val="15"/>
                          <w:szCs w:val="15"/>
                          <w:lang w:val="en-US" w:eastAsia="zh-CN"/>
                        </w:rPr>
                        <w:t>133m</w:t>
                      </w:r>
                    </w:p>
                    <w:p w14:paraId="5AAB8C83">
                      <w:pPr>
                        <w:rPr>
                          <w:rFonts w:hint="default"/>
                          <w:lang w:val="en-US" w:eastAsia="zh-CN"/>
                        </w:rPr>
                      </w:pPr>
                    </w:p>
                  </w:txbxContent>
                </v:textbox>
              </v:shape>
            </w:pict>
          </mc:Fallback>
        </mc:AlternateContent>
      </w:r>
      <w:r>
        <w:rPr>
          <w:color w:val="auto"/>
          <w:sz w:val="24"/>
          <w:highlight w:val="none"/>
        </w:rPr>
        <mc:AlternateContent>
          <mc:Choice Requires="wps">
            <w:drawing>
              <wp:anchor distT="0" distB="0" distL="114300" distR="114300" simplePos="0" relativeHeight="251774976" behindDoc="0" locked="0" layoutInCell="1" allowOverlap="1">
                <wp:simplePos x="0" y="0"/>
                <wp:positionH relativeFrom="column">
                  <wp:posOffset>4585335</wp:posOffset>
                </wp:positionH>
                <wp:positionV relativeFrom="paragraph">
                  <wp:posOffset>2333625</wp:posOffset>
                </wp:positionV>
                <wp:extent cx="613410" cy="1118870"/>
                <wp:effectExtent l="5715" t="3175" r="9525" b="1905"/>
                <wp:wrapNone/>
                <wp:docPr id="73" name="直接箭头连接符 73"/>
                <wp:cNvGraphicFramePr/>
                <a:graphic xmlns:a="http://schemas.openxmlformats.org/drawingml/2006/main">
                  <a:graphicData uri="http://schemas.microsoft.com/office/word/2010/wordprocessingShape">
                    <wps:wsp>
                      <wps:cNvCnPr>
                        <a:endCxn id="120" idx="0"/>
                      </wps:cNvCnPr>
                      <wps:spPr>
                        <a:xfrm>
                          <a:off x="4676775" y="3091180"/>
                          <a:ext cx="613410" cy="1118870"/>
                        </a:xfrm>
                        <a:prstGeom prst="straightConnector1">
                          <a:avLst/>
                        </a:prstGeom>
                        <a:ln w="12700">
                          <a:solidFill>
                            <a:schemeClr val="accent6">
                              <a:lumMod val="75000"/>
                            </a:schemeClr>
                          </a:solidFill>
                          <a:prstDash val="sysDash"/>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361.05pt;margin-top:183.75pt;height:88.1pt;width:48.3pt;z-index:251774976;mso-width-relative:page;mso-height-relative:page;" filled="f" stroked="t" coordsize="21600,21600" o:gfxdata="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IcKGu3ZAAAACwEAAA8AAAAAAAAAAQAgAAAAIgAAAGRycy9kb3ducmV2Lnht&#10;bFBLAQIUABQAAAAIAIdO4kBcf8xmMQIAACgEAAAOAAAAAAAAAAEAIAAAACgBAABkcnMvZTJvRG9j&#10;LnhtbFBLBQYAAAAABgAGAFkBAADLBQAAAAA=&#10;">
                <v:fill on="f" focussize="0,0"/>
                <v:stroke weight="1pt" color="#E46C0A [2409]" joinstyle="round" dashstyle="3 1" endarrow="open"/>
                <v:imagedata o:title=""/>
                <o:lock v:ext="edit" aspectratio="f"/>
              </v:shape>
            </w:pict>
          </mc:Fallback>
        </mc:AlternateContent>
      </w:r>
      <w:r>
        <w:rPr>
          <w:color w:val="auto"/>
          <w:sz w:val="24"/>
          <w:highlight w:val="none"/>
        </w:rPr>
        <mc:AlternateContent>
          <mc:Choice Requires="wps">
            <w:drawing>
              <wp:anchor distT="0" distB="0" distL="114300" distR="114300" simplePos="0" relativeHeight="251776000" behindDoc="0" locked="0" layoutInCell="1" allowOverlap="1">
                <wp:simplePos x="0" y="0"/>
                <wp:positionH relativeFrom="column">
                  <wp:posOffset>4498975</wp:posOffset>
                </wp:positionH>
                <wp:positionV relativeFrom="paragraph">
                  <wp:posOffset>2306320</wp:posOffset>
                </wp:positionV>
                <wp:extent cx="297180" cy="1167130"/>
                <wp:effectExtent l="6350" t="1270" r="39370" b="12700"/>
                <wp:wrapNone/>
                <wp:docPr id="133" name="直接箭头连接符 133"/>
                <wp:cNvGraphicFramePr/>
                <a:graphic xmlns:a="http://schemas.openxmlformats.org/drawingml/2006/main">
                  <a:graphicData uri="http://schemas.microsoft.com/office/word/2010/wordprocessingShape">
                    <wps:wsp>
                      <wps:cNvCnPr/>
                      <wps:spPr>
                        <a:xfrm>
                          <a:off x="4305935" y="3009265"/>
                          <a:ext cx="297180" cy="1167130"/>
                        </a:xfrm>
                        <a:prstGeom prst="straightConnector1">
                          <a:avLst/>
                        </a:prstGeom>
                        <a:ln w="12700">
                          <a:solidFill>
                            <a:schemeClr val="accent6">
                              <a:lumMod val="75000"/>
                            </a:schemeClr>
                          </a:solidFill>
                          <a:prstDash val="sysDash"/>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354.25pt;margin-top:181.6pt;height:91.9pt;width:23.4pt;z-index:251776000;mso-width-relative:page;mso-height-relative:page;" filled="f" stroked="t" coordsize="21600,21600" o:gfxdata="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aNTOxNkAAAALAQAADwAAAAAAAAABACAAAAAiAAAAZHJzL2Rvd25yZXYueG1sUEsBAhQAFAAAAAgA&#10;h07iQNOfU6skAgAAAQQAAA4AAAAAAAAAAQAgAAAAKAEAAGRycy9lMm9Eb2MueG1sUEsFBgAAAAAG&#10;AAYAWQEAAL4FAAAAAA==&#10;">
                <v:fill on="f" focussize="0,0"/>
                <v:stroke weight="1pt" color="#E46C0A [2409]" joinstyle="round" dashstyle="3 1" endarrow="open"/>
                <v:imagedata o:title=""/>
                <o:lock v:ext="edit" aspectratio="f"/>
              </v:shape>
            </w:pict>
          </mc:Fallback>
        </mc:AlternateContent>
      </w:r>
      <w:r>
        <w:rPr>
          <w:color w:val="auto"/>
          <w:sz w:val="24"/>
          <w:highlight w:val="none"/>
        </w:rPr>
        <mc:AlternateContent>
          <mc:Choice Requires="wps">
            <w:drawing>
              <wp:anchor distT="0" distB="0" distL="114300" distR="114300" simplePos="0" relativeHeight="251798528" behindDoc="0" locked="0" layoutInCell="1" allowOverlap="1">
                <wp:simplePos x="0" y="0"/>
                <wp:positionH relativeFrom="column">
                  <wp:posOffset>4570095</wp:posOffset>
                </wp:positionH>
                <wp:positionV relativeFrom="paragraph">
                  <wp:posOffset>3909060</wp:posOffset>
                </wp:positionV>
                <wp:extent cx="1370330" cy="371475"/>
                <wp:effectExtent l="0" t="0" r="0" b="0"/>
                <wp:wrapNone/>
                <wp:docPr id="119" name="文本框 119"/>
                <wp:cNvGraphicFramePr/>
                <a:graphic xmlns:a="http://schemas.openxmlformats.org/drawingml/2006/main">
                  <a:graphicData uri="http://schemas.microsoft.com/office/word/2010/wordprocessingShape">
                    <wps:wsp>
                      <wps:cNvSpPr txBox="1"/>
                      <wps:spPr>
                        <a:xfrm>
                          <a:off x="0" y="0"/>
                          <a:ext cx="1370330" cy="3714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691D4AA">
                            <w:pPr>
                              <w:rPr>
                                <w:rFonts w:ascii="Arial" w:hAnsi="Arial" w:eastAsia="宋体" w:cs="Arial"/>
                                <w:b/>
                                <w:bCs/>
                                <w:i w:val="0"/>
                                <w:iCs w:val="0"/>
                                <w:caps w:val="0"/>
                                <w:color w:val="auto"/>
                                <w:spacing w:val="0"/>
                                <w:sz w:val="18"/>
                                <w:szCs w:val="18"/>
                                <w:shd w:val="clear" w:fill="FFFFFF"/>
                              </w:rPr>
                            </w:pPr>
                            <w:r>
                              <w:rPr>
                                <w:rFonts w:ascii="Arial" w:hAnsi="Arial" w:eastAsia="宋体" w:cs="Arial"/>
                                <w:b/>
                                <w:bCs/>
                                <w:i w:val="0"/>
                                <w:iCs w:val="0"/>
                                <w:caps w:val="0"/>
                                <w:color w:val="auto"/>
                                <w:spacing w:val="0"/>
                                <w:sz w:val="18"/>
                                <w:szCs w:val="18"/>
                                <w:shd w:val="clear" w:fill="FFFFFF"/>
                              </w:rPr>
                              <w:t>西城派出所沙边驻警站</w:t>
                            </w:r>
                          </w:p>
                          <w:p w14:paraId="05389331">
                            <w:pPr>
                              <w:jc w:val="center"/>
                              <w:rPr>
                                <w:rFonts w:ascii="Arial" w:hAnsi="Arial" w:eastAsia="宋体" w:cs="Arial"/>
                                <w:b/>
                                <w:bCs/>
                                <w:i w:val="0"/>
                                <w:iCs w:val="0"/>
                                <w:caps w:val="0"/>
                                <w:color w:val="auto"/>
                                <w:spacing w:val="0"/>
                                <w:sz w:val="18"/>
                                <w:szCs w:val="18"/>
                                <w:shd w:val="clear" w:fill="FFFFFF"/>
                              </w:rPr>
                            </w:pPr>
                            <w:r>
                              <w:rPr>
                                <w:rFonts w:hint="eastAsia" w:ascii="Arial" w:hAnsi="Arial" w:eastAsia="宋体" w:cs="Arial"/>
                                <w:b/>
                                <w:bCs/>
                                <w:i w:val="0"/>
                                <w:iCs w:val="0"/>
                                <w:caps w:val="0"/>
                                <w:color w:val="auto"/>
                                <w:spacing w:val="0"/>
                                <w:sz w:val="18"/>
                                <w:szCs w:val="18"/>
                                <w:shd w:val="clear" w:fill="FFFFFF"/>
                                <w:lang w:val="en-US" w:eastAsia="zh-CN"/>
                              </w:rPr>
                              <w:t>120m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59.85pt;margin-top:307.8pt;height:29.25pt;width:107.9pt;z-index:251798528;mso-width-relative:page;mso-height-relative:page;" filled="f" stroked="f" coordsize="21600,21600" o:gfxdata="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AQW6JL3AAAAAsBAAAPAAAAAAAAAAEAIAAAACIA&#10;AABkcnMvZG93bnJldi54bWxQSwECFAAUAAAACACHTuJALJoIQT4CAABqBAAADgAAAAAAAAABACAA&#10;AAArAQAAZHJzL2Uyb0RvYy54bWxQSwUGAAAAAAYABgBZAQAA2wUAAAAA&#10;">
                <v:fill on="f" focussize="0,0"/>
                <v:stroke on="f" weight="0.5pt"/>
                <v:imagedata o:title=""/>
                <o:lock v:ext="edit" aspectratio="f"/>
                <v:textbox>
                  <w:txbxContent>
                    <w:p w14:paraId="5691D4AA">
                      <w:pPr>
                        <w:rPr>
                          <w:rFonts w:ascii="Arial" w:hAnsi="Arial" w:eastAsia="宋体" w:cs="Arial"/>
                          <w:b/>
                          <w:bCs/>
                          <w:i w:val="0"/>
                          <w:iCs w:val="0"/>
                          <w:caps w:val="0"/>
                          <w:color w:val="auto"/>
                          <w:spacing w:val="0"/>
                          <w:sz w:val="18"/>
                          <w:szCs w:val="18"/>
                          <w:shd w:val="clear" w:fill="FFFFFF"/>
                        </w:rPr>
                      </w:pPr>
                      <w:r>
                        <w:rPr>
                          <w:rFonts w:ascii="Arial" w:hAnsi="Arial" w:eastAsia="宋体" w:cs="Arial"/>
                          <w:b/>
                          <w:bCs/>
                          <w:i w:val="0"/>
                          <w:iCs w:val="0"/>
                          <w:caps w:val="0"/>
                          <w:color w:val="auto"/>
                          <w:spacing w:val="0"/>
                          <w:sz w:val="18"/>
                          <w:szCs w:val="18"/>
                          <w:shd w:val="clear" w:fill="FFFFFF"/>
                        </w:rPr>
                        <w:t>西城派出所沙边驻警站</w:t>
                      </w:r>
                    </w:p>
                    <w:p w14:paraId="05389331">
                      <w:pPr>
                        <w:jc w:val="center"/>
                        <w:rPr>
                          <w:rFonts w:ascii="Arial" w:hAnsi="Arial" w:eastAsia="宋体" w:cs="Arial"/>
                          <w:b/>
                          <w:bCs/>
                          <w:i w:val="0"/>
                          <w:iCs w:val="0"/>
                          <w:caps w:val="0"/>
                          <w:color w:val="auto"/>
                          <w:spacing w:val="0"/>
                          <w:sz w:val="18"/>
                          <w:szCs w:val="18"/>
                          <w:shd w:val="clear" w:fill="FFFFFF"/>
                        </w:rPr>
                      </w:pPr>
                      <w:r>
                        <w:rPr>
                          <w:rFonts w:hint="eastAsia" w:ascii="Arial" w:hAnsi="Arial" w:eastAsia="宋体" w:cs="Arial"/>
                          <w:b/>
                          <w:bCs/>
                          <w:i w:val="0"/>
                          <w:iCs w:val="0"/>
                          <w:caps w:val="0"/>
                          <w:color w:val="auto"/>
                          <w:spacing w:val="0"/>
                          <w:sz w:val="18"/>
                          <w:szCs w:val="18"/>
                          <w:shd w:val="clear" w:fill="FFFFFF"/>
                          <w:lang w:val="en-US" w:eastAsia="zh-CN"/>
                        </w:rPr>
                        <w:t>120m</w:t>
                      </w:r>
                    </w:p>
                  </w:txbxContent>
                </v:textbox>
              </v:shape>
            </w:pict>
          </mc:Fallback>
        </mc:AlternateContent>
      </w:r>
      <w:r>
        <w:rPr>
          <w:color w:val="auto"/>
          <w:sz w:val="24"/>
          <w:highlight w:val="none"/>
        </w:rPr>
        <mc:AlternateContent>
          <mc:Choice Requires="wps">
            <w:drawing>
              <wp:anchor distT="0" distB="0" distL="114300" distR="114300" simplePos="0" relativeHeight="251799552" behindDoc="0" locked="0" layoutInCell="1" allowOverlap="1">
                <wp:simplePos x="0" y="0"/>
                <wp:positionH relativeFrom="column">
                  <wp:posOffset>4817745</wp:posOffset>
                </wp:positionH>
                <wp:positionV relativeFrom="paragraph">
                  <wp:posOffset>3452495</wp:posOffset>
                </wp:positionV>
                <wp:extent cx="762000" cy="352425"/>
                <wp:effectExtent l="9525" t="9525" r="9525" b="19050"/>
                <wp:wrapNone/>
                <wp:docPr id="120" name="矩形 120"/>
                <wp:cNvGraphicFramePr/>
                <a:graphic xmlns:a="http://schemas.openxmlformats.org/drawingml/2006/main">
                  <a:graphicData uri="http://schemas.microsoft.com/office/word/2010/wordprocessingShape">
                    <wps:wsp>
                      <wps:cNvSpPr/>
                      <wps:spPr>
                        <a:xfrm>
                          <a:off x="5897880" y="4424680"/>
                          <a:ext cx="762000" cy="352425"/>
                        </a:xfrm>
                        <a:prstGeom prst="rect">
                          <a:avLst/>
                        </a:prstGeom>
                        <a:solidFill>
                          <a:schemeClr val="accent6">
                            <a:lumMod val="60000"/>
                            <a:lumOff val="40000"/>
                            <a:alpha val="30000"/>
                          </a:schemeClr>
                        </a:solidFill>
                        <a:ln w="19050">
                          <a:solidFill>
                            <a:schemeClr val="accent6"/>
                          </a:solidFill>
                          <a:prstDash val="sysDash"/>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79.35pt;margin-top:271.85pt;height:27.75pt;width:60pt;z-index:251799552;v-text-anchor:middle;mso-width-relative:page;mso-height-relative:page;" fillcolor="#FAC090 [1945]" filled="t" stroked="t" coordsize="21600,21600" o:gfxdata="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">
                <v:fill on="t" opacity="19660f" focussize="0,0"/>
                <v:stroke weight="1.5pt" color="#F79646 [3209]" joinstyle="round" dashstyle="3 1"/>
                <v:imagedata o:title=""/>
                <o:lock v:ext="edit" aspectratio="f"/>
              </v:rect>
            </w:pict>
          </mc:Fallback>
        </mc:AlternateContent>
      </w:r>
      <w:r>
        <w:rPr>
          <w:color w:val="auto"/>
          <w:sz w:val="24"/>
          <w:highlight w:val="none"/>
        </w:rPr>
        <mc:AlternateContent>
          <mc:Choice Requires="wps">
            <w:drawing>
              <wp:anchor distT="0" distB="0" distL="114300" distR="114300" simplePos="0" relativeHeight="251773952" behindDoc="0" locked="0" layoutInCell="1" allowOverlap="1">
                <wp:simplePos x="0" y="0"/>
                <wp:positionH relativeFrom="column">
                  <wp:posOffset>4275455</wp:posOffset>
                </wp:positionH>
                <wp:positionV relativeFrom="paragraph">
                  <wp:posOffset>2125345</wp:posOffset>
                </wp:positionV>
                <wp:extent cx="304800" cy="179070"/>
                <wp:effectExtent l="0" t="0" r="0" b="0"/>
                <wp:wrapNone/>
                <wp:docPr id="72" name="文本框 72"/>
                <wp:cNvGraphicFramePr/>
                <a:graphic xmlns:a="http://schemas.openxmlformats.org/drawingml/2006/main">
                  <a:graphicData uri="http://schemas.microsoft.com/office/word/2010/wordprocessingShape">
                    <wps:wsp>
                      <wps:cNvSpPr txBox="1"/>
                      <wps:spPr>
                        <a:xfrm>
                          <a:off x="5570220" y="3509645"/>
                          <a:ext cx="304800" cy="1790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7F6C157">
                            <w:pPr>
                              <w:rPr>
                                <w:rFonts w:hint="default" w:eastAsia="宋体"/>
                                <w:b/>
                                <w:bCs/>
                                <w:sz w:val="13"/>
                                <w:szCs w:val="13"/>
                                <w:lang w:val="en-US" w:eastAsia="zh-CN"/>
                              </w:rPr>
                            </w:pPr>
                            <w:r>
                              <w:rPr>
                                <w:rFonts w:hint="eastAsia"/>
                                <w:b/>
                                <w:bCs/>
                                <w:sz w:val="13"/>
                                <w:szCs w:val="13"/>
                                <w:lang w:val="en-US" w:eastAsia="zh-CN"/>
                              </w:rPr>
                              <w:t>G2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6.65pt;margin-top:167.35pt;height:14.1pt;width:24pt;z-index:251773952;mso-width-relative:page;mso-height-relative:page;" filled="f" stroked="f" coordsize="21600,21600" o:gfxdata="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ZlRyy9sAAAALAQAADwAAAAAA&#10;AAABACAAAAAiAAAAZHJzL2Rvd25yZXYueG1sUEsBAhQAFAAAAAgAh07iQH080FRJAgAAcwQAAA4A&#10;AAAAAAAAAQAgAAAAKgEAAGRycy9lMm9Eb2MueG1sUEsFBgAAAAAGAAYAWQEAAOUFAAAAAA==&#10;">
                <v:fill on="f" focussize="0,0"/>
                <v:stroke on="f" weight="0.5pt"/>
                <v:imagedata o:title=""/>
                <o:lock v:ext="edit" aspectratio="f"/>
                <v:textbox>
                  <w:txbxContent>
                    <w:p w14:paraId="07F6C157">
                      <w:pPr>
                        <w:rPr>
                          <w:rFonts w:hint="default" w:eastAsia="宋体"/>
                          <w:b/>
                          <w:bCs/>
                          <w:sz w:val="13"/>
                          <w:szCs w:val="13"/>
                          <w:lang w:val="en-US" w:eastAsia="zh-CN"/>
                        </w:rPr>
                      </w:pPr>
                      <w:r>
                        <w:rPr>
                          <w:rFonts w:hint="eastAsia"/>
                          <w:b/>
                          <w:bCs/>
                          <w:sz w:val="13"/>
                          <w:szCs w:val="13"/>
                          <w:lang w:val="en-US" w:eastAsia="zh-CN"/>
                        </w:rPr>
                        <w:t>G2</w:t>
                      </w:r>
                    </w:p>
                  </w:txbxContent>
                </v:textbox>
              </v:shape>
            </w:pict>
          </mc:Fallback>
        </mc:AlternateContent>
      </w:r>
      <w:r>
        <w:rPr>
          <w:color w:val="auto"/>
          <w:sz w:val="24"/>
          <w:highlight w:val="none"/>
        </w:rPr>
        <mc:AlternateContent>
          <mc:Choice Requires="wps">
            <w:drawing>
              <wp:anchor distT="0" distB="0" distL="114300" distR="114300" simplePos="0" relativeHeight="251772928" behindDoc="0" locked="0" layoutInCell="1" allowOverlap="1">
                <wp:simplePos x="0" y="0"/>
                <wp:positionH relativeFrom="column">
                  <wp:posOffset>4511040</wp:posOffset>
                </wp:positionH>
                <wp:positionV relativeFrom="paragraph">
                  <wp:posOffset>2202815</wp:posOffset>
                </wp:positionV>
                <wp:extent cx="322580" cy="188595"/>
                <wp:effectExtent l="0" t="0" r="0" b="0"/>
                <wp:wrapNone/>
                <wp:docPr id="51" name="文本框 51"/>
                <wp:cNvGraphicFramePr/>
                <a:graphic xmlns:a="http://schemas.openxmlformats.org/drawingml/2006/main">
                  <a:graphicData uri="http://schemas.microsoft.com/office/word/2010/wordprocessingShape">
                    <wps:wsp>
                      <wps:cNvSpPr txBox="1"/>
                      <wps:spPr>
                        <a:xfrm>
                          <a:off x="5412740" y="2954655"/>
                          <a:ext cx="322580" cy="1885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2080CB7">
                            <w:pPr>
                              <w:rPr>
                                <w:rFonts w:hint="default" w:eastAsia="宋体"/>
                                <w:b/>
                                <w:bCs/>
                                <w:sz w:val="13"/>
                                <w:szCs w:val="13"/>
                                <w:lang w:val="en-US" w:eastAsia="zh-CN"/>
                              </w:rPr>
                            </w:pPr>
                            <w:r>
                              <w:rPr>
                                <w:rFonts w:hint="eastAsia"/>
                                <w:b/>
                                <w:bCs/>
                                <w:sz w:val="13"/>
                                <w:szCs w:val="13"/>
                                <w:lang w:val="en-US" w:eastAsia="zh-CN"/>
                              </w:rPr>
                              <w:t>G1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55.2pt;margin-top:173.45pt;height:14.85pt;width:25.4pt;z-index:251772928;mso-width-relative:page;mso-height-relative:page;" filled="f" stroked="f" coordsize="21600,21600" o:gfxdata="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LtdXC7cAAAACwEAAA8AAAAA&#10;AAAAAQAgAAAAIgAAAGRycy9kb3ducmV2LnhtbFBLAQIUABQAAAAIAIdO4kAY4vX2SQIAAHMEAAAO&#10;AAAAAAAAAAEAIAAAACsBAABkcnMvZTJvRG9jLnhtbFBLBQYAAAAABgAGAFkBAADmBQAAAAA=&#10;">
                <v:fill on="f" focussize="0,0"/>
                <v:stroke on="f" weight="0.5pt"/>
                <v:imagedata o:title=""/>
                <o:lock v:ext="edit" aspectratio="f"/>
                <v:textbox>
                  <w:txbxContent>
                    <w:p w14:paraId="72080CB7">
                      <w:pPr>
                        <w:rPr>
                          <w:rFonts w:hint="default" w:eastAsia="宋体"/>
                          <w:b/>
                          <w:bCs/>
                          <w:sz w:val="13"/>
                          <w:szCs w:val="13"/>
                          <w:lang w:val="en-US" w:eastAsia="zh-CN"/>
                        </w:rPr>
                      </w:pPr>
                      <w:r>
                        <w:rPr>
                          <w:rFonts w:hint="eastAsia"/>
                          <w:b/>
                          <w:bCs/>
                          <w:sz w:val="13"/>
                          <w:szCs w:val="13"/>
                          <w:lang w:val="en-US" w:eastAsia="zh-CN"/>
                        </w:rPr>
                        <w:t>G1</w:t>
                      </w:r>
                    </w:p>
                  </w:txbxContent>
                </v:textbox>
              </v:shape>
            </w:pict>
          </mc:Fallback>
        </mc:AlternateContent>
      </w:r>
      <w:r>
        <w:rPr>
          <w:color w:val="auto"/>
          <w:sz w:val="24"/>
          <w:highlight w:val="none"/>
        </w:rPr>
        <mc:AlternateContent>
          <mc:Choice Requires="wps">
            <w:drawing>
              <wp:anchor distT="0" distB="0" distL="114300" distR="114300" simplePos="0" relativeHeight="251771904" behindDoc="0" locked="0" layoutInCell="1" allowOverlap="1">
                <wp:simplePos x="0" y="0"/>
                <wp:positionH relativeFrom="column">
                  <wp:posOffset>4349115</wp:posOffset>
                </wp:positionH>
                <wp:positionV relativeFrom="paragraph">
                  <wp:posOffset>1954530</wp:posOffset>
                </wp:positionV>
                <wp:extent cx="521970" cy="591185"/>
                <wp:effectExtent l="0" t="0" r="0" b="0"/>
                <wp:wrapNone/>
                <wp:docPr id="32" name="文本框 32"/>
                <wp:cNvGraphicFramePr/>
                <a:graphic xmlns:a="http://schemas.openxmlformats.org/drawingml/2006/main">
                  <a:graphicData uri="http://schemas.microsoft.com/office/word/2010/wordprocessingShape">
                    <wps:wsp>
                      <wps:cNvSpPr txBox="1"/>
                      <wps:spPr>
                        <a:xfrm>
                          <a:off x="0" y="0"/>
                          <a:ext cx="521970" cy="5911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EE73D9F">
                            <w:pPr>
                              <w:rPr>
                                <w:rFonts w:hint="default" w:eastAsia="宋体"/>
                                <w:sz w:val="52"/>
                                <w:szCs w:val="52"/>
                                <w:lang w:val="en-US" w:eastAsia="zh-CN"/>
                              </w:rPr>
                            </w:pPr>
                            <w:r>
                              <w:rPr>
                                <w:rFonts w:hint="eastAsia"/>
                                <w:sz w:val="52"/>
                                <w:szCs w:val="52"/>
                                <w:lang w:val="en-US" w:eastAsia="zh-CN"/>
                              </w:rP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42.45pt;margin-top:153.9pt;height:46.55pt;width:41.1pt;z-index:251771904;mso-width-relative:page;mso-height-relative:page;" filled="f" stroked="f" coordsize="21600,21600" o:gfxdata="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IVD+c9wAAAALAQAADwAAAAAAAAABACAAAAAiAAAA&#10;ZHJzL2Rvd25yZXYueG1sUEsBAhQAFAAAAAgAh07iQH1SHR08AgAAZwQAAA4AAAAAAAAAAQAgAAAA&#10;KwEAAGRycy9lMm9Eb2MueG1sUEsFBgAAAAAGAAYAWQEAANkFAAAAAA==&#10;">
                <v:fill on="f" focussize="0,0"/>
                <v:stroke on="f" weight="0.5pt"/>
                <v:imagedata o:title=""/>
                <o:lock v:ext="edit" aspectratio="f"/>
                <v:textbox>
                  <w:txbxContent>
                    <w:p w14:paraId="0EE73D9F">
                      <w:pPr>
                        <w:rPr>
                          <w:rFonts w:hint="default" w:eastAsia="宋体"/>
                          <w:sz w:val="52"/>
                          <w:szCs w:val="52"/>
                          <w:lang w:val="en-US" w:eastAsia="zh-CN"/>
                        </w:rPr>
                      </w:pPr>
                      <w:r>
                        <w:rPr>
                          <w:rFonts w:hint="eastAsia"/>
                          <w:sz w:val="52"/>
                          <w:szCs w:val="52"/>
                          <w:lang w:val="en-US" w:eastAsia="zh-CN"/>
                        </w:rPr>
                        <w:t>.</w:t>
                      </w:r>
                    </w:p>
                  </w:txbxContent>
                </v:textbox>
              </v:shape>
            </w:pict>
          </mc:Fallback>
        </mc:AlternateContent>
      </w:r>
      <w:r>
        <w:rPr>
          <w:color w:val="auto"/>
          <w:sz w:val="24"/>
          <w:highlight w:val="none"/>
        </w:rPr>
        <mc:AlternateContent>
          <mc:Choice Requires="wps">
            <w:drawing>
              <wp:anchor distT="0" distB="0" distL="114300" distR="114300" simplePos="0" relativeHeight="251770880" behindDoc="0" locked="0" layoutInCell="1" allowOverlap="1">
                <wp:simplePos x="0" y="0"/>
                <wp:positionH relativeFrom="column">
                  <wp:posOffset>4412615</wp:posOffset>
                </wp:positionH>
                <wp:positionV relativeFrom="paragraph">
                  <wp:posOffset>1957070</wp:posOffset>
                </wp:positionV>
                <wp:extent cx="580390" cy="728345"/>
                <wp:effectExtent l="0" t="0" r="0" b="0"/>
                <wp:wrapNone/>
                <wp:docPr id="21" name="文本框 21"/>
                <wp:cNvGraphicFramePr/>
                <a:graphic xmlns:a="http://schemas.openxmlformats.org/drawingml/2006/main">
                  <a:graphicData uri="http://schemas.microsoft.com/office/word/2010/wordprocessingShape">
                    <wps:wsp>
                      <wps:cNvSpPr txBox="1"/>
                      <wps:spPr>
                        <a:xfrm>
                          <a:off x="5671185" y="2453005"/>
                          <a:ext cx="580390" cy="7283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D50D83A">
                            <w:pPr>
                              <w:rPr>
                                <w:rFonts w:hint="default" w:eastAsia="宋体"/>
                                <w:sz w:val="52"/>
                                <w:szCs w:val="52"/>
                                <w:lang w:val="en-US" w:eastAsia="zh-CN"/>
                              </w:rPr>
                            </w:pPr>
                            <w:r>
                              <w:rPr>
                                <w:rFonts w:hint="eastAsia"/>
                                <w:sz w:val="52"/>
                                <w:szCs w:val="52"/>
                                <w:lang w:val="en-US" w:eastAsia="zh-CN"/>
                              </w:rP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47.45pt;margin-top:154.1pt;height:57.35pt;width:45.7pt;z-index:251770880;mso-width-relative:page;mso-height-relative:page;" filled="f" stroked="f" coordsize="21600,21600" o:gfxdata="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Jg+ExbdAAAACwEAAA8AAAAA&#10;AAAAAQAgAAAAIgAAAGRycy9kb3ducmV2LnhtbFBLAQIUABQAAAAIAIdO4kBcrfS6SAIAAHMEAAAO&#10;AAAAAAAAAAEAIAAAACwBAABkcnMvZTJvRG9jLnhtbFBLBQYAAAAABgAGAFkBAADmBQAAAAA=&#10;">
                <v:fill on="f" focussize="0,0"/>
                <v:stroke on="f" weight="0.5pt"/>
                <v:imagedata o:title=""/>
                <o:lock v:ext="edit" aspectratio="f"/>
                <v:textbox>
                  <w:txbxContent>
                    <w:p w14:paraId="2D50D83A">
                      <w:pPr>
                        <w:rPr>
                          <w:rFonts w:hint="default" w:eastAsia="宋体"/>
                          <w:sz w:val="52"/>
                          <w:szCs w:val="52"/>
                          <w:lang w:val="en-US" w:eastAsia="zh-CN"/>
                        </w:rPr>
                      </w:pPr>
                      <w:r>
                        <w:rPr>
                          <w:rFonts w:hint="eastAsia"/>
                          <w:sz w:val="52"/>
                          <w:szCs w:val="52"/>
                          <w:lang w:val="en-US" w:eastAsia="zh-CN"/>
                        </w:rPr>
                        <w:t>.</w:t>
                      </w:r>
                    </w:p>
                  </w:txbxContent>
                </v:textbox>
              </v:shape>
            </w:pict>
          </mc:Fallback>
        </mc:AlternateContent>
      </w:r>
      <w:r>
        <w:rPr>
          <w:color w:val="auto"/>
          <w:sz w:val="24"/>
          <w:highlight w:val="none"/>
        </w:rPr>
        <mc:AlternateContent>
          <mc:Choice Requires="wps">
            <w:drawing>
              <wp:anchor distT="0" distB="0" distL="114300" distR="114300" simplePos="0" relativeHeight="251743232" behindDoc="0" locked="0" layoutInCell="1" allowOverlap="1">
                <wp:simplePos x="0" y="0"/>
                <wp:positionH relativeFrom="column">
                  <wp:posOffset>1491615</wp:posOffset>
                </wp:positionH>
                <wp:positionV relativeFrom="paragraph">
                  <wp:posOffset>754380</wp:posOffset>
                </wp:positionV>
                <wp:extent cx="1273810" cy="1718310"/>
                <wp:effectExtent l="6350" t="6350" r="15240" b="8890"/>
                <wp:wrapNone/>
                <wp:docPr id="134" name="任意多边形 134"/>
                <wp:cNvGraphicFramePr/>
                <a:graphic xmlns:a="http://schemas.openxmlformats.org/drawingml/2006/main">
                  <a:graphicData uri="http://schemas.microsoft.com/office/word/2010/wordprocessingShape">
                    <wps:wsp>
                      <wps:cNvSpPr/>
                      <wps:spPr>
                        <a:xfrm>
                          <a:off x="3716020" y="2911475"/>
                          <a:ext cx="1273810" cy="1718310"/>
                        </a:xfrm>
                        <a:custGeom>
                          <a:avLst/>
                          <a:gdLst>
                            <a:gd name="connisteX0" fmla="*/ 34925 w 807085"/>
                            <a:gd name="connsiteY0" fmla="*/ 0 h 715645"/>
                            <a:gd name="connisteX1" fmla="*/ 0 w 807085"/>
                            <a:gd name="connsiteY1" fmla="*/ 715645 h 715645"/>
                            <a:gd name="connisteX2" fmla="*/ 782320 w 807085"/>
                            <a:gd name="connsiteY2" fmla="*/ 571500 h 715645"/>
                            <a:gd name="connisteX3" fmla="*/ 807085 w 807085"/>
                            <a:gd name="connsiteY3" fmla="*/ 13970 h 715645"/>
                            <a:gd name="connisteX4" fmla="*/ 34925 w 807085"/>
                            <a:gd name="connsiteY4" fmla="*/ 0 h 715645"/>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807085" h="715645">
                              <a:moveTo>
                                <a:pt x="34925" y="0"/>
                              </a:moveTo>
                              <a:lnTo>
                                <a:pt x="0" y="715645"/>
                              </a:lnTo>
                              <a:lnTo>
                                <a:pt x="782320" y="571500"/>
                              </a:lnTo>
                              <a:lnTo>
                                <a:pt x="807085" y="13970"/>
                              </a:lnTo>
                              <a:lnTo>
                                <a:pt x="34925" y="0"/>
                              </a:lnTo>
                              <a:close/>
                            </a:path>
                          </a:pathLst>
                        </a:custGeom>
                        <a:solidFill>
                          <a:schemeClr val="accent6">
                            <a:lumMod val="60000"/>
                            <a:lumOff val="40000"/>
                            <a:alpha val="25000"/>
                          </a:schemeClr>
                        </a:solidFill>
                        <a:ln w="12700">
                          <a:solidFill>
                            <a:schemeClr val="accent6">
                              <a:lumMod val="75000"/>
                            </a:schemeClr>
                          </a:solidFill>
                          <a:prstDash val="sysDash"/>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117.45pt;margin-top:59.4pt;height:135.3pt;width:100.3pt;z-index:251743232;mso-width-relative:page;mso-height-relative:page;" fillcolor="#FAC090 [1945]" filled="t" stroked="t" coordsize="807085,715645" o:gfxdata="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" path="m34925,0l0,715645,782320,571500,807085,13970,34925,0xe">
                <v:path o:connectlocs="55121,0;0,1718310;1234723,1372208;1273810,33542;55121,0" o:connectangles="0,0,0,0,0"/>
                <v:fill on="t" opacity="16384f" focussize="0,0"/>
                <v:stroke weight="1pt" color="#E46C0A [2409]" joinstyle="round" dashstyle="3 1"/>
                <v:imagedata o:title=""/>
                <o:lock v:ext="edit" aspectratio="f"/>
              </v:shape>
            </w:pict>
          </mc:Fallback>
        </mc:AlternateContent>
      </w:r>
      <w:r>
        <w:rPr>
          <w:color w:val="auto"/>
          <w:sz w:val="24"/>
          <w:highlight w:val="none"/>
        </w:rPr>
        <mc:AlternateContent>
          <mc:Choice Requires="wps">
            <w:drawing>
              <wp:anchor distT="0" distB="0" distL="114300" distR="114300" simplePos="0" relativeHeight="251760640" behindDoc="0" locked="0" layoutInCell="1" allowOverlap="1">
                <wp:simplePos x="0" y="0"/>
                <wp:positionH relativeFrom="column">
                  <wp:posOffset>3931285</wp:posOffset>
                </wp:positionH>
                <wp:positionV relativeFrom="paragraph">
                  <wp:posOffset>1858645</wp:posOffset>
                </wp:positionV>
                <wp:extent cx="1178560" cy="1002030"/>
                <wp:effectExtent l="6350" t="6350" r="15240" b="20320"/>
                <wp:wrapNone/>
                <wp:docPr id="152" name="任意多边形 152"/>
                <wp:cNvGraphicFramePr/>
                <a:graphic xmlns:a="http://schemas.openxmlformats.org/drawingml/2006/main">
                  <a:graphicData uri="http://schemas.microsoft.com/office/word/2010/wordprocessingShape">
                    <wps:wsp>
                      <wps:cNvSpPr/>
                      <wps:spPr>
                        <a:xfrm>
                          <a:off x="0" y="0"/>
                          <a:ext cx="1178560" cy="1002030"/>
                        </a:xfrm>
                        <a:custGeom>
                          <a:avLst/>
                          <a:gdLst>
                            <a:gd name="connisteX0" fmla="*/ 1079500 w 1449705"/>
                            <a:gd name="connsiteY0" fmla="*/ 1470660 h 1512570"/>
                            <a:gd name="connisteX1" fmla="*/ 1259205 w 1449705"/>
                            <a:gd name="connsiteY1" fmla="*/ 1512570 h 1512570"/>
                            <a:gd name="connisteX2" fmla="*/ 1354455 w 1449705"/>
                            <a:gd name="connsiteY2" fmla="*/ 1470660 h 1512570"/>
                            <a:gd name="connisteX3" fmla="*/ 1397000 w 1449705"/>
                            <a:gd name="connsiteY3" fmla="*/ 1301750 h 1512570"/>
                            <a:gd name="connisteX4" fmla="*/ 1449705 w 1449705"/>
                            <a:gd name="connsiteY4" fmla="*/ 20320 h 1512570"/>
                            <a:gd name="connisteX5" fmla="*/ 0 w 1449705"/>
                            <a:gd name="connsiteY5" fmla="*/ 0 h 1512570"/>
                            <a:gd name="connisteX6" fmla="*/ 0 w 1449705"/>
                            <a:gd name="connsiteY6" fmla="*/ 1047750 h 1512570"/>
                            <a:gd name="connisteX7" fmla="*/ 1079500 w 1449705"/>
                            <a:gd name="connsiteY7" fmla="*/ 1470660 h 151257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Lst>
                          <a:rect l="l" t="t" r="r" b="b"/>
                          <a:pathLst>
                            <a:path w="1449705" h="1512570">
                              <a:moveTo>
                                <a:pt x="1079500" y="1470660"/>
                              </a:moveTo>
                              <a:lnTo>
                                <a:pt x="1259205" y="1512570"/>
                              </a:lnTo>
                              <a:lnTo>
                                <a:pt x="1354455" y="1470660"/>
                              </a:lnTo>
                              <a:lnTo>
                                <a:pt x="1397000" y="1301750"/>
                              </a:lnTo>
                              <a:lnTo>
                                <a:pt x="1449705" y="20320"/>
                              </a:lnTo>
                              <a:lnTo>
                                <a:pt x="0" y="0"/>
                              </a:lnTo>
                              <a:lnTo>
                                <a:pt x="0" y="1047750"/>
                              </a:lnTo>
                              <a:lnTo>
                                <a:pt x="1079500" y="1470660"/>
                              </a:lnTo>
                              <a:close/>
                            </a:path>
                          </a:pathLst>
                        </a:custGeom>
                        <a:noFill/>
                        <a:ln w="12700">
                          <a:solidFill>
                            <a:srgbClr val="00B0F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309.55pt;margin-top:146.35pt;height:78.9pt;width:92.8pt;z-index:251760640;mso-width-relative:page;mso-height-relative:page;" filled="f" stroked="t" coordsize="1449705,1512570" o:gfxdata="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" path="m1079500,1470660l1259205,1512570,1354455,1470660,1397000,1301750,1449705,20320,0,0,0,1047750,1079500,1470660xe">
                <v:path o:connectlocs="877596,974265;1023690,1002030;1101125,974265;1135712,862368;1178560,13461;0,0;0,694101;877596,974265" o:connectangles="0,0,0,0,0,0,0,0"/>
                <v:fill on="f" focussize="0,0"/>
                <v:stroke weight="1pt" color="#00B0F0 [2404]" joinstyle="round"/>
                <v:imagedata o:title=""/>
                <o:lock v:ext="edit" aspectratio="f"/>
              </v:shape>
            </w:pict>
          </mc:Fallback>
        </mc:AlternateContent>
      </w:r>
      <w:r>
        <w:rPr>
          <w:color w:val="auto"/>
          <w:sz w:val="24"/>
          <w:highlight w:val="none"/>
        </w:rPr>
        <mc:AlternateContent>
          <mc:Choice Requires="wps">
            <w:drawing>
              <wp:anchor distT="0" distB="0" distL="114300" distR="114300" simplePos="0" relativeHeight="251766784" behindDoc="0" locked="0" layoutInCell="1" allowOverlap="1">
                <wp:simplePos x="0" y="0"/>
                <wp:positionH relativeFrom="column">
                  <wp:posOffset>8195310</wp:posOffset>
                </wp:positionH>
                <wp:positionV relativeFrom="paragraph">
                  <wp:posOffset>4022090</wp:posOffset>
                </wp:positionV>
                <wp:extent cx="628650" cy="257175"/>
                <wp:effectExtent l="0" t="0" r="0" b="0"/>
                <wp:wrapNone/>
                <wp:docPr id="15" name="文本框 15"/>
                <wp:cNvGraphicFramePr/>
                <a:graphic xmlns:a="http://schemas.openxmlformats.org/drawingml/2006/main">
                  <a:graphicData uri="http://schemas.microsoft.com/office/word/2010/wordprocessingShape">
                    <wps:wsp>
                      <wps:cNvSpPr txBox="1"/>
                      <wps:spPr>
                        <a:xfrm>
                          <a:off x="9624695" y="5105400"/>
                          <a:ext cx="628650" cy="2571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BDDB8AA">
                            <w:pPr>
                              <w:rPr>
                                <w:rFonts w:hint="eastAsia" w:eastAsia="宋体"/>
                                <w:lang w:val="en-US" w:eastAsia="zh-CN"/>
                              </w:rPr>
                            </w:pPr>
                            <w:r>
                              <w:rPr>
                                <w:rFonts w:hint="eastAsia"/>
                                <w:lang w:val="en-US" w:eastAsia="zh-CN"/>
                              </w:rPr>
                              <w:t>排气筒</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45.3pt;margin-top:316.7pt;height:20.25pt;width:49.5pt;z-index:251766784;mso-width-relative:page;mso-height-relative:page;" filled="f" stroked="f" coordsize="21600,21600" o:gfxdata="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GS1cvPcAAAADQEAAA8AAAAAAAAA&#10;AQAgAAAAIgAAAGRycy9kb3ducmV2LnhtbFBLAQIUABQAAAAIAIdO4kBZb6kIRgIAAHMEAAAOAAAA&#10;AAAAAAEAIAAAACsBAABkcnMvZTJvRG9jLnhtbFBLBQYAAAAABgAGAFkBAADjBQAAAAA=&#10;">
                <v:fill on="f" focussize="0,0"/>
                <v:stroke on="f" weight="0.5pt"/>
                <v:imagedata o:title=""/>
                <o:lock v:ext="edit" aspectratio="f"/>
                <v:textbox>
                  <w:txbxContent>
                    <w:p w14:paraId="7BDDB8AA">
                      <w:pPr>
                        <w:rPr>
                          <w:rFonts w:hint="eastAsia" w:eastAsia="宋体"/>
                          <w:lang w:val="en-US" w:eastAsia="zh-CN"/>
                        </w:rPr>
                      </w:pPr>
                      <w:r>
                        <w:rPr>
                          <w:rFonts w:hint="eastAsia"/>
                          <w:lang w:val="en-US" w:eastAsia="zh-CN"/>
                        </w:rPr>
                        <w:t>排气筒</w:t>
                      </w:r>
                    </w:p>
                  </w:txbxContent>
                </v:textbox>
              </v:shape>
            </w:pict>
          </mc:Fallback>
        </mc:AlternateContent>
      </w:r>
      <w:r>
        <w:rPr>
          <w:color w:val="auto"/>
          <w:sz w:val="24"/>
          <w:highlight w:val="none"/>
        </w:rPr>
        <mc:AlternateContent>
          <mc:Choice Requires="wps">
            <w:drawing>
              <wp:anchor distT="0" distB="0" distL="114300" distR="114300" simplePos="0" relativeHeight="251765760" behindDoc="0" locked="0" layoutInCell="1" allowOverlap="1">
                <wp:simplePos x="0" y="0"/>
                <wp:positionH relativeFrom="column">
                  <wp:posOffset>7906385</wp:posOffset>
                </wp:positionH>
                <wp:positionV relativeFrom="paragraph">
                  <wp:posOffset>4136390</wp:posOffset>
                </wp:positionV>
                <wp:extent cx="75565" cy="75565"/>
                <wp:effectExtent l="12700" t="12700" r="26035" b="26035"/>
                <wp:wrapNone/>
                <wp:docPr id="13" name="椭圆 13"/>
                <wp:cNvGraphicFramePr/>
                <a:graphic xmlns:a="http://schemas.openxmlformats.org/drawingml/2006/main">
                  <a:graphicData uri="http://schemas.microsoft.com/office/word/2010/wordprocessingShape">
                    <wps:wsp>
                      <wps:cNvSpPr/>
                      <wps:spPr>
                        <a:xfrm>
                          <a:off x="9310370" y="5108575"/>
                          <a:ext cx="75565" cy="75565"/>
                        </a:xfrm>
                        <a:prstGeom prst="ellipse">
                          <a:avLst/>
                        </a:prstGeom>
                        <a:solidFill>
                          <a:schemeClr val="tx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622.55pt;margin-top:325.7pt;height:5.95pt;width:5.95pt;z-index:251765760;v-text-anchor:middle;mso-width-relative:page;mso-height-relative:page;" fillcolor="#000000 [3213]" filled="t" stroked="t" coordsize="21600,21600" o:gfxdata="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mdad9oAAAANAQAADwAAAAAAAAABACAAAAAiAAAAZHJzL2Rvd25yZXYu&#10;eG1sUEsBAhQAFAAAAAgAh07iQLDDgrlrAgAA6wQAAA4AAAAAAAAAAQAgAAAAKQEAAGRycy9lMm9E&#10;b2MueG1sUEsFBgAAAAAGAAYAWQEAAAYGAAAAAA==&#10;">
                <v:fill on="t" focussize="0,0"/>
                <v:stroke weight="2pt" color="#000000 [3213]" joinstyle="round"/>
                <v:imagedata o:title=""/>
                <o:lock v:ext="edit" aspectratio="f"/>
              </v:shape>
            </w:pict>
          </mc:Fallback>
        </mc:AlternateContent>
      </w: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752448" behindDoc="0" locked="0" layoutInCell="1" allowOverlap="1">
                <wp:simplePos x="0" y="0"/>
                <wp:positionH relativeFrom="column">
                  <wp:posOffset>7711440</wp:posOffset>
                </wp:positionH>
                <wp:positionV relativeFrom="paragraph">
                  <wp:posOffset>3445510</wp:posOffset>
                </wp:positionV>
                <wp:extent cx="406400" cy="200660"/>
                <wp:effectExtent l="9525" t="9525" r="22225" b="18415"/>
                <wp:wrapNone/>
                <wp:docPr id="161" name="矩形 429"/>
                <wp:cNvGraphicFramePr/>
                <a:graphic xmlns:a="http://schemas.openxmlformats.org/drawingml/2006/main">
                  <a:graphicData uri="http://schemas.microsoft.com/office/word/2010/wordprocessingShape">
                    <wps:wsp>
                      <wps:cNvSpPr/>
                      <wps:spPr>
                        <a:xfrm>
                          <a:off x="0" y="0"/>
                          <a:ext cx="406400" cy="200660"/>
                        </a:xfrm>
                        <a:prstGeom prst="rect">
                          <a:avLst/>
                        </a:prstGeom>
                        <a:noFill/>
                        <a:ln w="19050" cap="flat" cmpd="sng">
                          <a:solidFill>
                            <a:srgbClr val="00B0F0"/>
                          </a:solidFill>
                          <a:prstDash val="solid"/>
                          <a:miter/>
                          <a:headEnd type="none" w="med" len="med"/>
                          <a:tailEnd type="none" w="med" len="med"/>
                        </a:ln>
                      </wps:spPr>
                      <wps:bodyPr vert="horz" wrap="square" anchor="t" anchorCtr="0" upright="1"/>
                    </wps:wsp>
                  </a:graphicData>
                </a:graphic>
              </wp:anchor>
            </w:drawing>
          </mc:Choice>
          <mc:Fallback>
            <w:pict>
              <v:rect id="矩形 429" o:spid="_x0000_s1026" o:spt="1" style="position:absolute;left:0pt;margin-left:607.2pt;margin-top:271.3pt;height:15.8pt;width:32pt;z-index:251752448;mso-width-relative:page;mso-height-relative:page;" filled="f" stroked="t" coordsize="21600,21600" o:gfxdata="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RQREDNkAAAANAQAADwAA&#10;AAAAAAABACAAAAAiAAAAZHJzL2Rvd25yZXYueG1sUEsBAhQAFAAAAAgAh07iQK2p0t8VAgAALAQA&#10;AA4AAAAAAAAAAQAgAAAAKAEAAGRycy9lMm9Eb2MueG1sUEsFBgAAAAAGAAYAWQEAAK8FAAAAAA==&#10;">
                <v:fill on="f" focussize="0,0"/>
                <v:stroke weight="1.5pt" color="#00B0F0" joinstyle="miter"/>
                <v:imagedata o:title=""/>
                <o:lock v:ext="edit" aspectratio="f"/>
              </v:rect>
            </w:pict>
          </mc:Fallback>
        </mc:AlternateContent>
      </w: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745280" behindDoc="0" locked="0" layoutInCell="1" allowOverlap="1">
                <wp:simplePos x="0" y="0"/>
                <wp:positionH relativeFrom="column">
                  <wp:posOffset>7694295</wp:posOffset>
                </wp:positionH>
                <wp:positionV relativeFrom="paragraph">
                  <wp:posOffset>2677160</wp:posOffset>
                </wp:positionV>
                <wp:extent cx="406400" cy="200660"/>
                <wp:effectExtent l="52070" t="9525" r="55880" b="113665"/>
                <wp:wrapNone/>
                <wp:docPr id="164" name="矩形 419"/>
                <wp:cNvGraphicFramePr/>
                <a:graphic xmlns:a="http://schemas.openxmlformats.org/drawingml/2006/main">
                  <a:graphicData uri="http://schemas.microsoft.com/office/word/2010/wordprocessingShape">
                    <wps:wsp>
                      <wps:cNvSpPr/>
                      <wps:spPr>
                        <a:xfrm>
                          <a:off x="0" y="0"/>
                          <a:ext cx="406400" cy="200660"/>
                        </a:xfrm>
                        <a:prstGeom prst="rect">
                          <a:avLst/>
                        </a:prstGeom>
                        <a:solidFill>
                          <a:srgbClr val="5B5F98"/>
                        </a:solidFill>
                        <a:ln w="19050" cap="flat" cmpd="sng">
                          <a:solidFill>
                            <a:srgbClr val="FF0000"/>
                          </a:solidFill>
                          <a:prstDash val="solid"/>
                          <a:miter/>
                          <a:headEnd type="none" w="med" len="med"/>
                          <a:tailEnd type="none" w="med" len="med"/>
                        </a:ln>
                        <a:effectLst>
                          <a:outerShdw blurRad="50800" dist="50800" dir="5400000" algn="ctr" rotWithShape="0">
                            <a:srgbClr val="463794">
                              <a:alpha val="20000"/>
                            </a:srgbClr>
                          </a:outerShdw>
                        </a:effectLst>
                      </wps:spPr>
                      <wps:bodyPr vert="horz" wrap="square" anchor="t" anchorCtr="0" upright="1"/>
                    </wps:wsp>
                  </a:graphicData>
                </a:graphic>
              </wp:anchor>
            </w:drawing>
          </mc:Choice>
          <mc:Fallback>
            <w:pict>
              <v:rect id="矩形 419" o:spid="_x0000_s1026" o:spt="1" style="position:absolute;left:0pt;margin-left:605.85pt;margin-top:210.8pt;height:15.8pt;width:32pt;z-index:251745280;mso-width-relative:page;mso-height-relative:page;" fillcolor="#5B5F98" filled="t" stroked="t" coordsize="21600,21600" o:gfxdata="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&#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5XHHutgAAAANAQAADwAAAAAAAAABACAAAAAiAAAAZHJz&#10;L2Rvd25yZXYueG1sUEsBAhQAFAAAAAgAh07iQJdHyzp2AgAADAUAAA4AAAAAAAAAAQAgAAAAJwEA&#10;AGRycy9lMm9Eb2MueG1sUEsFBgAAAAAGAAYAWQEAAA8GAAAAAA==&#10;">
                <v:fill on="t" focussize="0,0"/>
                <v:stroke weight="1.5pt" color="#FF0000" joinstyle="miter"/>
                <v:imagedata o:title=""/>
                <o:lock v:ext="edit" aspectratio="f"/>
                <v:shadow on="t" color="#463794" opacity="13107f" offset="0pt,4pt" origin="0f,0f" matrix="65536f,0f,0f,65536f"/>
              </v:rect>
            </w:pict>
          </mc:Fallback>
        </mc:AlternateContent>
      </w:r>
      <w:r>
        <w:rPr>
          <w:color w:val="auto"/>
          <w:sz w:val="24"/>
          <w:highlight w:val="none"/>
        </w:rPr>
        <mc:AlternateContent>
          <mc:Choice Requires="wps">
            <w:drawing>
              <wp:anchor distT="0" distB="0" distL="114300" distR="114300" simplePos="0" relativeHeight="251763712" behindDoc="0" locked="0" layoutInCell="1" allowOverlap="1">
                <wp:simplePos x="0" y="0"/>
                <wp:positionH relativeFrom="column">
                  <wp:posOffset>7693660</wp:posOffset>
                </wp:positionH>
                <wp:positionV relativeFrom="paragraph">
                  <wp:posOffset>3801745</wp:posOffset>
                </wp:positionV>
                <wp:extent cx="412750" cy="196850"/>
                <wp:effectExtent l="9525" t="9525" r="15875" b="22225"/>
                <wp:wrapNone/>
                <wp:docPr id="10" name="矩形 10"/>
                <wp:cNvGraphicFramePr/>
                <a:graphic xmlns:a="http://schemas.openxmlformats.org/drawingml/2006/main">
                  <a:graphicData uri="http://schemas.microsoft.com/office/word/2010/wordprocessingShape">
                    <wps:wsp>
                      <wps:cNvSpPr/>
                      <wps:spPr>
                        <a:xfrm>
                          <a:off x="9145270" y="4864735"/>
                          <a:ext cx="412750" cy="196850"/>
                        </a:xfrm>
                        <a:prstGeom prst="rect">
                          <a:avLst/>
                        </a:prstGeom>
                        <a:noFill/>
                        <a:ln w="19050">
                          <a:solidFill>
                            <a:srgbClr val="00B05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05.8pt;margin-top:299.35pt;height:15.5pt;width:32.5pt;z-index:251763712;v-text-anchor:middle;mso-width-relative:page;mso-height-relative:page;" filled="f" stroked="t" coordsize="21600,21600" o:gfxdata="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AuU9t/2gAAAA0BAAAPAAAAAAAAAAEAIAAAACIAAABkcnMvZG93bnJldi54bWxQ&#10;SwECFAAUAAAACACHTuJAlRkK1WcCAADBBAAADgAAAAAAAAABACAAAAApAQAAZHJzL2Uyb0RvYy54&#10;bWxQSwUGAAAAAAYABgBZAQAAAgYAAAAA&#10;">
                <v:fill on="f" focussize="0,0"/>
                <v:stroke weight="1.5pt" color="#00B050 [2404]" joinstyle="round"/>
                <v:imagedata o:title=""/>
                <o:lock v:ext="edit" aspectratio="f"/>
              </v:rect>
            </w:pict>
          </mc:Fallback>
        </mc:AlternateContent>
      </w: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751424" behindDoc="0" locked="0" layoutInCell="1" allowOverlap="1">
                <wp:simplePos x="0" y="0"/>
                <wp:positionH relativeFrom="column">
                  <wp:posOffset>7687945</wp:posOffset>
                </wp:positionH>
                <wp:positionV relativeFrom="paragraph">
                  <wp:posOffset>3056255</wp:posOffset>
                </wp:positionV>
                <wp:extent cx="406400" cy="209550"/>
                <wp:effectExtent l="9525" t="9525" r="22225" b="9525"/>
                <wp:wrapNone/>
                <wp:docPr id="163" name="矩形 427"/>
                <wp:cNvGraphicFramePr/>
                <a:graphic xmlns:a="http://schemas.openxmlformats.org/drawingml/2006/main">
                  <a:graphicData uri="http://schemas.microsoft.com/office/word/2010/wordprocessingShape">
                    <wps:wsp>
                      <wps:cNvSpPr/>
                      <wps:spPr>
                        <a:xfrm>
                          <a:off x="0" y="0"/>
                          <a:ext cx="406400" cy="209550"/>
                        </a:xfrm>
                        <a:prstGeom prst="rect">
                          <a:avLst/>
                        </a:prstGeom>
                        <a:solidFill>
                          <a:schemeClr val="accent6">
                            <a:lumMod val="60000"/>
                            <a:lumOff val="40000"/>
                          </a:schemeClr>
                        </a:solidFill>
                        <a:ln w="19050" cap="flat" cmpd="sng">
                          <a:solidFill>
                            <a:schemeClr val="accent2"/>
                          </a:solidFill>
                          <a:prstDash val="sysDot"/>
                          <a:miter/>
                          <a:headEnd type="none" w="med" len="med"/>
                          <a:tailEnd type="none" w="med" len="med"/>
                        </a:ln>
                      </wps:spPr>
                      <wps:bodyPr vert="horz" wrap="square" anchor="t" anchorCtr="0" upright="1"/>
                    </wps:wsp>
                  </a:graphicData>
                </a:graphic>
              </wp:anchor>
            </w:drawing>
          </mc:Choice>
          <mc:Fallback>
            <w:pict>
              <v:rect id="矩形 427" o:spid="_x0000_s1026" o:spt="1" style="position:absolute;left:0pt;margin-left:605.35pt;margin-top:240.65pt;height:16.5pt;width:32pt;z-index:251751424;mso-width-relative:page;mso-height-relative:page;" fillcolor="#FAC090 [1945]" filled="t" stroked="t" coordsize="21600,21600" o:gfxdata="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D3kTHLcAAAADQEAAA8AAAAAAAAAAQAgAAAA&#10;IgAAAGRycy9kb3ducmV2LnhtbFBLAQIUABQAAAAIAIdO4kA3ljvdQAIAAI8EAAAOAAAAAAAAAAEA&#10;IAAAACsBAABkcnMvZTJvRG9jLnhtbFBLBQYAAAAABgAGAFkBAADdBQAAAAA=&#10;">
                <v:fill on="t" focussize="0,0"/>
                <v:stroke weight="1.5pt" color="#C0504D [3205]" joinstyle="miter" dashstyle="1 1"/>
                <v:imagedata o:title=""/>
                <o:lock v:ext="edit" aspectratio="f"/>
              </v:rect>
            </w:pict>
          </mc:Fallback>
        </mc:AlternateContent>
      </w:r>
      <w:r>
        <w:rPr>
          <w:color w:val="auto"/>
          <w:sz w:val="24"/>
          <w:highlight w:val="none"/>
        </w:rPr>
        <mc:AlternateContent>
          <mc:Choice Requires="wps">
            <w:drawing>
              <wp:anchor distT="0" distB="0" distL="114300" distR="114300" simplePos="0" relativeHeight="251764736" behindDoc="0" locked="0" layoutInCell="1" allowOverlap="1">
                <wp:simplePos x="0" y="0"/>
                <wp:positionH relativeFrom="column">
                  <wp:posOffset>8107680</wp:posOffset>
                </wp:positionH>
                <wp:positionV relativeFrom="paragraph">
                  <wp:posOffset>3787775</wp:posOffset>
                </wp:positionV>
                <wp:extent cx="861695" cy="254000"/>
                <wp:effectExtent l="0" t="0" r="0" b="0"/>
                <wp:wrapNone/>
                <wp:docPr id="11" name="文本框 11"/>
                <wp:cNvGraphicFramePr/>
                <a:graphic xmlns:a="http://schemas.openxmlformats.org/drawingml/2006/main">
                  <a:graphicData uri="http://schemas.microsoft.com/office/word/2010/wordprocessingShape">
                    <wps:wsp>
                      <wps:cNvSpPr txBox="1"/>
                      <wps:spPr>
                        <a:xfrm>
                          <a:off x="9634220" y="4820285"/>
                          <a:ext cx="861695" cy="2540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236412F">
                            <w:pPr>
                              <w:rPr>
                                <w:rFonts w:hint="default" w:eastAsia="宋体"/>
                                <w:sz w:val="21"/>
                                <w:szCs w:val="21"/>
                                <w:lang w:val="en-US" w:eastAsia="zh-CN"/>
                              </w:rPr>
                            </w:pPr>
                            <w:r>
                              <w:rPr>
                                <w:rFonts w:hint="eastAsia"/>
                                <w:sz w:val="21"/>
                                <w:szCs w:val="21"/>
                                <w:lang w:val="en-US" w:eastAsia="zh-CN"/>
                              </w:rPr>
                              <w:t>高噪声设备</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38.4pt;margin-top:298.25pt;height:20pt;width:67.85pt;z-index:251764736;mso-width-relative:page;mso-height-relative:page;" filled="f" stroked="f" coordsize="21600,21600" o:gfxdata="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DH9snZ3QAAAA0BAAAPAAAA&#10;AAAAAAEAIAAAACIAAABkcnMvZG93bnJldi54bWxQSwECFAAUAAAACACHTuJA1rvrnUkCAABzBAAA&#10;DgAAAAAAAAABACAAAAAsAQAAZHJzL2Uyb0RvYy54bWxQSwUGAAAAAAYABgBZAQAA5wUAAAAA&#10;">
                <v:fill on="f" focussize="0,0"/>
                <v:stroke on="f" weight="0.5pt"/>
                <v:imagedata o:title=""/>
                <o:lock v:ext="edit" aspectratio="f"/>
                <v:textbox>
                  <w:txbxContent>
                    <w:p w14:paraId="1236412F">
                      <w:pPr>
                        <w:rPr>
                          <w:rFonts w:hint="default" w:eastAsia="宋体"/>
                          <w:sz w:val="21"/>
                          <w:szCs w:val="21"/>
                          <w:lang w:val="en-US" w:eastAsia="zh-CN"/>
                        </w:rPr>
                      </w:pPr>
                      <w:r>
                        <w:rPr>
                          <w:rFonts w:hint="eastAsia"/>
                          <w:sz w:val="21"/>
                          <w:szCs w:val="21"/>
                          <w:lang w:val="en-US" w:eastAsia="zh-CN"/>
                        </w:rPr>
                        <w:t>高噪声设备</w:t>
                      </w:r>
                    </w:p>
                  </w:txbxContent>
                </v:textbox>
              </v:shape>
            </w:pict>
          </mc:Fallback>
        </mc:AlternateContent>
      </w:r>
      <w:r>
        <w:rPr>
          <w:color w:val="auto"/>
          <w:sz w:val="24"/>
          <w:highlight w:val="none"/>
        </w:rPr>
        <mc:AlternateContent>
          <mc:Choice Requires="wps">
            <w:drawing>
              <wp:anchor distT="0" distB="0" distL="114300" distR="114300" simplePos="0" relativeHeight="251762688" behindDoc="0" locked="0" layoutInCell="1" allowOverlap="1">
                <wp:simplePos x="0" y="0"/>
                <wp:positionH relativeFrom="column">
                  <wp:posOffset>8155940</wp:posOffset>
                </wp:positionH>
                <wp:positionV relativeFrom="paragraph">
                  <wp:posOffset>2336165</wp:posOffset>
                </wp:positionV>
                <wp:extent cx="778510" cy="277495"/>
                <wp:effectExtent l="0" t="0" r="0" b="0"/>
                <wp:wrapNone/>
                <wp:docPr id="144" name="文本框 144"/>
                <wp:cNvGraphicFramePr/>
                <a:graphic xmlns:a="http://schemas.openxmlformats.org/drawingml/2006/main">
                  <a:graphicData uri="http://schemas.microsoft.com/office/word/2010/wordprocessingShape">
                    <wps:wsp>
                      <wps:cNvSpPr txBox="1"/>
                      <wps:spPr>
                        <a:xfrm>
                          <a:off x="9128760" y="3275965"/>
                          <a:ext cx="778510" cy="2774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FE3D0C0">
                            <w:pPr>
                              <w:rPr>
                                <w:rFonts w:hint="default" w:eastAsia="宋体"/>
                                <w:lang w:val="en-US" w:eastAsia="zh-CN"/>
                              </w:rPr>
                            </w:pPr>
                            <w:r>
                              <w:rPr>
                                <w:rFonts w:hint="eastAsia"/>
                                <w:lang w:val="en-US" w:eastAsia="zh-CN"/>
                              </w:rPr>
                              <w:t>项目位置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42.2pt;margin-top:183.95pt;height:21.85pt;width:61.3pt;z-index:251762688;mso-width-relative:page;mso-height-relative:page;" filled="f" stroked="f" coordsize="21600,21600" o:gfxdata="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BvUYEi3QAAAA0BAAAPAAAA&#10;AAAAAAEAIAAAACIAAABkcnMvZG93bnJldi54bWxQSwECFAAUAAAACACHTuJAlaROjEkCAAB1BAAA&#10;DgAAAAAAAAABACAAAAAsAQAAZHJzL2Uyb0RvYy54bWxQSwUGAAAAAAYABgBZAQAA5wUAAAAA&#10;">
                <v:fill on="f" focussize="0,0"/>
                <v:stroke on="f" weight="0.5pt"/>
                <v:imagedata o:title=""/>
                <o:lock v:ext="edit" aspectratio="f"/>
                <v:textbox>
                  <w:txbxContent>
                    <w:p w14:paraId="0FE3D0C0">
                      <w:pPr>
                        <w:rPr>
                          <w:rFonts w:hint="default" w:eastAsia="宋体"/>
                          <w:lang w:val="en-US" w:eastAsia="zh-CN"/>
                        </w:rPr>
                      </w:pPr>
                      <w:r>
                        <w:rPr>
                          <w:rFonts w:hint="eastAsia"/>
                          <w:lang w:val="en-US" w:eastAsia="zh-CN"/>
                        </w:rPr>
                        <w:t>项目位置</w:t>
                      </w:r>
                    </w:p>
                  </w:txbxContent>
                </v:textbox>
              </v:shape>
            </w:pict>
          </mc:Fallback>
        </mc:AlternateContent>
      </w: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761664" behindDoc="0" locked="0" layoutInCell="1" allowOverlap="1">
                <wp:simplePos x="0" y="0"/>
                <wp:positionH relativeFrom="column">
                  <wp:posOffset>7678420</wp:posOffset>
                </wp:positionH>
                <wp:positionV relativeFrom="paragraph">
                  <wp:posOffset>2339975</wp:posOffset>
                </wp:positionV>
                <wp:extent cx="406400" cy="200660"/>
                <wp:effectExtent l="9525" t="9525" r="22225" b="18415"/>
                <wp:wrapNone/>
                <wp:docPr id="145" name="矩形 428"/>
                <wp:cNvGraphicFramePr/>
                <a:graphic xmlns:a="http://schemas.openxmlformats.org/drawingml/2006/main">
                  <a:graphicData uri="http://schemas.microsoft.com/office/word/2010/wordprocessingShape">
                    <wps:wsp>
                      <wps:cNvSpPr/>
                      <wps:spPr>
                        <a:xfrm>
                          <a:off x="0" y="0"/>
                          <a:ext cx="406400" cy="200660"/>
                        </a:xfrm>
                        <a:prstGeom prst="rect">
                          <a:avLst/>
                        </a:prstGeom>
                        <a:noFill/>
                        <a:ln w="19050" cap="flat" cmpd="sng">
                          <a:solidFill>
                            <a:srgbClr val="FFFF00"/>
                          </a:solidFill>
                          <a:prstDash val="solid"/>
                          <a:miter/>
                          <a:headEnd type="none" w="med" len="med"/>
                          <a:tailEnd type="none" w="med" len="med"/>
                        </a:ln>
                      </wps:spPr>
                      <wps:bodyPr vert="horz" wrap="square" anchor="t" anchorCtr="0" upright="1"/>
                    </wps:wsp>
                  </a:graphicData>
                </a:graphic>
              </wp:anchor>
            </w:drawing>
          </mc:Choice>
          <mc:Fallback>
            <w:pict>
              <v:rect id="矩形 428" o:spid="_x0000_s1026" o:spt="1" style="position:absolute;left:0pt;margin-left:604.6pt;margin-top:184.25pt;height:15.8pt;width:32pt;z-index:251761664;mso-width-relative:page;mso-height-relative:page;" filled="f" stroked="t" coordsize="21600,21600" o:gfxdata="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DIY2672AAAAA0BAAAPAAAA&#10;AAAAAAEAIAAAACIAAABkcnMvZG93bnJldi54bWxQSwECFAAUAAAACACHTuJATNBCcBUCAAAsBAAA&#10;DgAAAAAAAAABACAAAAAnAQAAZHJzL2Uyb0RvYy54bWxQSwUGAAAAAAYABgBZAQAArgUAAAAA&#10;">
                <v:fill on="f" focussize="0,0"/>
                <v:stroke weight="1.5pt" color="#FFFF00" joinstyle="miter"/>
                <v:imagedata o:title=""/>
                <o:lock v:ext="edit" aspectratio="f"/>
              </v:rect>
            </w:pict>
          </mc:Fallback>
        </mc:AlternateContent>
      </w:r>
      <w:r>
        <w:rPr>
          <w:color w:val="auto"/>
          <w:sz w:val="24"/>
          <w:highlight w:val="none"/>
        </w:rPr>
        <mc:AlternateContent>
          <mc:Choice Requires="wps">
            <w:drawing>
              <wp:anchor distT="0" distB="0" distL="114300" distR="114300" simplePos="0" relativeHeight="251768832" behindDoc="0" locked="0" layoutInCell="1" allowOverlap="1">
                <wp:simplePos x="0" y="0"/>
                <wp:positionH relativeFrom="column">
                  <wp:posOffset>4580255</wp:posOffset>
                </wp:positionH>
                <wp:positionV relativeFrom="paragraph">
                  <wp:posOffset>2393950</wp:posOffset>
                </wp:positionV>
                <wp:extent cx="266700" cy="1035050"/>
                <wp:effectExtent l="4445" t="1270" r="33655" b="11430"/>
                <wp:wrapNone/>
                <wp:docPr id="17" name="直接箭头连接符 17"/>
                <wp:cNvGraphicFramePr/>
                <a:graphic xmlns:a="http://schemas.openxmlformats.org/drawingml/2006/main">
                  <a:graphicData uri="http://schemas.microsoft.com/office/word/2010/wordprocessingShape">
                    <wps:wsp>
                      <wps:cNvCnPr/>
                      <wps:spPr>
                        <a:xfrm>
                          <a:off x="3780155" y="3042285"/>
                          <a:ext cx="266700" cy="1035050"/>
                        </a:xfrm>
                        <a:prstGeom prst="straightConnector1">
                          <a:avLst/>
                        </a:prstGeom>
                        <a:ln w="9525" cap="flat" cmpd="sng" algn="ctr">
                          <a:solidFill>
                            <a:schemeClr val="tx1"/>
                          </a:solidFill>
                          <a:prstDash val="dash"/>
                          <a:tailEnd type="arrow" w="med" len="med"/>
                        </a:ln>
                      </wps:spPr>
                      <wps:style>
                        <a:lnRef idx="0">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360.65pt;margin-top:188.5pt;height:81.5pt;width:21pt;z-index:251768832;mso-width-relative:page;mso-height-relative:page;" filled="f" stroked="t" coordsize="21600,21600" o:gfxdata="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L6gLYfZAAAACwEAAA8A&#10;AAAAAAAAAQAgAAAAIgAAAGRycy9kb3ducmV2LnhtbFBLAQIUABQAAAAIAIdO4kB2axCFFgIAAOsD&#10;AAAOAAAAAAAAAAEAIAAAACgBAABkcnMvZTJvRG9jLnhtbFBLBQYAAAAABgAGAFkBAACwBQAAAAA=&#10;">
                <v:fill on="f" focussize="0,0"/>
                <v:stroke color="#000000 [3213]" joinstyle="round" dashstyle="dash" endarrow="open"/>
                <v:imagedata o:title=""/>
                <o:lock v:ext="edit" aspectratio="f"/>
              </v:shape>
            </w:pict>
          </mc:Fallback>
        </mc:AlternateContent>
      </w:r>
      <w:r>
        <w:rPr>
          <w:color w:val="auto"/>
          <w:sz w:val="24"/>
          <w:highlight w:val="none"/>
        </w:rPr>
        <mc:AlternateContent>
          <mc:Choice Requires="wps">
            <w:drawing>
              <wp:anchor distT="0" distB="0" distL="114300" distR="114300" simplePos="0" relativeHeight="251759616" behindDoc="0" locked="0" layoutInCell="1" allowOverlap="1">
                <wp:simplePos x="0" y="0"/>
                <wp:positionH relativeFrom="column">
                  <wp:posOffset>4386580</wp:posOffset>
                </wp:positionH>
                <wp:positionV relativeFrom="paragraph">
                  <wp:posOffset>2252980</wp:posOffset>
                </wp:positionV>
                <wp:extent cx="294005" cy="215900"/>
                <wp:effectExtent l="6350" t="6350" r="23495" b="6350"/>
                <wp:wrapNone/>
                <wp:docPr id="153" name="任意多边形 153"/>
                <wp:cNvGraphicFramePr/>
                <a:graphic xmlns:a="http://schemas.openxmlformats.org/drawingml/2006/main">
                  <a:graphicData uri="http://schemas.microsoft.com/office/word/2010/wordprocessingShape">
                    <wps:wsp>
                      <wps:cNvSpPr/>
                      <wps:spPr>
                        <a:xfrm>
                          <a:off x="0" y="0"/>
                          <a:ext cx="294005" cy="215900"/>
                        </a:xfrm>
                        <a:custGeom>
                          <a:avLst/>
                          <a:gdLst>
                            <a:gd name="connisteX0" fmla="*/ 0 w 1417955"/>
                            <a:gd name="connsiteY0" fmla="*/ 0 h 941070"/>
                            <a:gd name="connisteX1" fmla="*/ 0 w 1417955"/>
                            <a:gd name="connsiteY1" fmla="*/ 486410 h 941070"/>
                            <a:gd name="connisteX2" fmla="*/ 1143000 w 1417955"/>
                            <a:gd name="connsiteY2" fmla="*/ 941070 h 941070"/>
                            <a:gd name="connisteX3" fmla="*/ 1311910 w 1417955"/>
                            <a:gd name="connsiteY3" fmla="*/ 930910 h 941070"/>
                            <a:gd name="connisteX4" fmla="*/ 1397000 w 1417955"/>
                            <a:gd name="connsiteY4" fmla="*/ 814070 h 941070"/>
                            <a:gd name="connisteX5" fmla="*/ 1417955 w 1417955"/>
                            <a:gd name="connsiteY5" fmla="*/ 73660 h 941070"/>
                            <a:gd name="connisteX6" fmla="*/ 0 w 1417955"/>
                            <a:gd name="connsiteY6" fmla="*/ 0 h 94107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Lst>
                          <a:rect l="l" t="t" r="r" b="b"/>
                          <a:pathLst>
                            <a:path w="1417955" h="941070">
                              <a:moveTo>
                                <a:pt x="0" y="0"/>
                              </a:moveTo>
                              <a:lnTo>
                                <a:pt x="0" y="486410"/>
                              </a:lnTo>
                              <a:lnTo>
                                <a:pt x="1143000" y="941070"/>
                              </a:lnTo>
                              <a:lnTo>
                                <a:pt x="1311910" y="930910"/>
                              </a:lnTo>
                              <a:lnTo>
                                <a:pt x="1397000" y="814070"/>
                              </a:lnTo>
                              <a:lnTo>
                                <a:pt x="1417955" y="73660"/>
                              </a:lnTo>
                              <a:lnTo>
                                <a:pt x="0" y="0"/>
                              </a:lnTo>
                              <a:close/>
                            </a:path>
                          </a:pathLst>
                        </a:custGeom>
                        <a:noFill/>
                        <a:ln w="12700">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345.4pt;margin-top:177.4pt;height:17pt;width:23.15pt;z-index:251759616;mso-width-relative:page;mso-height-relative:page;" filled="f" stroked="t" coordsize="1417955,941070" o:gfxdata="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" path="m0,0l0,486410,1143000,941070,1311910,930910,1397000,814070,1417955,73660,0,0xe">
                <v:path o:connectlocs="0,0;0,111592;236994,215900;272017,213569;289660,186763;294005,16899;0,0" o:connectangles="0,0,0,0,0,0,0"/>
                <v:fill on="f" focussize="0,0"/>
                <v:stroke weight="1pt" color="#FFFF00 [2404]" joinstyle="round"/>
                <v:imagedata o:title=""/>
                <o:lock v:ext="edit" aspectratio="f"/>
              </v:shape>
            </w:pict>
          </mc:Fallback>
        </mc:AlternateContent>
      </w:r>
      <w:r>
        <w:rPr>
          <w:color w:val="auto"/>
          <w:sz w:val="24"/>
          <w:highlight w:val="none"/>
        </w:rPr>
        <mc:AlternateContent>
          <mc:Choice Requires="wps">
            <w:drawing>
              <wp:anchor distT="0" distB="0" distL="114300" distR="114300" simplePos="0" relativeHeight="251767808" behindDoc="0" locked="0" layoutInCell="1" allowOverlap="1">
                <wp:simplePos x="0" y="0"/>
                <wp:positionH relativeFrom="column">
                  <wp:posOffset>4515485</wp:posOffset>
                </wp:positionH>
                <wp:positionV relativeFrom="paragraph">
                  <wp:posOffset>2292350</wp:posOffset>
                </wp:positionV>
                <wp:extent cx="75565" cy="75565"/>
                <wp:effectExtent l="6350" t="6350" r="13335" b="13335"/>
                <wp:wrapNone/>
                <wp:docPr id="16" name="矩形 16"/>
                <wp:cNvGraphicFramePr/>
                <a:graphic xmlns:a="http://schemas.openxmlformats.org/drawingml/2006/main">
                  <a:graphicData uri="http://schemas.microsoft.com/office/word/2010/wordprocessingShape">
                    <wps:wsp>
                      <wps:cNvSpPr/>
                      <wps:spPr>
                        <a:xfrm>
                          <a:off x="5571490" y="3270885"/>
                          <a:ext cx="75565" cy="75565"/>
                        </a:xfrm>
                        <a:prstGeom prst="rect">
                          <a:avLst/>
                        </a:prstGeom>
                        <a:noFill/>
                        <a:ln w="12700">
                          <a:solidFill>
                            <a:srgbClr val="00B05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55.55pt;margin-top:180.5pt;height:5.95pt;width:5.95pt;z-index:251767808;v-text-anchor:middle;mso-width-relative:page;mso-height-relative:page;" filled="f" stroked="t" coordsize="21600,21600" o:gfxdata="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5KgZAtkAAAALAQAADwAAAAAAAAABACAAAAAiAAAAZHJzL2Rvd25yZXYueG1s&#10;UEsBAhQAFAAAAAgAh07iQB6VLlppAgAAvwQAAA4AAAAAAAAAAQAgAAAAKAEAAGRycy9lMm9Eb2Mu&#10;eG1sUEsFBgAAAAAGAAYAWQEAAAMGAAAAAA==&#10;">
                <v:fill on="f" focussize="0,0"/>
                <v:stroke weight="1pt" color="#00B050 [2404]" joinstyle="round"/>
                <v:imagedata o:title=""/>
                <o:lock v:ext="edit" aspectratio="f"/>
              </v:rect>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758592" behindDoc="0" locked="0" layoutInCell="1" allowOverlap="1">
                <wp:simplePos x="0" y="0"/>
                <wp:positionH relativeFrom="column">
                  <wp:posOffset>1741170</wp:posOffset>
                </wp:positionH>
                <wp:positionV relativeFrom="paragraph">
                  <wp:posOffset>1520825</wp:posOffset>
                </wp:positionV>
                <wp:extent cx="544830" cy="229870"/>
                <wp:effectExtent l="0" t="0" r="0" b="0"/>
                <wp:wrapNone/>
                <wp:docPr id="156" name="文本框 156"/>
                <wp:cNvGraphicFramePr/>
                <a:graphic xmlns:a="http://schemas.openxmlformats.org/drawingml/2006/main">
                  <a:graphicData uri="http://schemas.microsoft.com/office/word/2010/wordprocessingShape">
                    <wps:wsp>
                      <wps:cNvSpPr txBox="1"/>
                      <wps:spPr>
                        <a:xfrm>
                          <a:off x="3626485" y="3554730"/>
                          <a:ext cx="544830" cy="2298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B54453F">
                            <w:pPr>
                              <w:rPr>
                                <w:rFonts w:hint="eastAsia"/>
                                <w:b/>
                                <w:bCs/>
                                <w:color w:val="000000" w:themeColor="text1"/>
                                <w:sz w:val="18"/>
                                <w:szCs w:val="18"/>
                                <w:lang w:val="en-US" w:eastAsia="zh-CN"/>
                                <w14:textFill>
                                  <w14:solidFill>
                                    <w14:schemeClr w14:val="tx1"/>
                                  </w14:solidFill>
                                </w14:textFill>
                              </w:rPr>
                            </w:pPr>
                            <w:r>
                              <w:rPr>
                                <w:rFonts w:hint="eastAsia"/>
                                <w:b/>
                                <w:bCs/>
                                <w:color w:val="000000" w:themeColor="text1"/>
                                <w:sz w:val="18"/>
                                <w:szCs w:val="18"/>
                                <w:lang w:val="en-US" w:eastAsia="zh-CN"/>
                                <w14:textFill>
                                  <w14:solidFill>
                                    <w14:schemeClr w14:val="tx1"/>
                                  </w14:solidFill>
                                </w14:textFill>
                              </w:rPr>
                              <w:t>189m</w:t>
                            </w:r>
                          </w:p>
                          <w:p w14:paraId="73591D6F">
                            <w:pPr>
                              <w:rPr>
                                <w:rFonts w:hint="default"/>
                                <w:color w:val="000000" w:themeColor="text1"/>
                                <w:lang w:val="en-US" w:eastAsia="zh-CN"/>
                                <w14:textFill>
                                  <w14:solidFill>
                                    <w14:schemeClr w14:val="tx1"/>
                                  </w14:solidFill>
                                </w14:textFill>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37.1pt;margin-top:119.75pt;height:18.1pt;width:42.9pt;z-index:251758592;mso-width-relative:page;mso-height-relative:page;" filled="f" stroked="f" coordsize="21600,21600" o:gfxdata="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O6nUY9sAAAALAQAADwAAAAAA&#10;AAABACAAAAAiAAAAZHJzL2Rvd25yZXYueG1sUEsBAhQAFAAAAAgAh07iQNJigdtJAgAAdQQAAA4A&#10;AAAAAAAAAQAgAAAAKgEAAGRycy9lMm9Eb2MueG1sUEsFBgAAAAAGAAYAWQEAAOUFAAAAAA==&#10;">
                <v:fill on="f" focussize="0,0"/>
                <v:stroke on="f" weight="0.5pt"/>
                <v:imagedata o:title=""/>
                <o:lock v:ext="edit" aspectratio="f"/>
                <v:textbox>
                  <w:txbxContent>
                    <w:p w14:paraId="0B54453F">
                      <w:pPr>
                        <w:rPr>
                          <w:rFonts w:hint="eastAsia"/>
                          <w:b/>
                          <w:bCs/>
                          <w:color w:val="000000" w:themeColor="text1"/>
                          <w:sz w:val="18"/>
                          <w:szCs w:val="18"/>
                          <w:lang w:val="en-US" w:eastAsia="zh-CN"/>
                          <w14:textFill>
                            <w14:solidFill>
                              <w14:schemeClr w14:val="tx1"/>
                            </w14:solidFill>
                          </w14:textFill>
                        </w:rPr>
                      </w:pPr>
                      <w:r>
                        <w:rPr>
                          <w:rFonts w:hint="eastAsia"/>
                          <w:b/>
                          <w:bCs/>
                          <w:color w:val="000000" w:themeColor="text1"/>
                          <w:sz w:val="18"/>
                          <w:szCs w:val="18"/>
                          <w:lang w:val="en-US" w:eastAsia="zh-CN"/>
                          <w14:textFill>
                            <w14:solidFill>
                              <w14:schemeClr w14:val="tx1"/>
                            </w14:solidFill>
                          </w14:textFill>
                        </w:rPr>
                        <w:t>189m</w:t>
                      </w:r>
                    </w:p>
                    <w:p w14:paraId="73591D6F">
                      <w:pPr>
                        <w:rPr>
                          <w:rFonts w:hint="default"/>
                          <w:color w:val="000000" w:themeColor="text1"/>
                          <w:lang w:val="en-US" w:eastAsia="zh-CN"/>
                          <w14:textFill>
                            <w14:solidFill>
                              <w14:schemeClr w14:val="tx1"/>
                            </w14:solidFill>
                          </w14:textFill>
                        </w:rPr>
                      </w:pPr>
                    </w:p>
                  </w:txbxContent>
                </v:textbox>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757568" behindDoc="0" locked="0" layoutInCell="1" allowOverlap="1">
                <wp:simplePos x="0" y="0"/>
                <wp:positionH relativeFrom="column">
                  <wp:posOffset>1715135</wp:posOffset>
                </wp:positionH>
                <wp:positionV relativeFrom="paragraph">
                  <wp:posOffset>1134745</wp:posOffset>
                </wp:positionV>
                <wp:extent cx="692785" cy="384810"/>
                <wp:effectExtent l="0" t="0" r="0" b="0"/>
                <wp:wrapNone/>
                <wp:docPr id="157" name="文本框 157"/>
                <wp:cNvGraphicFramePr/>
                <a:graphic xmlns:a="http://schemas.openxmlformats.org/drawingml/2006/main">
                  <a:graphicData uri="http://schemas.microsoft.com/office/word/2010/wordprocessingShape">
                    <wps:wsp>
                      <wps:cNvSpPr txBox="1"/>
                      <wps:spPr>
                        <a:xfrm>
                          <a:off x="2533650" y="3117215"/>
                          <a:ext cx="692785" cy="38481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6672114">
                            <w:pPr>
                              <w:rPr>
                                <w:rFonts w:hint="default" w:eastAsia="宋体"/>
                                <w:b/>
                                <w:bCs/>
                                <w:sz w:val="18"/>
                                <w:szCs w:val="18"/>
                                <w:lang w:val="en-US" w:eastAsia="zh-CN"/>
                              </w:rPr>
                            </w:pPr>
                            <w:r>
                              <w:rPr>
                                <w:rFonts w:hint="eastAsia"/>
                                <w:b/>
                                <w:bCs/>
                                <w:sz w:val="18"/>
                                <w:szCs w:val="18"/>
                                <w:lang w:val="en-US" w:eastAsia="zh-CN"/>
                              </w:rPr>
                              <w:t>融创东城首府</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35.05pt;margin-top:89.35pt;height:30.3pt;width:54.55pt;z-index:251757568;mso-width-relative:page;mso-height-relative:page;" filled="f" stroked="f" coordsize="21600,21600" o:gfxdata="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CtUpzb2wAAAAsBAAAPAAAAAAAA&#10;AAEAIAAAACIAAABkcnMvZG93bnJldi54bWxQSwECFAAUAAAACACHTuJAusFSM0gCAAB1BAAADgAA&#10;AAAAAAABACAAAAAqAQAAZHJzL2Uyb0RvYy54bWxQSwUGAAAAAAYABgBZAQAA5AUAAAAA&#10;">
                <v:fill on="f" focussize="0,0"/>
                <v:stroke on="f" weight="0.5pt"/>
                <v:imagedata o:title=""/>
                <o:lock v:ext="edit" aspectratio="f"/>
                <v:textbox>
                  <w:txbxContent>
                    <w:p w14:paraId="46672114">
                      <w:pPr>
                        <w:rPr>
                          <w:rFonts w:hint="default" w:eastAsia="宋体"/>
                          <w:b/>
                          <w:bCs/>
                          <w:sz w:val="18"/>
                          <w:szCs w:val="18"/>
                          <w:lang w:val="en-US" w:eastAsia="zh-CN"/>
                        </w:rPr>
                      </w:pPr>
                      <w:r>
                        <w:rPr>
                          <w:rFonts w:hint="eastAsia"/>
                          <w:b/>
                          <w:bCs/>
                          <w:sz w:val="18"/>
                          <w:szCs w:val="18"/>
                          <w:lang w:val="en-US" w:eastAsia="zh-CN"/>
                        </w:rPr>
                        <w:t>融创东城首府</w:t>
                      </w:r>
                    </w:p>
                  </w:txbxContent>
                </v:textbox>
              </v:shape>
            </w:pict>
          </mc:Fallback>
        </mc:AlternateContent>
      </w:r>
      <w:r>
        <w:rPr>
          <w:rFonts w:hint="default" w:ascii="Times New Roman" w:hAnsi="Times New Roman" w:eastAsia="宋体" w:cs="Times New Roman"/>
          <w:color w:val="auto"/>
          <w:highlight w:val="none"/>
        </w:rPr>
        <w:drawing>
          <wp:anchor distT="0" distB="0" distL="114300" distR="114300" simplePos="0" relativeHeight="251744256" behindDoc="0" locked="0" layoutInCell="1" allowOverlap="1">
            <wp:simplePos x="0" y="0"/>
            <wp:positionH relativeFrom="column">
              <wp:posOffset>7591425</wp:posOffset>
            </wp:positionH>
            <wp:positionV relativeFrom="paragraph">
              <wp:posOffset>174625</wp:posOffset>
            </wp:positionV>
            <wp:extent cx="749300" cy="1003300"/>
            <wp:effectExtent l="0" t="0" r="12700" b="6350"/>
            <wp:wrapNone/>
            <wp:docPr id="166"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16.png"/>
                    <pic:cNvPicPr>
                      <a:picLocks noChangeAspect="1"/>
                    </pic:cNvPicPr>
                  </pic:nvPicPr>
                  <pic:blipFill>
                    <a:blip r:embed="rId17"/>
                    <a:stretch>
                      <a:fillRect/>
                    </a:stretch>
                  </pic:blipFill>
                  <pic:spPr>
                    <a:xfrm>
                      <a:off x="0" y="0"/>
                      <a:ext cx="749300" cy="1003300"/>
                    </a:xfrm>
                    <a:prstGeom prst="rect">
                      <a:avLst/>
                    </a:prstGeom>
                    <a:noFill/>
                    <a:ln>
                      <a:noFill/>
                    </a:ln>
                  </pic:spPr>
                </pic:pic>
              </a:graphicData>
            </a:graphic>
          </wp:anchor>
        </w:drawing>
      </w:r>
      <w:r>
        <w:rPr>
          <w:rFonts w:hint="default" w:ascii="Times New Roman" w:hAnsi="Times New Roman" w:eastAsia="宋体" w:cs="Times New Roman"/>
          <w:color w:val="auto"/>
          <w:highlight w:val="none"/>
        </w:rPr>
        <mc:AlternateContent>
          <mc:Choice Requires="wps">
            <w:drawing>
              <wp:anchor distT="0" distB="0" distL="114300" distR="114300" simplePos="0" relativeHeight="251753472" behindDoc="0" locked="0" layoutInCell="1" allowOverlap="1">
                <wp:simplePos x="0" y="0"/>
                <wp:positionH relativeFrom="character">
                  <wp:posOffset>114300</wp:posOffset>
                </wp:positionH>
                <wp:positionV relativeFrom="line">
                  <wp:posOffset>4262755</wp:posOffset>
                </wp:positionV>
                <wp:extent cx="843915" cy="332740"/>
                <wp:effectExtent l="0" t="0" r="0" b="0"/>
                <wp:wrapNone/>
                <wp:docPr id="167" name="文本框 100"/>
                <wp:cNvGraphicFramePr/>
                <a:graphic xmlns:a="http://schemas.openxmlformats.org/drawingml/2006/main">
                  <a:graphicData uri="http://schemas.microsoft.com/office/word/2010/wordprocessingShape">
                    <wps:wsp>
                      <wps:cNvSpPr txBox="1"/>
                      <wps:spPr>
                        <a:xfrm>
                          <a:off x="0" y="0"/>
                          <a:ext cx="843915" cy="332740"/>
                        </a:xfrm>
                        <a:prstGeom prst="rect">
                          <a:avLst/>
                        </a:prstGeom>
                        <a:noFill/>
                        <a:ln w="6350">
                          <a:noFill/>
                        </a:ln>
                      </wps:spPr>
                      <wps:txbx>
                        <w:txbxContent>
                          <w:p w14:paraId="00D75182">
                            <w:r>
                              <w:rPr>
                                <w:rFonts w:hint="eastAsia"/>
                              </w:rPr>
                              <w:t>比例尺：</w:t>
                            </w:r>
                          </w:p>
                        </w:txbxContent>
                      </wps:txbx>
                      <wps:bodyPr wrap="square" upright="1"/>
                    </wps:wsp>
                  </a:graphicData>
                </a:graphic>
              </wp:anchor>
            </w:drawing>
          </mc:Choice>
          <mc:Fallback>
            <w:pict>
              <v:shape id="文本框 100" o:spid="_x0000_s1026" o:spt="202" type="#_x0000_t202" style="position:absolute;left:0pt;margin-left:9pt;margin-top:335.65pt;height:26.2pt;width:66.45pt;mso-position-horizontal-relative:char;mso-position-vertical-relative:line;z-index:251753472;mso-width-relative:page;mso-height-relative:page;" filled="f" stroked="f" coordsize="21600,21600" o:gfxdata="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77tFVtsAAAAKAQAADwAAAAAAAAABACAAAAAiAAAAZHJzL2Rvd25y&#10;ZXYueG1sUEsBAhQAFAAAAAgAh07iQBLM5xDCAQAAaAMAAA4AAAAAAAAAAQAgAAAAKgEAAGRycy9l&#10;Mm9Eb2MueG1sUEsFBgAAAAAGAAYAWQEAAF4FAAAAAA==&#10;">
                <v:fill on="f" focussize="0,0"/>
                <v:stroke on="f" weight="0.5pt"/>
                <v:imagedata o:title=""/>
                <o:lock v:ext="edit" aspectratio="f"/>
                <v:textbox>
                  <w:txbxContent>
                    <w:p w14:paraId="00D75182">
                      <w:r>
                        <w:rPr>
                          <w:rFonts w:hint="eastAsia"/>
                        </w:rPr>
                        <w:t>比例尺：</w:t>
                      </w:r>
                    </w:p>
                  </w:txbxContent>
                </v:textbox>
              </v:shape>
            </w:pict>
          </mc:Fallback>
        </mc:AlternateContent>
      </w:r>
      <w:r>
        <w:rPr>
          <w:rFonts w:hint="default" w:ascii="Times New Roman" w:hAnsi="Times New Roman" w:eastAsia="宋体" w:cs="Times New Roman"/>
          <w:color w:val="auto"/>
          <w:highlight w:val="none"/>
        </w:rPr>
        <mc:AlternateContent>
          <mc:Choice Requires="wps">
            <w:drawing>
              <wp:anchor distT="0" distB="0" distL="114300" distR="114300" simplePos="0" relativeHeight="251755520" behindDoc="0" locked="0" layoutInCell="1" allowOverlap="1">
                <wp:simplePos x="0" y="0"/>
                <wp:positionH relativeFrom="character">
                  <wp:posOffset>276225</wp:posOffset>
                </wp:positionH>
                <wp:positionV relativeFrom="line">
                  <wp:posOffset>4579620</wp:posOffset>
                </wp:positionV>
                <wp:extent cx="358775" cy="71755"/>
                <wp:effectExtent l="9525" t="9525" r="12700" b="13970"/>
                <wp:wrapNone/>
                <wp:docPr id="168" name="矩形 237"/>
                <wp:cNvGraphicFramePr/>
                <a:graphic xmlns:a="http://schemas.openxmlformats.org/drawingml/2006/main">
                  <a:graphicData uri="http://schemas.microsoft.com/office/word/2010/wordprocessingShape">
                    <wps:wsp>
                      <wps:cNvSpPr/>
                      <wps:spPr>
                        <a:xfrm>
                          <a:off x="0" y="0"/>
                          <a:ext cx="358775" cy="71755"/>
                        </a:xfrm>
                        <a:prstGeom prst="rect">
                          <a:avLst/>
                        </a:prstGeom>
                        <a:solidFill>
                          <a:srgbClr val="000000"/>
                        </a:solidFill>
                        <a:ln w="19050" cap="flat" cmpd="sng">
                          <a:solidFill>
                            <a:srgbClr val="000000"/>
                          </a:solidFill>
                          <a:prstDash val="solid"/>
                          <a:miter/>
                          <a:headEnd type="none" w="med" len="med"/>
                          <a:tailEnd type="none" w="med" len="med"/>
                        </a:ln>
                      </wps:spPr>
                      <wps:bodyPr wrap="square" anchor="ctr" anchorCtr="0" upright="1"/>
                    </wps:wsp>
                  </a:graphicData>
                </a:graphic>
              </wp:anchor>
            </w:drawing>
          </mc:Choice>
          <mc:Fallback>
            <w:pict>
              <v:rect id="矩形 237" o:spid="_x0000_s1026" o:spt="1" style="position:absolute;left:0pt;margin-left:21.75pt;margin-top:360.6pt;height:5.65pt;width:28.25pt;mso-position-horizontal-relative:char;mso-position-vertical-relative:line;z-index:251755520;v-text-anchor:middle;mso-width-relative:page;mso-height-relative:page;" fillcolor="#000000" filled="t" stroked="t" coordsize="21600,21600" o:gfxdata="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FGlF+PZAAAACgEAAA8AAAAAAAAA&#10;AQAgAAAAIgAAAGRycy9kb3ducmV2LnhtbFBLAQIUABQAAAAIAIdO4kDdGaOrEAIAAEoEAAAOAAAA&#10;AAAAAAEAIAAAACgBAABkcnMvZTJvRG9jLnhtbFBLBQYAAAAABgAGAFkBAACqBQAAAAA=&#10;">
                <v:fill on="t" focussize="0,0"/>
                <v:stroke weight="1.5pt" color="#000000" joinstyle="miter"/>
                <v:imagedata o:title=""/>
                <o:lock v:ext="edit" aspectratio="f"/>
              </v:rect>
            </w:pict>
          </mc:Fallback>
        </mc:AlternateContent>
      </w:r>
      <w:r>
        <w:rPr>
          <w:rFonts w:hint="default" w:ascii="Times New Roman" w:hAnsi="Times New Roman" w:eastAsia="宋体" w:cs="Times New Roman"/>
          <w:color w:val="auto"/>
          <w:highlight w:val="none"/>
        </w:rPr>
        <mc:AlternateContent>
          <mc:Choice Requires="wps">
            <w:drawing>
              <wp:anchor distT="0" distB="0" distL="114300" distR="114300" simplePos="0" relativeHeight="251756544" behindDoc="0" locked="0" layoutInCell="1" allowOverlap="1">
                <wp:simplePos x="0" y="0"/>
                <wp:positionH relativeFrom="character">
                  <wp:posOffset>654050</wp:posOffset>
                </wp:positionH>
                <wp:positionV relativeFrom="line">
                  <wp:posOffset>4578350</wp:posOffset>
                </wp:positionV>
                <wp:extent cx="358775" cy="71755"/>
                <wp:effectExtent l="9525" t="9525" r="12700" b="13970"/>
                <wp:wrapNone/>
                <wp:docPr id="169" name="矩形 237"/>
                <wp:cNvGraphicFramePr/>
                <a:graphic xmlns:a="http://schemas.openxmlformats.org/drawingml/2006/main">
                  <a:graphicData uri="http://schemas.microsoft.com/office/word/2010/wordprocessingShape">
                    <wps:wsp>
                      <wps:cNvSpPr/>
                      <wps:spPr>
                        <a:xfrm>
                          <a:off x="0" y="0"/>
                          <a:ext cx="358775" cy="71755"/>
                        </a:xfrm>
                        <a:prstGeom prst="rect">
                          <a:avLst/>
                        </a:prstGeom>
                        <a:solidFill>
                          <a:srgbClr val="FF0000"/>
                        </a:solidFill>
                        <a:ln w="19050" cap="flat" cmpd="sng">
                          <a:solidFill>
                            <a:srgbClr val="FF0000"/>
                          </a:solidFill>
                          <a:prstDash val="solid"/>
                          <a:miter/>
                          <a:headEnd type="none" w="med" len="med"/>
                          <a:tailEnd type="none" w="med" len="med"/>
                        </a:ln>
                      </wps:spPr>
                      <wps:bodyPr vert="horz" wrap="square" anchor="ctr" anchorCtr="0" upright="1"/>
                    </wps:wsp>
                  </a:graphicData>
                </a:graphic>
              </wp:anchor>
            </w:drawing>
          </mc:Choice>
          <mc:Fallback>
            <w:pict>
              <v:rect id="矩形 237" o:spid="_x0000_s1026" o:spt="1" style="position:absolute;left:0pt;margin-left:51.5pt;margin-top:360.5pt;height:5.65pt;width:28.25pt;mso-position-horizontal-relative:char;mso-position-vertical-relative:line;z-index:251756544;v-text-anchor:middle;mso-width-relative:page;mso-height-relative:page;" fillcolor="#FF0000" filled="t" stroked="t" coordsize="21600,21600" o:gfxdata="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8muoxtkAAAAL&#10;AQAADwAAAAAAAAABACAAAAAiAAAAZHJzL2Rvd25yZXYueG1sUEsBAhQAFAAAAAgAh07iQG7To14b&#10;AgAAVgQAAA4AAAAAAAAAAQAgAAAAKAEAAGRycy9lMm9Eb2MueG1sUEsFBgAAAAAGAAYAWQEAALUF&#10;AAAAAA==&#10;">
                <v:fill on="t" focussize="0,0"/>
                <v:stroke weight="1.5pt" color="#FF0000" joinstyle="miter"/>
                <v:imagedata o:title=""/>
                <o:lock v:ext="edit" aspectratio="f"/>
              </v:rect>
            </w:pict>
          </mc:Fallback>
        </mc:AlternateContent>
      </w:r>
      <w:r>
        <w:rPr>
          <w:rFonts w:hint="default" w:ascii="Times New Roman" w:hAnsi="Times New Roman" w:eastAsia="宋体" w:cs="Times New Roman"/>
          <w:color w:val="auto"/>
          <w:highlight w:val="none"/>
        </w:rPr>
        <mc:AlternateContent>
          <mc:Choice Requires="wps">
            <w:drawing>
              <wp:anchor distT="0" distB="0" distL="114300" distR="114300" simplePos="0" relativeHeight="251754496" behindDoc="0" locked="0" layoutInCell="1" allowOverlap="1">
                <wp:simplePos x="0" y="0"/>
                <wp:positionH relativeFrom="character">
                  <wp:posOffset>147955</wp:posOffset>
                </wp:positionH>
                <wp:positionV relativeFrom="line">
                  <wp:posOffset>4693920</wp:posOffset>
                </wp:positionV>
                <wp:extent cx="1258570" cy="257175"/>
                <wp:effectExtent l="0" t="0" r="0" b="0"/>
                <wp:wrapNone/>
                <wp:docPr id="171" name="文本框 241"/>
                <wp:cNvGraphicFramePr/>
                <a:graphic xmlns:a="http://schemas.openxmlformats.org/drawingml/2006/main">
                  <a:graphicData uri="http://schemas.microsoft.com/office/word/2010/wordprocessingShape">
                    <wps:wsp>
                      <wps:cNvSpPr txBox="1"/>
                      <wps:spPr>
                        <a:xfrm>
                          <a:off x="0" y="0"/>
                          <a:ext cx="1258570" cy="257175"/>
                        </a:xfrm>
                        <a:prstGeom prst="rect">
                          <a:avLst/>
                        </a:prstGeom>
                        <a:noFill/>
                        <a:ln w="6350">
                          <a:noFill/>
                        </a:ln>
                      </wps:spPr>
                      <wps:txbx>
                        <w:txbxContent>
                          <w:p w14:paraId="4965BAE5">
                            <w:pPr>
                              <w:ind w:left="210" w:hanging="210" w:hangingChars="100"/>
                            </w:pPr>
                            <w:r>
                              <w:rPr>
                                <w:rFonts w:hint="eastAsia"/>
                                <w:lang w:val="en-US" w:eastAsia="zh-CN"/>
                              </w:rPr>
                              <w:t>0m  50m  100</w:t>
                            </w:r>
                            <w:r>
                              <w:rPr>
                                <w:rFonts w:hint="eastAsia"/>
                              </w:rPr>
                              <w:t>m</w:t>
                            </w:r>
                          </w:p>
                        </w:txbxContent>
                      </wps:txbx>
                      <wps:bodyPr wrap="square" upright="1"/>
                    </wps:wsp>
                  </a:graphicData>
                </a:graphic>
              </wp:anchor>
            </w:drawing>
          </mc:Choice>
          <mc:Fallback>
            <w:pict>
              <v:shape id="文本框 241" o:spid="_x0000_s1026" o:spt="202" type="#_x0000_t202" style="position:absolute;left:0pt;margin-left:11.65pt;margin-top:369.6pt;height:20.25pt;width:99.1pt;mso-position-horizontal-relative:char;mso-position-vertical-relative:line;z-index:251754496;mso-width-relative:page;mso-height-relative:page;" filled="f" stroked="f" coordsize="21600,21600" o:gfxdata="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D4Ta+72wAAAAoBAAAPAAAAAAAAAAEAIAAAACIAAABkcnMvZG93bnJl&#10;di54bWxQSwECFAAUAAAACACHTuJAZe2ULcEBAABpAwAADgAAAAAAAAABACAAAAAqAQAAZHJzL2Uy&#10;b0RvYy54bWxQSwUGAAAAAAYABgBZAQAAXQUAAAAA&#10;">
                <v:fill on="f" focussize="0,0"/>
                <v:stroke on="f" weight="0.5pt"/>
                <v:imagedata o:title=""/>
                <o:lock v:ext="edit" aspectratio="f"/>
                <v:textbox>
                  <w:txbxContent>
                    <w:p w14:paraId="4965BAE5">
                      <w:pPr>
                        <w:ind w:left="210" w:hanging="210" w:hangingChars="100"/>
                      </w:pPr>
                      <w:r>
                        <w:rPr>
                          <w:rFonts w:hint="eastAsia"/>
                          <w:lang w:val="en-US" w:eastAsia="zh-CN"/>
                        </w:rPr>
                        <w:t>0m  50m  100</w:t>
                      </w:r>
                      <w:r>
                        <w:rPr>
                          <w:rFonts w:hint="eastAsia"/>
                        </w:rPr>
                        <w:t>m</w:t>
                      </w:r>
                    </w:p>
                  </w:txbxContent>
                </v:textbox>
              </v:shape>
            </w:pict>
          </mc:Fallback>
        </mc:AlternateContent>
      </w:r>
      <w:r>
        <w:rPr>
          <w:rFonts w:hint="default" w:ascii="Times New Roman" w:hAnsi="Times New Roman" w:eastAsia="宋体" w:cs="Times New Roman"/>
          <w:color w:val="auto"/>
          <w:highlight w:val="none"/>
        </w:rPr>
        <mc:AlternateContent>
          <mc:Choice Requires="wps">
            <w:drawing>
              <wp:anchor distT="0" distB="0" distL="114300" distR="114300" simplePos="0" relativeHeight="251746304" behindDoc="0" locked="0" layoutInCell="1" allowOverlap="1">
                <wp:simplePos x="0" y="0"/>
                <wp:positionH relativeFrom="character">
                  <wp:posOffset>481965</wp:posOffset>
                </wp:positionH>
                <wp:positionV relativeFrom="line">
                  <wp:posOffset>2006600</wp:posOffset>
                </wp:positionV>
                <wp:extent cx="1365885" cy="2296160"/>
                <wp:effectExtent l="6350" t="6350" r="18415" b="21590"/>
                <wp:wrapNone/>
                <wp:docPr id="177" name="矩形 112"/>
                <wp:cNvGraphicFramePr/>
                <a:graphic xmlns:a="http://schemas.openxmlformats.org/drawingml/2006/main">
                  <a:graphicData uri="http://schemas.microsoft.com/office/word/2010/wordprocessingShape">
                    <wps:wsp>
                      <wps:cNvSpPr/>
                      <wps:spPr>
                        <a:xfrm>
                          <a:off x="0" y="0"/>
                          <a:ext cx="1365885" cy="2296160"/>
                        </a:xfrm>
                        <a:prstGeom prst="rect">
                          <a:avLst/>
                        </a:prstGeom>
                        <a:noFill/>
                        <a:ln w="12700" cap="flat" cmpd="sng">
                          <a:solidFill>
                            <a:srgbClr val="000000"/>
                          </a:solidFill>
                          <a:prstDash val="solid"/>
                          <a:miter/>
                          <a:headEnd type="none" w="med" len="med"/>
                          <a:tailEnd type="none" w="med" len="med"/>
                        </a:ln>
                      </wps:spPr>
                      <wps:bodyPr vert="horz" wrap="square" anchor="ctr" anchorCtr="0" upright="1"/>
                    </wps:wsp>
                  </a:graphicData>
                </a:graphic>
              </wp:anchor>
            </w:drawing>
          </mc:Choice>
          <mc:Fallback>
            <w:pict>
              <v:rect id="矩形 112" o:spid="_x0000_s1026" o:spt="1" style="position:absolute;left:0pt;margin-left:37.95pt;margin-top:158pt;height:180.8pt;width:107.55pt;mso-position-horizontal-relative:char;mso-position-vertical-relative:line;z-index:251746304;v-text-anchor:middle;mso-width-relative:page;mso-height-relative:page;" filled="f" stroked="t" coordsize="21600,21600" o:gfxdata="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I6ikVvZAAAACgEA&#10;AA8AAAAAAAAAAQAgAAAAIgAAAGRycy9kb3ducmV2LnhtbFBLAQIUABQAAAAIAIdO4kDDkjIGGQIA&#10;ADAEAAAOAAAAAAAAAAEAIAAAACgBAABkcnMvZTJvRG9jLnhtbFBLBQYAAAAABgAGAFkBAACzBQAA&#10;AAA=&#10;">
                <v:fill on="f" focussize="0,0"/>
                <v:stroke weight="1pt" color="#000000" joinstyle="miter"/>
                <v:imagedata o:title=""/>
                <o:lock v:ext="edit" aspectratio="f"/>
              </v:rect>
            </w:pict>
          </mc:Fallback>
        </mc:AlternateContent>
      </w:r>
      <w:r>
        <w:rPr>
          <w:rFonts w:hint="default" w:ascii="Times New Roman" w:hAnsi="Times New Roman" w:eastAsia="宋体" w:cs="Times New Roman"/>
          <w:color w:val="auto"/>
          <w:highlight w:val="none"/>
        </w:rPr>
        <mc:AlternateContent>
          <mc:Choice Requires="wps">
            <w:drawing>
              <wp:anchor distT="0" distB="0" distL="114300" distR="114300" simplePos="0" relativeHeight="251747328" behindDoc="0" locked="0" layoutInCell="1" allowOverlap="1">
                <wp:simplePos x="0" y="0"/>
                <wp:positionH relativeFrom="character">
                  <wp:posOffset>923925</wp:posOffset>
                </wp:positionH>
                <wp:positionV relativeFrom="line">
                  <wp:posOffset>2030095</wp:posOffset>
                </wp:positionV>
                <wp:extent cx="654685" cy="332740"/>
                <wp:effectExtent l="0" t="0" r="0" b="0"/>
                <wp:wrapNone/>
                <wp:docPr id="178" name="文本框 100"/>
                <wp:cNvGraphicFramePr/>
                <a:graphic xmlns:a="http://schemas.openxmlformats.org/drawingml/2006/main">
                  <a:graphicData uri="http://schemas.microsoft.com/office/word/2010/wordprocessingShape">
                    <wps:wsp>
                      <wps:cNvSpPr txBox="1"/>
                      <wps:spPr>
                        <a:xfrm>
                          <a:off x="0" y="0"/>
                          <a:ext cx="654685" cy="332740"/>
                        </a:xfrm>
                        <a:prstGeom prst="rect">
                          <a:avLst/>
                        </a:prstGeom>
                        <a:noFill/>
                        <a:ln w="6350">
                          <a:noFill/>
                        </a:ln>
                      </wps:spPr>
                      <wps:txbx>
                        <w:txbxContent>
                          <w:p w14:paraId="463452AF">
                            <w:r>
                              <w:rPr>
                                <w:rFonts w:hint="eastAsia"/>
                              </w:rPr>
                              <w:t>图例：</w:t>
                            </w:r>
                          </w:p>
                        </w:txbxContent>
                      </wps:txbx>
                      <wps:bodyPr wrap="square" upright="1"/>
                    </wps:wsp>
                  </a:graphicData>
                </a:graphic>
              </wp:anchor>
            </w:drawing>
          </mc:Choice>
          <mc:Fallback>
            <w:pict>
              <v:shape id="文本框 100" o:spid="_x0000_s1026" o:spt="202" type="#_x0000_t202" style="position:absolute;left:0pt;margin-left:72.75pt;margin-top:159.85pt;height:26.2pt;width:51.55pt;mso-position-horizontal-relative:char;mso-position-vertical-relative:line;z-index:251747328;mso-width-relative:page;mso-height-relative:page;" filled="f" stroked="f" coordsize="21600,21600" o:gfxdata="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Dxpdr83AAAAAsBAAAPAAAAAAAAAAEAIAAAACIAAABkcnMvZG93bnJl&#10;di54bWxQSwECFAAUAAAACACHTuJAS6o7qMABAABoAwAADgAAAAAAAAABACAAAAArAQAAZHJzL2Uy&#10;b0RvYy54bWxQSwUGAAAAAAYABgBZAQAAXQUAAAAA&#10;">
                <v:fill on="f" focussize="0,0"/>
                <v:stroke on="f" weight="0.5pt"/>
                <v:imagedata o:title=""/>
                <o:lock v:ext="edit" aspectratio="f"/>
                <v:textbox>
                  <w:txbxContent>
                    <w:p w14:paraId="463452AF">
                      <w:r>
                        <w:rPr>
                          <w:rFonts w:hint="eastAsia"/>
                        </w:rPr>
                        <w:t>图例：</w:t>
                      </w:r>
                    </w:p>
                  </w:txbxContent>
                </v:textbox>
              </v:shape>
            </w:pict>
          </mc:Fallback>
        </mc:AlternateContent>
      </w:r>
      <w:r>
        <w:rPr>
          <w:rFonts w:hint="default" w:ascii="Times New Roman" w:hAnsi="Times New Roman" w:eastAsia="宋体" w:cs="Times New Roman"/>
          <w:color w:val="auto"/>
          <w:highlight w:val="none"/>
        </w:rPr>
        <mc:AlternateContent>
          <mc:Choice Requires="wps">
            <w:drawing>
              <wp:anchor distT="0" distB="0" distL="114300" distR="114300" simplePos="0" relativeHeight="251748352" behindDoc="0" locked="0" layoutInCell="1" allowOverlap="1">
                <wp:simplePos x="0" y="0"/>
                <wp:positionH relativeFrom="character">
                  <wp:posOffset>1043940</wp:posOffset>
                </wp:positionH>
                <wp:positionV relativeFrom="line">
                  <wp:posOffset>2574925</wp:posOffset>
                </wp:positionV>
                <wp:extent cx="865505" cy="433070"/>
                <wp:effectExtent l="0" t="0" r="0" b="0"/>
                <wp:wrapNone/>
                <wp:docPr id="175" name="文本框 96"/>
                <wp:cNvGraphicFramePr/>
                <a:graphic xmlns:a="http://schemas.openxmlformats.org/drawingml/2006/main">
                  <a:graphicData uri="http://schemas.microsoft.com/office/word/2010/wordprocessingShape">
                    <wps:wsp>
                      <wps:cNvSpPr txBox="1"/>
                      <wps:spPr>
                        <a:xfrm>
                          <a:off x="0" y="0"/>
                          <a:ext cx="865505" cy="433070"/>
                        </a:xfrm>
                        <a:prstGeom prst="rect">
                          <a:avLst/>
                        </a:prstGeom>
                        <a:noFill/>
                        <a:ln w="6350">
                          <a:noFill/>
                        </a:ln>
                      </wps:spPr>
                      <wps:txbx>
                        <w:txbxContent>
                          <w:p w14:paraId="6EB06029">
                            <w:pPr>
                              <w:rPr>
                                <w:rFonts w:hint="default" w:eastAsia="宋体"/>
                                <w:lang w:val="en-US" w:eastAsia="zh-CN"/>
                              </w:rPr>
                            </w:pPr>
                            <w:r>
                              <w:rPr>
                                <w:rFonts w:hint="eastAsia"/>
                                <w:lang w:val="en-US" w:eastAsia="zh-CN"/>
                              </w:rPr>
                              <w:t>项目所在建筑物</w:t>
                            </w:r>
                          </w:p>
                        </w:txbxContent>
                      </wps:txbx>
                      <wps:bodyPr wrap="square" upright="1"/>
                    </wps:wsp>
                  </a:graphicData>
                </a:graphic>
              </wp:anchor>
            </w:drawing>
          </mc:Choice>
          <mc:Fallback>
            <w:pict>
              <v:shape id="文本框 96" o:spid="_x0000_s1026" o:spt="202" type="#_x0000_t202" style="position:absolute;left:0pt;margin-left:82.2pt;margin-top:202.75pt;height:34.1pt;width:68.15pt;mso-position-horizontal-relative:char;mso-position-vertical-relative:line;z-index:251748352;mso-width-relative:page;mso-height-relative:page;" filled="f" stroked="f" coordsize="21600,21600" o:gfxdata="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uGmS3tsAAAALAQAADwAAAAAAAAABACAAAAAiAAAAZHJzL2Rvd25y&#10;ZXYueG1sUEsBAhQAFAAAAAgAh07iQEcCiCfCAQAAZwMAAA4AAAAAAAAAAQAgAAAAKgEAAGRycy9l&#10;Mm9Eb2MueG1sUEsFBgAAAAAGAAYAWQEAAF4FAAAAAA==&#10;">
                <v:fill on="f" focussize="0,0"/>
                <v:stroke on="f" weight="0.5pt"/>
                <v:imagedata o:title=""/>
                <o:lock v:ext="edit" aspectratio="f"/>
                <v:textbox>
                  <w:txbxContent>
                    <w:p w14:paraId="6EB06029">
                      <w:pPr>
                        <w:rPr>
                          <w:rFonts w:hint="default" w:eastAsia="宋体"/>
                          <w:lang w:val="en-US" w:eastAsia="zh-CN"/>
                        </w:rPr>
                      </w:pPr>
                      <w:r>
                        <w:rPr>
                          <w:rFonts w:hint="eastAsia"/>
                          <w:lang w:val="en-US" w:eastAsia="zh-CN"/>
                        </w:rPr>
                        <w:t>项目所在建筑物</w:t>
                      </w:r>
                    </w:p>
                  </w:txbxContent>
                </v:textbox>
              </v:shape>
            </w:pict>
          </mc:Fallback>
        </mc:AlternateContent>
      </w:r>
      <w:r>
        <w:rPr>
          <w:rFonts w:hint="default" w:ascii="Times New Roman" w:hAnsi="Times New Roman" w:eastAsia="宋体" w:cs="Times New Roman"/>
          <w:color w:val="auto"/>
          <w:highlight w:val="none"/>
        </w:rPr>
        <mc:AlternateContent>
          <mc:Choice Requires="wps">
            <w:drawing>
              <wp:anchor distT="0" distB="0" distL="114300" distR="114300" simplePos="0" relativeHeight="251750400" behindDoc="0" locked="0" layoutInCell="1" allowOverlap="1">
                <wp:simplePos x="0" y="0"/>
                <wp:positionH relativeFrom="character">
                  <wp:posOffset>1132840</wp:posOffset>
                </wp:positionH>
                <wp:positionV relativeFrom="line">
                  <wp:posOffset>3010535</wp:posOffset>
                </wp:positionV>
                <wp:extent cx="690880" cy="332105"/>
                <wp:effectExtent l="0" t="0" r="0" b="0"/>
                <wp:wrapNone/>
                <wp:docPr id="176" name="文本框 91"/>
                <wp:cNvGraphicFramePr/>
                <a:graphic xmlns:a="http://schemas.openxmlformats.org/drawingml/2006/main">
                  <a:graphicData uri="http://schemas.microsoft.com/office/word/2010/wordprocessingShape">
                    <wps:wsp>
                      <wps:cNvSpPr txBox="1"/>
                      <wps:spPr>
                        <a:xfrm>
                          <a:off x="0" y="0"/>
                          <a:ext cx="690880" cy="332105"/>
                        </a:xfrm>
                        <a:prstGeom prst="rect">
                          <a:avLst/>
                        </a:prstGeom>
                        <a:noFill/>
                        <a:ln w="6350">
                          <a:noFill/>
                        </a:ln>
                      </wps:spPr>
                      <wps:txbx>
                        <w:txbxContent>
                          <w:p w14:paraId="192C7AFE">
                            <w:r>
                              <w:rPr>
                                <w:rFonts w:hint="eastAsia"/>
                              </w:rPr>
                              <w:t>敏感点</w:t>
                            </w:r>
                          </w:p>
                        </w:txbxContent>
                      </wps:txbx>
                      <wps:bodyPr wrap="square" upright="1"/>
                    </wps:wsp>
                  </a:graphicData>
                </a:graphic>
              </wp:anchor>
            </w:drawing>
          </mc:Choice>
          <mc:Fallback>
            <w:pict>
              <v:shape id="文本框 91" o:spid="_x0000_s1026" o:spt="202" type="#_x0000_t202" style="position:absolute;left:0pt;margin-left:89.2pt;margin-top:237.05pt;height:26.15pt;width:54.4pt;mso-position-horizontal-relative:char;mso-position-vertical-relative:line;z-index:251750400;mso-width-relative:page;mso-height-relative:page;" filled="f" stroked="f" coordsize="21600,21600" o:gfxdata="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DyXLYNsAAAALAQAADwAAAAAAAAABACAAAAAiAAAAZHJzL2Rvd25yZXYu&#10;eG1sUEsBAhQAFAAAAAgAh07iQJV11mi/AQAAZwMAAA4AAAAAAAAAAQAgAAAAKgEAAGRycy9lMm9E&#10;b2MueG1sUEsFBgAAAAAGAAYAWQEAAFsFAAAAAA==&#10;">
                <v:fill on="f" focussize="0,0"/>
                <v:stroke on="f" weight="0.5pt"/>
                <v:imagedata o:title=""/>
                <o:lock v:ext="edit" aspectratio="f"/>
                <v:textbox>
                  <w:txbxContent>
                    <w:p w14:paraId="192C7AFE">
                      <w:r>
                        <w:rPr>
                          <w:rFonts w:hint="eastAsia"/>
                        </w:rPr>
                        <w:t>敏感点</w:t>
                      </w:r>
                    </w:p>
                  </w:txbxContent>
                </v:textbox>
              </v:shape>
            </w:pict>
          </mc:Fallback>
        </mc:AlternateContent>
      </w:r>
      <w:r>
        <w:rPr>
          <w:rFonts w:hint="default" w:ascii="Times New Roman" w:hAnsi="Times New Roman" w:eastAsia="宋体" w:cs="Times New Roman"/>
          <w:color w:val="auto"/>
          <w:highlight w:val="none"/>
        </w:rPr>
        <mc:AlternateContent>
          <mc:Choice Requires="wps">
            <w:drawing>
              <wp:anchor distT="0" distB="0" distL="114300" distR="114300" simplePos="0" relativeHeight="251749376" behindDoc="0" locked="0" layoutInCell="1" allowOverlap="1">
                <wp:simplePos x="0" y="0"/>
                <wp:positionH relativeFrom="character">
                  <wp:posOffset>1094105</wp:posOffset>
                </wp:positionH>
                <wp:positionV relativeFrom="line">
                  <wp:posOffset>3321050</wp:posOffset>
                </wp:positionV>
                <wp:extent cx="792480" cy="473075"/>
                <wp:effectExtent l="0" t="0" r="0" b="0"/>
                <wp:wrapNone/>
                <wp:docPr id="172" name="文本框 233"/>
                <wp:cNvGraphicFramePr/>
                <a:graphic xmlns:a="http://schemas.openxmlformats.org/drawingml/2006/main">
                  <a:graphicData uri="http://schemas.microsoft.com/office/word/2010/wordprocessingShape">
                    <wps:wsp>
                      <wps:cNvSpPr txBox="1"/>
                      <wps:spPr>
                        <a:xfrm>
                          <a:off x="0" y="0"/>
                          <a:ext cx="792480" cy="473075"/>
                        </a:xfrm>
                        <a:prstGeom prst="rect">
                          <a:avLst/>
                        </a:prstGeom>
                        <a:noFill/>
                        <a:ln w="6350">
                          <a:noFill/>
                        </a:ln>
                      </wps:spPr>
                      <wps:txbx>
                        <w:txbxContent>
                          <w:p w14:paraId="6038AEB3">
                            <w:r>
                              <w:rPr>
                                <w:rFonts w:hint="eastAsia"/>
                              </w:rPr>
                              <w:t>噪声保护目标范围</w:t>
                            </w:r>
                          </w:p>
                        </w:txbxContent>
                      </wps:txbx>
                      <wps:bodyPr wrap="square" upright="1"/>
                    </wps:wsp>
                  </a:graphicData>
                </a:graphic>
              </wp:anchor>
            </w:drawing>
          </mc:Choice>
          <mc:Fallback>
            <w:pict>
              <v:shape id="文本框 233" o:spid="_x0000_s1026" o:spt="202" type="#_x0000_t202" style="position:absolute;left:0pt;margin-left:86.15pt;margin-top:261.5pt;height:37.25pt;width:62.4pt;mso-position-horizontal-relative:char;mso-position-vertical-relative:line;z-index:251749376;mso-width-relative:page;mso-height-relative:page;" filled="f" stroked="f" coordsize="21600,21600" o:gfxdata="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Sy/5r9sAAAALAQAADwAAAAAAAAABACAAAAAiAAAAZHJzL2Rvd25y&#10;ZXYueG1sUEsBAhQAFAAAAAgAh07iQE826R/CAQAAaAMAAA4AAAAAAAAAAQAgAAAAKgEAAGRycy9l&#10;Mm9Eb2MueG1sUEsFBgAAAAAGAAYAWQEAAF4FAAAAAA==&#10;">
                <v:fill on="f" focussize="0,0"/>
                <v:stroke on="f" weight="0.5pt"/>
                <v:imagedata o:title=""/>
                <o:lock v:ext="edit" aspectratio="f"/>
                <v:textbox>
                  <w:txbxContent>
                    <w:p w14:paraId="6038AEB3">
                      <w:r>
                        <w:rPr>
                          <w:rFonts w:hint="eastAsia"/>
                        </w:rPr>
                        <w:t>噪声保护目标范围</w:t>
                      </w:r>
                    </w:p>
                  </w:txbxContent>
                </v:textbox>
              </v:shape>
            </w:pict>
          </mc:Fallback>
        </mc:AlternateContent>
      </w:r>
    </w:p>
    <w:p w14:paraId="7808006C">
      <w:pPr>
        <w:shd w:val="clear"/>
        <w:bidi w:val="0"/>
        <w:jc w:val="center"/>
        <w:rPr>
          <w:rFonts w:hint="default"/>
          <w:b/>
          <w:bCs/>
          <w:color w:val="auto"/>
          <w:sz w:val="36"/>
          <w:szCs w:val="36"/>
          <w:highlight w:val="none"/>
          <w:lang w:val="en-US" w:eastAsia="zh-CN"/>
        </w:rPr>
        <w:sectPr>
          <w:pgSz w:w="16838" w:h="11906" w:orient="landscape"/>
          <w:pgMar w:top="1531" w:right="1701" w:bottom="1531" w:left="1701" w:header="851" w:footer="850" w:gutter="0"/>
          <w:pgNumType w:fmt="decimal"/>
          <w:cols w:space="0" w:num="1"/>
          <w:rtlGutter w:val="0"/>
          <w:docGrid w:linePitch="312" w:charSpace="0"/>
        </w:sectPr>
      </w:pPr>
      <w:r>
        <w:rPr>
          <w:rFonts w:hint="default"/>
          <w:b/>
          <w:bCs/>
          <w:color w:val="auto"/>
          <w:sz w:val="36"/>
          <w:szCs w:val="36"/>
          <w:highlight w:val="none"/>
          <w:lang w:val="en-US" w:eastAsia="zh-CN"/>
        </w:rPr>
        <w:t>附图8</w:t>
      </w:r>
      <w:r>
        <w:rPr>
          <w:rFonts w:hint="eastAsia"/>
          <w:b/>
          <w:bCs/>
          <w:color w:val="auto"/>
          <w:sz w:val="36"/>
          <w:szCs w:val="36"/>
          <w:highlight w:val="none"/>
          <w:lang w:val="en-US" w:eastAsia="zh-CN"/>
        </w:rPr>
        <w:t>-2噪声评价范围放大图</w:t>
      </w:r>
    </w:p>
    <w:p w14:paraId="351EB63E">
      <w:pPr>
        <w:pStyle w:val="40"/>
        <w:shd w:val="clear"/>
        <w:rPr>
          <w:rFonts w:hint="default" w:ascii="Times New Roman" w:hAnsi="Times New Roman" w:eastAsia="宋体" w:cs="Times New Roman"/>
          <w:b/>
          <w:bCs/>
          <w:color w:val="auto"/>
          <w:sz w:val="24"/>
          <w:szCs w:val="24"/>
          <w:highlight w:val="none"/>
          <w:lang w:val="en-US" w:eastAsia="zh-CN"/>
        </w:rPr>
      </w:pPr>
      <w:r>
        <w:rPr>
          <w:color w:val="auto"/>
          <w:highlight w:val="none"/>
        </w:rPr>
        <mc:AlternateContent>
          <mc:Choice Requires="wps">
            <w:drawing>
              <wp:anchor distT="0" distB="0" distL="114300" distR="114300" simplePos="0" relativeHeight="251716608" behindDoc="0" locked="0" layoutInCell="1" allowOverlap="1">
                <wp:simplePos x="0" y="0"/>
                <wp:positionH relativeFrom="column">
                  <wp:posOffset>4079240</wp:posOffset>
                </wp:positionH>
                <wp:positionV relativeFrom="paragraph">
                  <wp:posOffset>3376295</wp:posOffset>
                </wp:positionV>
                <wp:extent cx="1010920" cy="287655"/>
                <wp:effectExtent l="8255" t="4445" r="9525" b="260350"/>
                <wp:wrapNone/>
                <wp:docPr id="90" name="矩形标注 224"/>
                <wp:cNvGraphicFramePr/>
                <a:graphic xmlns:a="http://schemas.openxmlformats.org/drawingml/2006/main">
                  <a:graphicData uri="http://schemas.microsoft.com/office/word/2010/wordprocessingShape">
                    <wps:wsp>
                      <wps:cNvSpPr/>
                      <wps:spPr>
                        <a:xfrm>
                          <a:off x="0" y="0"/>
                          <a:ext cx="1010693" cy="287899"/>
                        </a:xfrm>
                        <a:prstGeom prst="wedgeRectCallout">
                          <a:avLst>
                            <a:gd name="adj1" fmla="val -49227"/>
                            <a:gd name="adj2" fmla="val 129148"/>
                          </a:avLst>
                        </a:prstGeom>
                        <a:solidFill>
                          <a:srgbClr val="FFFFFF"/>
                        </a:solidFill>
                        <a:ln w="9525" cap="flat" cmpd="sng">
                          <a:solidFill>
                            <a:srgbClr val="000000"/>
                          </a:solidFill>
                          <a:prstDash val="solid"/>
                          <a:miter/>
                          <a:headEnd type="none" w="med" len="med"/>
                          <a:tailEnd type="none" w="med" len="med"/>
                        </a:ln>
                      </wps:spPr>
                      <wps:txbx>
                        <w:txbxContent>
                          <w:p w14:paraId="5DA52DB3">
                            <w:pPr>
                              <w:rPr>
                                <w:sz w:val="24"/>
                              </w:rPr>
                            </w:pPr>
                            <w:r>
                              <w:rPr>
                                <w:rFonts w:hint="eastAsia" w:eastAsia="宋体"/>
                                <w:sz w:val="24"/>
                              </w:rPr>
                              <w:t>项目所在地</w:t>
                            </w:r>
                          </w:p>
                        </w:txbxContent>
                      </wps:txbx>
                      <wps:bodyPr wrap="square" upright="1"/>
                    </wps:wsp>
                  </a:graphicData>
                </a:graphic>
              </wp:anchor>
            </w:drawing>
          </mc:Choice>
          <mc:Fallback>
            <w:pict>
              <v:shape id="矩形标注 224" o:spid="_x0000_s1026" o:spt="61" type="#_x0000_t61" style="position:absolute;left:0pt;margin-left:321.2pt;margin-top:265.85pt;height:22.65pt;width:79.6pt;z-index:251716608;mso-width-relative:page;mso-height-relative:page;" fillcolor="#FFFFFF" filled="t" stroked="t" coordsize="21600,21600" o:gfxdata="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aOvqYdoAAAALAQAADwAAAAAAAAABACAA&#10;AAAiAAAAZHJzL2Rvd25yZXYueG1sUEsBAhQAFAAAAAgAh07iQDtrdsNEAgAAnwQAAA4AAAAAAAAA&#10;AQAgAAAAKQEAAGRycy9lMm9Eb2MueG1sUEsFBgAAAAAGAAYAWQEAAN8FAAAAAA==&#10;" adj="167,38696">
                <v:fill on="t" focussize="0,0"/>
                <v:stroke color="#000000" joinstyle="miter"/>
                <v:imagedata o:title=""/>
                <o:lock v:ext="edit" aspectratio="f"/>
                <v:textbox>
                  <w:txbxContent>
                    <w:p w14:paraId="5DA52DB3">
                      <w:pPr>
                        <w:rPr>
                          <w:sz w:val="24"/>
                        </w:rPr>
                      </w:pPr>
                      <w:r>
                        <w:rPr>
                          <w:rFonts w:hint="eastAsia" w:eastAsia="宋体"/>
                          <w:sz w:val="24"/>
                        </w:rPr>
                        <w:t>项目所在地</w:t>
                      </w:r>
                    </w:p>
                  </w:txbxContent>
                </v:textbox>
              </v:shape>
            </w:pict>
          </mc:Fallback>
        </mc:AlternateContent>
      </w:r>
      <w:r>
        <w:rPr>
          <w:color w:val="auto"/>
          <w:highlight w:val="none"/>
        </w:rPr>
        <mc:AlternateContent>
          <mc:Choice Requires="wps">
            <w:drawing>
              <wp:anchor distT="0" distB="0" distL="114300" distR="114300" simplePos="0" relativeHeight="251715584" behindDoc="0" locked="0" layoutInCell="1" allowOverlap="1">
                <wp:simplePos x="0" y="0"/>
                <wp:positionH relativeFrom="column">
                  <wp:posOffset>4029075</wp:posOffset>
                </wp:positionH>
                <wp:positionV relativeFrom="paragraph">
                  <wp:posOffset>3836035</wp:posOffset>
                </wp:positionV>
                <wp:extent cx="92710" cy="93980"/>
                <wp:effectExtent l="4445" t="4445" r="17145" b="15875"/>
                <wp:wrapNone/>
                <wp:docPr id="89" name="椭圆 93"/>
                <wp:cNvGraphicFramePr/>
                <a:graphic xmlns:a="http://schemas.openxmlformats.org/drawingml/2006/main">
                  <a:graphicData uri="http://schemas.microsoft.com/office/word/2010/wordprocessingShape">
                    <wps:wsp>
                      <wps:cNvSpPr/>
                      <wps:spPr>
                        <a:xfrm>
                          <a:off x="0" y="0"/>
                          <a:ext cx="92421" cy="93734"/>
                        </a:xfrm>
                        <a:prstGeom prst="ellipse">
                          <a:avLst/>
                        </a:prstGeom>
                        <a:solidFill>
                          <a:srgbClr val="FF0000"/>
                        </a:solidFill>
                        <a:ln w="9525" cap="flat" cmpd="sng">
                          <a:solidFill>
                            <a:srgbClr val="000000"/>
                          </a:solidFill>
                          <a:prstDash val="solid"/>
                          <a:headEnd type="none" w="med" len="med"/>
                          <a:tailEnd type="none" w="med" len="med"/>
                        </a:ln>
                      </wps:spPr>
                      <wps:bodyPr wrap="square" upright="1"/>
                    </wps:wsp>
                  </a:graphicData>
                </a:graphic>
              </wp:anchor>
            </w:drawing>
          </mc:Choice>
          <mc:Fallback>
            <w:pict>
              <v:shape id="椭圆 93" o:spid="_x0000_s1026" o:spt="3" type="#_x0000_t3" style="position:absolute;left:0pt;margin-left:317.25pt;margin-top:302.05pt;height:7.4pt;width:7.3pt;z-index:251715584;mso-width-relative:page;mso-height-relative:page;" fillcolor="#FF0000" filled="t" stroked="t" coordsize="21600,21600" o:gfxdata="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MyMMM7YAAAACwEAAA8AAAAAAAAAAQAgAAAAIgAAAGRycy9k&#10;b3ducmV2LnhtbFBLAQIUABQAAAAIAIdO4kA6B0DdAgIAACQEAAAOAAAAAAAAAAEAIAAAACcBAABk&#10;cnMvZTJvRG9jLnhtbFBLBQYAAAAABgAGAFkBAACbBQAAAAA=&#10;">
                <v:fill on="t" focussize="0,0"/>
                <v:stroke color="#000000" joinstyle="round"/>
                <v:imagedata o:title=""/>
                <o:lock v:ext="edit" aspectratio="f"/>
              </v:shape>
            </w:pict>
          </mc:Fallback>
        </mc:AlternateContent>
      </w:r>
      <w:r>
        <w:rPr>
          <w:rFonts w:hint="default" w:ascii="Times New Roman" w:hAnsi="Times New Roman" w:eastAsia="宋体" w:cs="Times New Roman"/>
          <w:b/>
          <w:bCs/>
          <w:color w:val="auto"/>
          <w:sz w:val="24"/>
          <w:szCs w:val="24"/>
          <w:highlight w:val="none"/>
          <w:lang w:val="en-US" w:eastAsia="zh-CN"/>
        </w:rPr>
        <w:drawing>
          <wp:anchor distT="0" distB="0" distL="114300" distR="114300" simplePos="0" relativeHeight="251714560" behindDoc="0" locked="0" layoutInCell="1" allowOverlap="1">
            <wp:simplePos x="0" y="0"/>
            <wp:positionH relativeFrom="column">
              <wp:posOffset>2952750</wp:posOffset>
            </wp:positionH>
            <wp:positionV relativeFrom="paragraph">
              <wp:posOffset>2894965</wp:posOffset>
            </wp:positionV>
            <wp:extent cx="1835150" cy="1514475"/>
            <wp:effectExtent l="9525" t="9525" r="22225" b="19050"/>
            <wp:wrapNone/>
            <wp:docPr id="88" name="图片 88" descr="0a328f5a-8e97-4e05-8c8d-ab9df416a9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0a328f5a-8e97-4e05-8c8d-ab9df416a9e0"/>
                    <pic:cNvPicPr>
                      <a:picLocks noChangeAspect="1"/>
                    </pic:cNvPicPr>
                  </pic:nvPicPr>
                  <pic:blipFill>
                    <a:blip r:embed="rId37"/>
                    <a:stretch>
                      <a:fillRect/>
                    </a:stretch>
                  </pic:blipFill>
                  <pic:spPr>
                    <a:xfrm>
                      <a:off x="0" y="0"/>
                      <a:ext cx="1835150" cy="1514475"/>
                    </a:xfrm>
                    <a:prstGeom prst="rect">
                      <a:avLst/>
                    </a:prstGeom>
                    <a:ln>
                      <a:solidFill>
                        <a:schemeClr val="tx1"/>
                      </a:solidFill>
                    </a:ln>
                  </pic:spPr>
                </pic:pic>
              </a:graphicData>
            </a:graphic>
          </wp:anchor>
        </w:drawing>
      </w:r>
      <w:r>
        <w:rPr>
          <w:color w:val="auto"/>
          <w:sz w:val="21"/>
          <w:highlight w:val="none"/>
        </w:rPr>
        <mc:AlternateContent>
          <mc:Choice Requires="wps">
            <w:drawing>
              <wp:anchor distT="0" distB="0" distL="114300" distR="114300" simplePos="0" relativeHeight="251697152" behindDoc="0" locked="0" layoutInCell="1" allowOverlap="1">
                <wp:simplePos x="0" y="0"/>
                <wp:positionH relativeFrom="column">
                  <wp:posOffset>3591560</wp:posOffset>
                </wp:positionH>
                <wp:positionV relativeFrom="paragraph">
                  <wp:posOffset>1882140</wp:posOffset>
                </wp:positionV>
                <wp:extent cx="504190" cy="381635"/>
                <wp:effectExtent l="6350" t="6350" r="22860" b="12065"/>
                <wp:wrapNone/>
                <wp:docPr id="125" name="矩形 125"/>
                <wp:cNvGraphicFramePr/>
                <a:graphic xmlns:a="http://schemas.openxmlformats.org/drawingml/2006/main">
                  <a:graphicData uri="http://schemas.microsoft.com/office/word/2010/wordprocessingShape">
                    <wps:wsp>
                      <wps:cNvSpPr/>
                      <wps:spPr>
                        <a:xfrm>
                          <a:off x="3442335" y="1759585"/>
                          <a:ext cx="504190" cy="381635"/>
                        </a:xfrm>
                        <a:prstGeom prst="rect">
                          <a:avLst/>
                        </a:prstGeom>
                        <a:noFill/>
                        <a:ln w="1270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82.8pt;margin-top:148.2pt;height:30.05pt;width:39.7pt;z-index:251697152;v-text-anchor:middle;mso-width-relative:page;mso-height-relative:page;" filled="f" stroked="t" coordsize="21600,21600" o:gfxdata="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NkcxTzZAAAACwEAAA8AAAAAAAAAAQAgAAAAIgAAAGRycy9kb3ducmV2LnhtbFBL&#10;AQIUABQAAAAIAIdO4kAP4w+6ZwIAAMMEAAAOAAAAAAAAAAEAIAAAACgBAABkcnMvZTJvRG9jLnht&#10;bFBLBQYAAAAABgAGAFkBAAABBgAAAAA=&#10;">
                <v:fill on="f" focussize="0,0"/>
                <v:stroke weight="1pt" color="#000000 [3213]" joinstyle="round"/>
                <v:imagedata o:title=""/>
                <o:lock v:ext="edit" aspectratio="f"/>
              </v:rect>
            </w:pict>
          </mc:Fallback>
        </mc:AlternateContent>
      </w:r>
      <w:r>
        <w:rPr>
          <w:color w:val="auto"/>
          <w:sz w:val="21"/>
          <w:highlight w:val="none"/>
        </w:rPr>
        <mc:AlternateContent>
          <mc:Choice Requires="wps">
            <w:drawing>
              <wp:anchor distT="0" distB="0" distL="114300" distR="114300" simplePos="0" relativeHeight="251698176" behindDoc="0" locked="0" layoutInCell="1" allowOverlap="1">
                <wp:simplePos x="0" y="0"/>
                <wp:positionH relativeFrom="column">
                  <wp:posOffset>3843655</wp:posOffset>
                </wp:positionH>
                <wp:positionV relativeFrom="paragraph">
                  <wp:posOffset>2263775</wp:posOffset>
                </wp:positionV>
                <wp:extent cx="0" cy="628650"/>
                <wp:effectExtent l="57150" t="0" r="57150" b="0"/>
                <wp:wrapNone/>
                <wp:docPr id="127" name="直接箭头连接符 127"/>
                <wp:cNvGraphicFramePr/>
                <a:graphic xmlns:a="http://schemas.openxmlformats.org/drawingml/2006/main">
                  <a:graphicData uri="http://schemas.microsoft.com/office/word/2010/wordprocessingShape">
                    <wps:wsp>
                      <wps:cNvCnPr>
                        <a:stCxn id="125" idx="2"/>
                      </wps:cNvCnPr>
                      <wps:spPr>
                        <a:xfrm>
                          <a:off x="3813810" y="2445385"/>
                          <a:ext cx="0" cy="628650"/>
                        </a:xfrm>
                        <a:prstGeom prst="straightConnector1">
                          <a:avLst/>
                        </a:prstGeom>
                        <a:ln w="12700">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302.65pt;margin-top:178.25pt;height:49.5pt;width:0pt;z-index:251698176;mso-width-relative:page;mso-height-relative:page;" filled="f" stroked="t" coordsize="21600,21600" o:gfxdata="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FcQfofaAAAACwEAAA8A&#10;AAAAAAAAAQAgAAAAIgAAAGRycy9kb3ducmV2LnhtbFBLAQIUABQAAAAIAIdO4kB1hyImFQIAAP8D&#10;AAAOAAAAAAAAAAEAIAAAACkBAABkcnMvZTJvRG9jLnhtbFBLBQYAAAAABgAGAFkBAACwBQAAAAA=&#10;">
                <v:fill on="f" focussize="0,0"/>
                <v:stroke weight="1pt" color="#000000 [3213]" joinstyle="round" endarrow="open"/>
                <v:imagedata o:title=""/>
                <o:lock v:ext="edit" aspectratio="f"/>
              </v:shape>
            </w:pict>
          </mc:Fallback>
        </mc:AlternateContent>
      </w:r>
      <w:r>
        <w:rPr>
          <w:rFonts w:hint="default" w:ascii="Times New Roman" w:hAnsi="Times New Roman" w:eastAsia="宋体" w:cs="Times New Roman"/>
          <w:b/>
          <w:bCs/>
          <w:color w:val="auto"/>
          <w:sz w:val="24"/>
          <w:szCs w:val="24"/>
          <w:highlight w:val="none"/>
          <w:lang w:val="en-US" w:eastAsia="zh-CN"/>
        </w:rPr>
        <w:drawing>
          <wp:inline distT="0" distB="0" distL="114300" distR="114300">
            <wp:extent cx="7194550" cy="4839335"/>
            <wp:effectExtent l="0" t="0" r="6350" b="18415"/>
            <wp:docPr id="139" name="图片 21" descr="三线一单-图件【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21" descr="三线一单-图件【2024】"/>
                    <pic:cNvPicPr>
                      <a:picLocks noChangeAspect="1"/>
                    </pic:cNvPicPr>
                  </pic:nvPicPr>
                  <pic:blipFill>
                    <a:blip r:embed="rId38"/>
                    <a:stretch>
                      <a:fillRect/>
                    </a:stretch>
                  </pic:blipFill>
                  <pic:spPr>
                    <a:xfrm>
                      <a:off x="0" y="0"/>
                      <a:ext cx="7194550" cy="4839335"/>
                    </a:xfrm>
                    <a:prstGeom prst="rect">
                      <a:avLst/>
                    </a:prstGeom>
                    <a:noFill/>
                    <a:ln>
                      <a:noFill/>
                    </a:ln>
                  </pic:spPr>
                </pic:pic>
              </a:graphicData>
            </a:graphic>
          </wp:inline>
        </w:drawing>
      </w:r>
    </w:p>
    <w:p w14:paraId="379570B3">
      <w:pPr>
        <w:shd w:val="clear"/>
        <w:rPr>
          <w:rFonts w:hint="default" w:ascii="Times New Roman" w:hAnsi="Times New Roman" w:eastAsia="宋体" w:cs="Times New Roman"/>
          <w:b/>
          <w:bCs/>
          <w:color w:val="auto"/>
          <w:sz w:val="24"/>
          <w:szCs w:val="24"/>
          <w:highlight w:val="none"/>
          <w:lang w:val="en-US" w:eastAsia="zh-CN"/>
        </w:rPr>
      </w:pPr>
    </w:p>
    <w:p w14:paraId="295A2948">
      <w:pPr>
        <w:shd w:val="clear"/>
        <w:bidi w:val="0"/>
        <w:jc w:val="center"/>
        <w:rPr>
          <w:rFonts w:hint="default"/>
          <w:b/>
          <w:bCs/>
          <w:color w:val="auto"/>
          <w:sz w:val="36"/>
          <w:szCs w:val="36"/>
          <w:highlight w:val="none"/>
          <w:lang w:val="en-US" w:eastAsia="zh-CN"/>
        </w:rPr>
        <w:sectPr>
          <w:pgSz w:w="16838" w:h="11906" w:orient="landscape"/>
          <w:pgMar w:top="1531" w:right="1701" w:bottom="1531" w:left="1701" w:header="851" w:footer="850" w:gutter="0"/>
          <w:pgNumType w:fmt="decimal"/>
          <w:cols w:space="0" w:num="1"/>
          <w:rtlGutter w:val="0"/>
          <w:docGrid w:linePitch="312" w:charSpace="0"/>
        </w:sectPr>
      </w:pPr>
      <w:bookmarkStart w:id="21" w:name="_Toc14453"/>
      <w:r>
        <w:rPr>
          <w:rFonts w:hint="default"/>
          <w:b/>
          <w:bCs/>
          <w:color w:val="auto"/>
          <w:sz w:val="36"/>
          <w:szCs w:val="36"/>
          <w:highlight w:val="none"/>
          <w:lang w:val="en-US" w:eastAsia="zh-CN"/>
        </w:rPr>
        <w:t>附图</w:t>
      </w:r>
      <w:r>
        <w:rPr>
          <w:rFonts w:hint="eastAsia"/>
          <w:b/>
          <w:bCs/>
          <w:color w:val="auto"/>
          <w:sz w:val="36"/>
          <w:szCs w:val="36"/>
          <w:highlight w:val="none"/>
          <w:lang w:val="en-US" w:eastAsia="zh-CN"/>
        </w:rPr>
        <w:t>9</w:t>
      </w:r>
      <w:r>
        <w:rPr>
          <w:rFonts w:hint="default"/>
          <w:b/>
          <w:bCs/>
          <w:color w:val="auto"/>
          <w:sz w:val="36"/>
          <w:szCs w:val="36"/>
          <w:highlight w:val="none"/>
          <w:lang w:val="en-US" w:eastAsia="zh-CN"/>
        </w:rPr>
        <w:t>中山市环境管控单元图</w:t>
      </w:r>
      <w:bookmarkEnd w:id="21"/>
    </w:p>
    <w:p w14:paraId="5F0EBE30">
      <w:pPr>
        <w:shd w:val="clea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sz w:val="21"/>
          <w:highlight w:val="none"/>
        </w:rPr>
        <mc:AlternateContent>
          <mc:Choice Requires="wpg">
            <w:drawing>
              <wp:anchor distT="0" distB="0" distL="114300" distR="114300" simplePos="0" relativeHeight="251673600" behindDoc="0" locked="0" layoutInCell="1" allowOverlap="1">
                <wp:simplePos x="0" y="0"/>
                <wp:positionH relativeFrom="column">
                  <wp:posOffset>3050540</wp:posOffset>
                </wp:positionH>
                <wp:positionV relativeFrom="paragraph">
                  <wp:posOffset>2123440</wp:posOffset>
                </wp:positionV>
                <wp:extent cx="1083310" cy="603250"/>
                <wp:effectExtent l="0" t="0" r="0" b="0"/>
                <wp:wrapNone/>
                <wp:docPr id="80" name="组合 91"/>
                <wp:cNvGraphicFramePr/>
                <a:graphic xmlns:a="http://schemas.openxmlformats.org/drawingml/2006/main">
                  <a:graphicData uri="http://schemas.microsoft.com/office/word/2010/wordprocessingGroup">
                    <wpg:wgp>
                      <wpg:cNvGrpSpPr/>
                      <wpg:grpSpPr>
                        <a:xfrm>
                          <a:off x="0" y="0"/>
                          <a:ext cx="1083310" cy="603250"/>
                          <a:chOff x="9440" y="496529"/>
                          <a:chExt cx="1641" cy="901"/>
                        </a:xfrm>
                      </wpg:grpSpPr>
                      <wps:wsp>
                        <wps:cNvPr id="78" name="矩形标注 224"/>
                        <wps:cNvSpPr/>
                        <wps:spPr>
                          <a:xfrm>
                            <a:off x="9551" y="496529"/>
                            <a:ext cx="1531" cy="430"/>
                          </a:xfrm>
                          <a:prstGeom prst="wedgeRectCallout">
                            <a:avLst>
                              <a:gd name="adj1" fmla="val -49227"/>
                              <a:gd name="adj2" fmla="val 129148"/>
                            </a:avLst>
                          </a:prstGeom>
                          <a:solidFill>
                            <a:srgbClr val="FFFFFF"/>
                          </a:solidFill>
                          <a:ln w="9525" cap="flat" cmpd="sng">
                            <a:solidFill>
                              <a:srgbClr val="000000"/>
                            </a:solidFill>
                            <a:prstDash val="solid"/>
                            <a:miter/>
                            <a:headEnd type="none" w="med" len="med"/>
                            <a:tailEnd type="none" w="med" len="med"/>
                          </a:ln>
                        </wps:spPr>
                        <wps:txbx>
                          <w:txbxContent>
                            <w:p w14:paraId="1CE4DF06">
                              <w:pPr>
                                <w:rPr>
                                  <w:sz w:val="24"/>
                                </w:rPr>
                              </w:pPr>
                              <w:r>
                                <w:rPr>
                                  <w:rFonts w:hint="eastAsia" w:eastAsia="宋体"/>
                                  <w:sz w:val="24"/>
                                </w:rPr>
                                <w:t>项目所在地</w:t>
                              </w:r>
                            </w:p>
                          </w:txbxContent>
                        </wps:txbx>
                        <wps:bodyPr wrap="square" upright="1"/>
                      </wps:wsp>
                      <wps:wsp>
                        <wps:cNvPr id="79" name="椭圆 93"/>
                        <wps:cNvSpPr/>
                        <wps:spPr>
                          <a:xfrm>
                            <a:off x="9440" y="497290"/>
                            <a:ext cx="140" cy="140"/>
                          </a:xfrm>
                          <a:prstGeom prst="ellipse">
                            <a:avLst/>
                          </a:prstGeom>
                          <a:solidFill>
                            <a:srgbClr val="FF0000"/>
                          </a:solidFill>
                          <a:ln w="9525" cap="flat" cmpd="sng">
                            <a:solidFill>
                              <a:srgbClr val="000000"/>
                            </a:solidFill>
                            <a:prstDash val="solid"/>
                            <a:headEnd type="none" w="med" len="med"/>
                            <a:tailEnd type="none" w="med" len="med"/>
                          </a:ln>
                        </wps:spPr>
                        <wps:bodyPr wrap="square" upright="1"/>
                      </wps:wsp>
                    </wpg:wgp>
                  </a:graphicData>
                </a:graphic>
              </wp:anchor>
            </w:drawing>
          </mc:Choice>
          <mc:Fallback>
            <w:pict>
              <v:group id="组合 91" o:spid="_x0000_s1026" o:spt="203" style="position:absolute;left:0pt;margin-left:240.2pt;margin-top:167.2pt;height:47.5pt;width:85.3pt;z-index:251673600;mso-width-relative:page;mso-height-relative:page;" coordorigin="9440,496529" coordsize="1641,901" o:gfxdata="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">
                <o:lock v:ext="edit" aspectratio="f"/>
                <v:shape id="矩形标注 224" o:spid="_x0000_s1026" o:spt="61" type="#_x0000_t61" style="position:absolute;left:9551;top:496529;height:430;width:1531;" fillcolor="#FFFFFF" filled="t" stroked="t" coordsize="21600,21600" o:gfxdata="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L1w2RugAAANsA&#10;AAAPAAAAAAAAAAEAIAAAACIAAABkcnMvZG93bnJldi54bWxQSwECFAAUAAAACACHTuJAMy8FnjsA&#10;AAA5AAAAEAAAAAAAAAABACAAAAAJAQAAZHJzL3NoYXBleG1sLnhtbFBLBQYAAAAABgAGAFsBAACz&#10;AwAAAAA=&#10;" adj="167,38696">
                  <v:fill on="t" focussize="0,0"/>
                  <v:stroke color="#000000" joinstyle="miter"/>
                  <v:imagedata o:title=""/>
                  <o:lock v:ext="edit" aspectratio="f"/>
                  <v:textbox>
                    <w:txbxContent>
                      <w:p w14:paraId="1CE4DF06">
                        <w:pPr>
                          <w:rPr>
                            <w:sz w:val="24"/>
                          </w:rPr>
                        </w:pPr>
                        <w:r>
                          <w:rPr>
                            <w:rFonts w:hint="eastAsia" w:eastAsia="宋体"/>
                            <w:sz w:val="24"/>
                          </w:rPr>
                          <w:t>项目所在地</w:t>
                        </w:r>
                      </w:p>
                    </w:txbxContent>
                  </v:textbox>
                </v:shape>
                <v:shape id="椭圆 93" o:spid="_x0000_s1026" o:spt="3" type="#_x0000_t3" style="position:absolute;left:9440;top:497290;height:140;width:140;" fillcolor="#FF0000" filled="t" stroked="t" coordsize="21600,21600" o:gfxdata="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YGUhr4A&#10;AADbAAAADwAAAAAAAAABACAAAAAiAAAAZHJzL2Rvd25yZXYueG1sUEsBAhQAFAAAAAgAh07iQDMv&#10;BZ47AAAAOQAAABAAAAAAAAAAAQAgAAAADQEAAGRycy9zaGFwZXhtbC54bWxQSwUGAAAAAAYABgBb&#10;AQAAtwMAAAAA&#10;">
                  <v:fill on="t" focussize="0,0"/>
                  <v:stroke color="#000000" joinstyle="round"/>
                  <v:imagedata o:title=""/>
                  <o:lock v:ext="edit" aspectratio="f"/>
                </v:shape>
              </v:group>
            </w:pict>
          </mc:Fallback>
        </mc:AlternateContent>
      </w:r>
      <w:r>
        <w:rPr>
          <w:rFonts w:hint="default" w:ascii="Times New Roman" w:hAnsi="Times New Roman" w:eastAsia="宋体" w:cs="Times New Roman"/>
          <w:color w:val="auto"/>
          <w:highlight w:val="none"/>
          <w:lang w:val="en-US" w:eastAsia="zh-CN"/>
        </w:rPr>
        <w:drawing>
          <wp:inline distT="0" distB="0" distL="114300" distR="114300">
            <wp:extent cx="5215255" cy="7367905"/>
            <wp:effectExtent l="0" t="0" r="0" b="0"/>
            <wp:docPr id="140" name="图片 41" descr="53f9430147bed0c2091b54717b70d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41" descr="53f9430147bed0c2091b54717b70d63"/>
                    <pic:cNvPicPr>
                      <a:picLocks noChangeAspect="1"/>
                    </pic:cNvPicPr>
                  </pic:nvPicPr>
                  <pic:blipFill>
                    <a:blip r:embed="rId39"/>
                    <a:stretch>
                      <a:fillRect/>
                    </a:stretch>
                  </pic:blipFill>
                  <pic:spPr>
                    <a:xfrm>
                      <a:off x="0" y="0"/>
                      <a:ext cx="5215255" cy="7367905"/>
                    </a:xfrm>
                    <a:prstGeom prst="rect">
                      <a:avLst/>
                    </a:prstGeom>
                    <a:noFill/>
                    <a:ln>
                      <a:noFill/>
                    </a:ln>
                  </pic:spPr>
                </pic:pic>
              </a:graphicData>
            </a:graphic>
          </wp:inline>
        </w:drawing>
      </w:r>
    </w:p>
    <w:p w14:paraId="77091E58">
      <w:pPr>
        <w:shd w:val="clear"/>
        <w:jc w:val="center"/>
        <w:rPr>
          <w:rFonts w:hint="default" w:ascii="Times New Roman" w:hAnsi="Times New Roman" w:cs="Times New Roman"/>
          <w:color w:val="auto"/>
          <w:highlight w:val="none"/>
          <w:lang w:val="en-US" w:eastAsia="zh-CN"/>
        </w:rPr>
      </w:pPr>
      <w:r>
        <w:rPr>
          <w:rFonts w:hint="default"/>
          <w:b/>
          <w:bCs/>
          <w:color w:val="auto"/>
          <w:sz w:val="36"/>
          <w:szCs w:val="36"/>
          <w:highlight w:val="none"/>
          <w:lang w:val="en-US" w:eastAsia="zh-CN"/>
        </w:rPr>
        <w:t>附图1</w:t>
      </w:r>
      <w:r>
        <w:rPr>
          <w:rFonts w:hint="eastAsia"/>
          <w:b/>
          <w:bCs/>
          <w:color w:val="auto"/>
          <w:sz w:val="36"/>
          <w:szCs w:val="36"/>
          <w:highlight w:val="none"/>
          <w:lang w:val="en-US" w:eastAsia="zh-CN"/>
        </w:rPr>
        <w:t>0</w:t>
      </w:r>
      <w:r>
        <w:rPr>
          <w:rFonts w:hint="default"/>
          <w:b/>
          <w:bCs/>
          <w:color w:val="auto"/>
          <w:sz w:val="36"/>
          <w:szCs w:val="36"/>
          <w:highlight w:val="none"/>
          <w:lang w:val="en-US" w:eastAsia="zh-CN"/>
        </w:rPr>
        <w:t>中山市地下水污染防治重点区划定</w:t>
      </w:r>
    </w:p>
    <w:sectPr>
      <w:pgSz w:w="11906" w:h="16838"/>
      <w:pgMar w:top="1701" w:right="1531" w:bottom="1701" w:left="1531" w:header="851" w:footer="851" w:gutter="0"/>
      <w:pgNumType w:fmt="decimal"/>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auto"/>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等线 Light">
    <w:panose1 w:val="02010600030101010101"/>
    <w:charset w:val="86"/>
    <w:family w:val="auto"/>
    <w:pitch w:val="default"/>
    <w:sig w:usb0="A00002BF" w:usb1="38CF7CFA" w:usb2="00000016" w:usb3="00000000" w:csb0="0004000F" w:csb1="00000000"/>
  </w:font>
  <w:font w:name="MS Mincho">
    <w:altName w:val="MS UI Gothic"/>
    <w:panose1 w:val="02020609040205080304"/>
    <w:charset w:val="80"/>
    <w:family w:val="modern"/>
    <w:pitch w:val="default"/>
    <w:sig w:usb0="00000000" w:usb1="00000000" w:usb2="00000012" w:usb3="00000000" w:csb0="4002009F" w:csb1="DFD70000"/>
  </w:font>
  <w:font w:name="MS UI Gothic">
    <w:panose1 w:val="020B0600070205080204"/>
    <w:charset w:val="80"/>
    <w:family w:val="auto"/>
    <w:pitch w:val="default"/>
    <w:sig w:usb0="E00002FF" w:usb1="6AC7FDFB" w:usb2="08000012" w:usb3="00000000" w:csb0="4002009F" w:csb1="DFD70000"/>
  </w:font>
  <w:font w:name="Impact">
    <w:panose1 w:val="020B0806030902050204"/>
    <w:charset w:val="00"/>
    <w:family w:val="swiss"/>
    <w:pitch w:val="default"/>
    <w:sig w:usb0="00000287" w:usb1="00000000" w:usb2="00000000" w:usb3="00000000" w:csb0="2000009F" w:csb1="DFD70000"/>
  </w:font>
  <w:font w:name="仿宋体">
    <w:altName w:val="楷体"/>
    <w:panose1 w:val="00000000000000000000"/>
    <w:charset w:val="86"/>
    <w:family w:val="roma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楷体_GB2312">
    <w:altName w:val="楷体"/>
    <w:panose1 w:val="02010609030101010101"/>
    <w:charset w:val="86"/>
    <w:family w:val="modern"/>
    <w:pitch w:val="default"/>
    <w:sig w:usb0="00000000" w:usb1="00000000" w:usb2="00000000" w:usb3="00000000" w:csb0="00040000" w:csb1="00000000"/>
  </w:font>
  <w:font w:name="Wingdings 2">
    <w:panose1 w:val="05020102010507070707"/>
    <w:charset w:val="02"/>
    <w:family w:val="auto"/>
    <w:pitch w:val="default"/>
    <w:sig w:usb0="00000000" w:usb1="00000000" w:usb2="00000000" w:usb3="00000000" w:csb0="80000000" w:csb1="00000000"/>
  </w:font>
  <w:font w:name="TimesNewRomanPSMT">
    <w:altName w:val="Times New Roman"/>
    <w:panose1 w:val="00000000000000000000"/>
    <w:charset w:val="80"/>
    <w:family w:val="auto"/>
    <w:pitch w:val="default"/>
    <w:sig w:usb0="00000000" w:usb1="00000000" w:usb2="00000000" w:usb3="00000000" w:csb0="00020000" w:csb1="00000000"/>
  </w:font>
  <w:font w:name="微软雅黑">
    <w:panose1 w:val="020B0503020204020204"/>
    <w:charset w:val="86"/>
    <w:family w:val="auto"/>
    <w:pitch w:val="default"/>
    <w:sig w:usb0="80000287" w:usb1="2ACF3C50" w:usb2="00000016" w:usb3="00000000" w:csb0="0004001F" w:csb1="00000000"/>
  </w:font>
  <w:font w:name="Segoe UI">
    <w:panose1 w:val="020B0502040204020203"/>
    <w:charset w:val="00"/>
    <w:family w:val="auto"/>
    <w:pitch w:val="default"/>
    <w:sig w:usb0="E4002EFF" w:usb1="C000E47F" w:usb2="00000009" w:usb3="00000000" w:csb0="200001FF" w:csb1="00000000"/>
  </w:font>
  <w:font w:name="Helvetica">
    <w:altName w:val="Arial"/>
    <w:panose1 w:val="00000000000000000000"/>
    <w:charset w:val="00"/>
    <w:family w:val="auto"/>
    <w:pitch w:val="default"/>
    <w:sig w:usb0="00000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A7E720F">
    <w:pPr>
      <w:pStyle w:val="26"/>
      <w:ind w:right="360"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F55165C">
    <w:pPr>
      <w:pStyle w:val="18"/>
      <w:spacing w:before="1" w:line="166" w:lineRule="auto"/>
      <w:ind w:left="5292"/>
      <w:rPr>
        <w:sz w:val="28"/>
        <w:szCs w:val="28"/>
      </w:rPr>
    </w:pPr>
    <w:r>
      <w:rPr>
        <w:sz w:val="28"/>
      </w:rP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150" name="文本框 207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4D426D3C">
                          <w:pPr>
                            <w:pStyle w:val="26"/>
                          </w:pPr>
                          <w:r>
                            <w:fldChar w:fldCharType="begin"/>
                          </w:r>
                          <w:r>
                            <w:instrText xml:space="preserve"> PAGE  \* MERGEFORMAT </w:instrText>
                          </w:r>
                          <w:r>
                            <w:fldChar w:fldCharType="separate"/>
                          </w:r>
                          <w:r>
                            <w:t>54</w:t>
                          </w:r>
                          <w:r>
                            <w:fldChar w:fldCharType="end"/>
                          </w:r>
                        </w:p>
                      </w:txbxContent>
                    </wps:txbx>
                    <wps:bodyPr vert="horz" wrap="none" lIns="0" tIns="0" rIns="0" bIns="0" anchor="t" anchorCtr="0" upright="0">
                      <a:spAutoFit/>
                    </wps:bodyPr>
                  </wps:wsp>
                </a:graphicData>
              </a:graphic>
            </wp:anchor>
          </w:drawing>
        </mc:Choice>
        <mc:Fallback>
          <w:pict>
            <v:shape id="文本框 2076"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M6pebnPAAAABQEAAA8AAAAAAAAA&#10;AQAgAAAAIgAAAGRycy9kb3ducmV2LnhtbFBLAQIUABQAAAAIAIdO4kAPTxP74QEAAMMDAAAOAAAA&#10;AAAAAAEAIAAAAB4BAABkcnMvZTJvRG9jLnhtbFBLBQYAAAAABgAGAFkBAABxBQAAAAA=&#10;">
              <v:fill on="f" focussize="0,0"/>
              <v:stroke on="f"/>
              <v:imagedata o:title=""/>
              <o:lock v:ext="edit" aspectratio="f"/>
              <v:textbox inset="0mm,0mm,0mm,0mm" style="mso-fit-shape-to-text:t;">
                <w:txbxContent>
                  <w:p w14:paraId="4D426D3C">
                    <w:pPr>
                      <w:pStyle w:val="26"/>
                    </w:pPr>
                    <w:r>
                      <w:fldChar w:fldCharType="begin"/>
                    </w:r>
                    <w:r>
                      <w:instrText xml:space="preserve"> PAGE  \* MERGEFORMAT </w:instrText>
                    </w:r>
                    <w:r>
                      <w:fldChar w:fldCharType="separate"/>
                    </w:r>
                    <w:r>
                      <w:t>54</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358BB55">
    <w:pPr>
      <w:pStyle w:val="26"/>
      <w:framePr w:wrap="around" w:vAnchor="text" w:hAnchor="margin" w:xAlign="center" w:y="1"/>
      <w:rPr>
        <w:rStyle w:val="37"/>
      </w:rPr>
    </w:pPr>
    <w:r>
      <w:fldChar w:fldCharType="begin"/>
    </w:r>
    <w:r>
      <w:rPr>
        <w:rStyle w:val="37"/>
      </w:rPr>
      <w:instrText xml:space="preserve">PAGE  </w:instrText>
    </w:r>
    <w:r>
      <w:fldChar w:fldCharType="end"/>
    </w:r>
  </w:p>
  <w:p w14:paraId="733F1AC6">
    <w:pPr>
      <w:pStyle w:val="26"/>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6550030">
    <w:pPr>
      <w:pStyle w:val="26"/>
      <w:ind w:right="360"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FE2D9F3">
    <w:pPr>
      <w:pStyle w:val="26"/>
    </w:pPr>
    <w:r>
      <w:rPr>
        <w:sz w:val="18"/>
      </w:rPr>
      <mc:AlternateContent>
        <mc:Choice Requires="wps">
          <w:drawing>
            <wp:anchor distT="0" distB="0" distL="114300" distR="114300" simplePos="0" relativeHeight="251667456" behindDoc="0" locked="0" layoutInCell="1" allowOverlap="1">
              <wp:simplePos x="0" y="0"/>
              <wp:positionH relativeFrom="margin">
                <wp:align>center</wp:align>
              </wp:positionH>
              <wp:positionV relativeFrom="paragraph">
                <wp:posOffset>0</wp:posOffset>
              </wp:positionV>
              <wp:extent cx="1828800" cy="1828800"/>
              <wp:effectExtent l="0" t="0" r="0" b="0"/>
              <wp:wrapNone/>
              <wp:docPr id="154" name="文本框 208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4E5086E9">
                          <w:pPr>
                            <w:pStyle w:val="26"/>
                          </w:pPr>
                          <w:r>
                            <w:fldChar w:fldCharType="begin"/>
                          </w:r>
                          <w:r>
                            <w:instrText xml:space="preserve"> PAGE  \* MERGEFORMAT </w:instrText>
                          </w:r>
                          <w:r>
                            <w:fldChar w:fldCharType="separate"/>
                          </w:r>
                          <w:r>
                            <w:t>1</w:t>
                          </w:r>
                          <w:r>
                            <w:fldChar w:fldCharType="end"/>
                          </w:r>
                        </w:p>
                      </w:txbxContent>
                    </wps:txbx>
                    <wps:bodyPr vert="horz" wrap="none" lIns="0" tIns="0" rIns="0" bIns="0" anchor="t" anchorCtr="0" upright="0">
                      <a:spAutoFit/>
                    </wps:bodyPr>
                  </wps:wsp>
                </a:graphicData>
              </a:graphic>
            </wp:anchor>
          </w:drawing>
        </mc:Choice>
        <mc:Fallback>
          <w:pict>
            <v:shape id="文本框 2081" o:spid="_x0000_s1026" o:spt="202" type="#_x0000_t202" style="position:absolute;left:0pt;margin-top:0pt;height:144pt;width:144pt;mso-position-horizontal:center;mso-position-horizontal-relative:margin;mso-wrap-style:none;z-index:25166745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M6pebnPAAAABQEAAA8AAAAAAAAA&#10;AQAgAAAAIgAAAGRycy9kb3ducmV2LnhtbFBLAQIUABQAAAAIAIdO4kDr+RMz4QEAAMMDAAAOAAAA&#10;AAAAAAEAIAAAAB4BAABkcnMvZTJvRG9jLnhtbFBLBQYAAAAABgAGAFkBAABxBQAAAAA=&#10;">
              <v:fill on="f" focussize="0,0"/>
              <v:stroke on="f"/>
              <v:imagedata o:title=""/>
              <o:lock v:ext="edit" aspectratio="f"/>
              <v:textbox inset="0mm,0mm,0mm,0mm" style="mso-fit-shape-to-text:t;">
                <w:txbxContent>
                  <w:p w14:paraId="4E5086E9">
                    <w:pPr>
                      <w:pStyle w:val="26"/>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18F59BA">
    <w:pPr>
      <w:pStyle w:val="26"/>
    </w:pPr>
    <w:r>
      <w:rPr>
        <w:sz w:val="18"/>
      </w:rPr>
      <mc:AlternateContent>
        <mc:Choice Requires="wps">
          <w:drawing>
            <wp:anchor distT="0" distB="0" distL="114300" distR="114300" simplePos="0" relativeHeight="251668480" behindDoc="0" locked="0" layoutInCell="1" allowOverlap="1">
              <wp:simplePos x="0" y="0"/>
              <wp:positionH relativeFrom="margin">
                <wp:align>center</wp:align>
              </wp:positionH>
              <wp:positionV relativeFrom="paragraph">
                <wp:posOffset>0</wp:posOffset>
              </wp:positionV>
              <wp:extent cx="1828800" cy="1828800"/>
              <wp:effectExtent l="0" t="0" r="0" b="0"/>
              <wp:wrapNone/>
              <wp:docPr id="155" name="文本框 208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329C2CEF">
                          <w:pPr>
                            <w:pStyle w:val="26"/>
                          </w:pPr>
                          <w:r>
                            <w:fldChar w:fldCharType="begin"/>
                          </w:r>
                          <w:r>
                            <w:instrText xml:space="preserve"> PAGE  \* MERGEFORMAT </w:instrText>
                          </w:r>
                          <w:r>
                            <w:fldChar w:fldCharType="separate"/>
                          </w:r>
                          <w:r>
                            <w:t>2</w:t>
                          </w:r>
                          <w:r>
                            <w:fldChar w:fldCharType="end"/>
                          </w:r>
                        </w:p>
                      </w:txbxContent>
                    </wps:txbx>
                    <wps:bodyPr vert="horz" wrap="none" lIns="0" tIns="0" rIns="0" bIns="0" anchor="t" anchorCtr="0" upright="0">
                      <a:spAutoFit/>
                    </wps:bodyPr>
                  </wps:wsp>
                </a:graphicData>
              </a:graphic>
            </wp:anchor>
          </w:drawing>
        </mc:Choice>
        <mc:Fallback>
          <w:pict>
            <v:shape id="文本框 2082" o:spid="_x0000_s1026" o:spt="202" type="#_x0000_t202" style="position:absolute;left:0pt;margin-top:0pt;height:144pt;width:144pt;mso-position-horizontal:center;mso-position-horizontal-relative:margin;mso-wrap-style:none;z-index:251668480;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M6pebnPAAAABQEAAA8AAAAAAAAA&#10;AQAgAAAAIgAAAGRycy9kb3ducmV2LnhtbFBLAQIUABQAAAAIAIdO4kAsA8SL4QEAAMMDAAAOAAAA&#10;AAAAAAEAIAAAAB4BAABkcnMvZTJvRG9jLnhtbFBLBQYAAAAABgAGAFkBAABxBQAAAAA=&#10;">
              <v:fill on="f" focussize="0,0"/>
              <v:stroke on="f"/>
              <v:imagedata o:title=""/>
              <o:lock v:ext="edit" aspectratio="f"/>
              <v:textbox inset="0mm,0mm,0mm,0mm" style="mso-fit-shape-to-text:t;">
                <w:txbxContent>
                  <w:p w14:paraId="329C2CEF">
                    <w:pPr>
                      <w:pStyle w:val="26"/>
                    </w:pPr>
                    <w:r>
                      <w:fldChar w:fldCharType="begin"/>
                    </w:r>
                    <w:r>
                      <w:instrText xml:space="preserve"> PAGE  \* MERGEFORMAT </w:instrText>
                    </w:r>
                    <w:r>
                      <w:fldChar w:fldCharType="separate"/>
                    </w:r>
                    <w:r>
                      <w:t>2</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828E22">
    <w:pPr>
      <w:pStyle w:val="26"/>
      <w:ind w:right="360" w:firstLine="360"/>
      <w:jc w:val="center"/>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46" name="文本框 207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43D9B143">
                          <w:pPr>
                            <w:pStyle w:val="26"/>
                          </w:pPr>
                          <w:r>
                            <w:fldChar w:fldCharType="begin"/>
                          </w:r>
                          <w:r>
                            <w:instrText xml:space="preserve"> PAGE  \* MERGEFORMAT </w:instrText>
                          </w:r>
                          <w:r>
                            <w:fldChar w:fldCharType="separate"/>
                          </w:r>
                          <w:r>
                            <w:t>8</w:t>
                          </w:r>
                          <w:r>
                            <w:fldChar w:fldCharType="end"/>
                          </w:r>
                        </w:p>
                      </w:txbxContent>
                    </wps:txbx>
                    <wps:bodyPr vert="horz" wrap="none" lIns="0" tIns="0" rIns="0" bIns="0" anchor="t" anchorCtr="0" upright="0">
                      <a:spAutoFit/>
                    </wps:bodyPr>
                  </wps:wsp>
                </a:graphicData>
              </a:graphic>
            </wp:anchor>
          </w:drawing>
        </mc:Choice>
        <mc:Fallback>
          <w:pict>
            <v:shape id="文本框 2072"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M6pebnPAAAABQEAAA8AAAAAAAAA&#10;AQAgAAAAIgAAAGRycy9kb3ducmV2LnhtbFBLAQIUABQAAAAIAIdO4kCzktiP4QEAAMMDAAAOAAAA&#10;AAAAAAEAIAAAAB4BAABkcnMvZTJvRG9jLnhtbFBLBQYAAAAABgAGAFkBAABxBQAAAAA=&#10;">
              <v:fill on="f" focussize="0,0"/>
              <v:stroke on="f"/>
              <v:imagedata o:title=""/>
              <o:lock v:ext="edit" aspectratio="f"/>
              <v:textbox inset="0mm,0mm,0mm,0mm" style="mso-fit-shape-to-text:t;">
                <w:txbxContent>
                  <w:p w14:paraId="43D9B143">
                    <w:pPr>
                      <w:pStyle w:val="26"/>
                    </w:pPr>
                    <w:r>
                      <w:fldChar w:fldCharType="begin"/>
                    </w:r>
                    <w:r>
                      <w:instrText xml:space="preserve"> PAGE  \* MERGEFORMAT </w:instrText>
                    </w:r>
                    <w:r>
                      <w:fldChar w:fldCharType="separate"/>
                    </w:r>
                    <w:r>
                      <w:t>8</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4B38868">
    <w:pPr>
      <w:pStyle w:val="26"/>
      <w:ind w:right="360" w:firstLine="360"/>
      <w:jc w:val="center"/>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47" name="文本框 207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0A57169D">
                          <w:pPr>
                            <w:pStyle w:val="26"/>
                          </w:pPr>
                          <w:r>
                            <w:fldChar w:fldCharType="begin"/>
                          </w:r>
                          <w:r>
                            <w:instrText xml:space="preserve"> PAGE  \* MERGEFORMAT </w:instrText>
                          </w:r>
                          <w:r>
                            <w:fldChar w:fldCharType="separate"/>
                          </w:r>
                          <w:r>
                            <w:t>50</w:t>
                          </w:r>
                          <w:r>
                            <w:fldChar w:fldCharType="end"/>
                          </w:r>
                        </w:p>
                      </w:txbxContent>
                    </wps:txbx>
                    <wps:bodyPr vert="horz" wrap="none" lIns="0" tIns="0" rIns="0" bIns="0" anchor="t" anchorCtr="0" upright="0">
                      <a:spAutoFit/>
                    </wps:bodyPr>
                  </wps:wsp>
                </a:graphicData>
              </a:graphic>
            </wp:anchor>
          </w:drawing>
        </mc:Choice>
        <mc:Fallback>
          <w:pict>
            <v:shape id="文本框 2073"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DOqXm5zwAAAAUBAAAPAAAAAAAA&#10;AAEAIAAAACIAAABkcnMvZG93bnJldi54bWxQSwECFAAUAAAACACHTuJAhUPU/+IBAADDAwAADgAA&#10;AAAAAAABACAAAAAeAQAAZHJzL2Uyb0RvYy54bWxQSwUGAAAAAAYABgBZAQAAcgUAAAAA&#10;">
              <v:fill on="f" focussize="0,0"/>
              <v:stroke on="f"/>
              <v:imagedata o:title=""/>
              <o:lock v:ext="edit" aspectratio="f"/>
              <v:textbox inset="0mm,0mm,0mm,0mm" style="mso-fit-shape-to-text:t;">
                <w:txbxContent>
                  <w:p w14:paraId="0A57169D">
                    <w:pPr>
                      <w:pStyle w:val="26"/>
                    </w:pPr>
                    <w:r>
                      <w:fldChar w:fldCharType="begin"/>
                    </w:r>
                    <w:r>
                      <w:instrText xml:space="preserve"> PAGE  \* MERGEFORMAT </w:instrText>
                    </w:r>
                    <w:r>
                      <w:fldChar w:fldCharType="separate"/>
                    </w:r>
                    <w:r>
                      <w:t>50</w:t>
                    </w:r>
                    <w: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D3120A">
    <w:pPr>
      <w:pStyle w:val="26"/>
      <w:ind w:right="360" w:firstLine="360"/>
      <w:jc w:val="center"/>
    </w:pPr>
    <w:r>
      <w:rPr>
        <w:sz w:val="18"/>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148" name="文本框 207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25EFA9C7">
                          <w:pPr>
                            <w:pStyle w:val="26"/>
                          </w:pPr>
                          <w:r>
                            <w:fldChar w:fldCharType="begin"/>
                          </w:r>
                          <w:r>
                            <w:instrText xml:space="preserve"> PAGE  \* MERGEFORMAT </w:instrText>
                          </w:r>
                          <w:r>
                            <w:fldChar w:fldCharType="separate"/>
                          </w:r>
                          <w:r>
                            <w:t>51</w:t>
                          </w:r>
                          <w:r>
                            <w:fldChar w:fldCharType="end"/>
                          </w:r>
                        </w:p>
                      </w:txbxContent>
                    </wps:txbx>
                    <wps:bodyPr vert="horz" wrap="none" lIns="0" tIns="0" rIns="0" bIns="0" anchor="t" anchorCtr="0" upright="0">
                      <a:spAutoFit/>
                    </wps:bodyPr>
                  </wps:wsp>
                </a:graphicData>
              </a:graphic>
            </wp:anchor>
          </w:drawing>
        </mc:Choice>
        <mc:Fallback>
          <w:pict>
            <v:shape id="文本框 2074"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M6pebnPAAAABQEAAA8AAAAAAAAA&#10;AQAgAAAAIgAAAGRycy9kb3ducmV2LnhtbFBLAQIUABQAAAAIAIdO4kAyVInX4QEAAMMDAAAOAAAA&#10;AAAAAAEAIAAAAB4BAABkcnMvZTJvRG9jLnhtbFBLBQYAAAAABgAGAFkBAABxBQAAAAA=&#10;">
              <v:fill on="f" focussize="0,0"/>
              <v:stroke on="f"/>
              <v:imagedata o:title=""/>
              <o:lock v:ext="edit" aspectratio="f"/>
              <v:textbox inset="0mm,0mm,0mm,0mm" style="mso-fit-shape-to-text:t;">
                <w:txbxContent>
                  <w:p w14:paraId="25EFA9C7">
                    <w:pPr>
                      <w:pStyle w:val="26"/>
                    </w:pPr>
                    <w:r>
                      <w:fldChar w:fldCharType="begin"/>
                    </w:r>
                    <w:r>
                      <w:instrText xml:space="preserve"> PAGE  \* MERGEFORMAT </w:instrText>
                    </w:r>
                    <w:r>
                      <w:fldChar w:fldCharType="separate"/>
                    </w:r>
                    <w:r>
                      <w:t>51</w:t>
                    </w:r>
                    <w:r>
                      <w:fldChar w:fldCharType="end"/>
                    </w:r>
                  </w:p>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E570BD">
    <w:pPr>
      <w:pStyle w:val="18"/>
      <w:spacing w:before="1" w:line="166" w:lineRule="auto"/>
      <w:ind w:left="6071"/>
      <w:rPr>
        <w:sz w:val="28"/>
        <w:szCs w:val="28"/>
      </w:rPr>
    </w:pPr>
    <w:r>
      <w:rPr>
        <w:sz w:val="28"/>
      </w:rP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149" name="文本框 207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09363165">
                          <w:pPr>
                            <w:pStyle w:val="26"/>
                          </w:pPr>
                          <w:r>
                            <w:fldChar w:fldCharType="begin"/>
                          </w:r>
                          <w:r>
                            <w:instrText xml:space="preserve"> PAGE  \* MERGEFORMAT </w:instrText>
                          </w:r>
                          <w:r>
                            <w:fldChar w:fldCharType="separate"/>
                          </w:r>
                          <w:r>
                            <w:t>53</w:t>
                          </w:r>
                          <w:r>
                            <w:fldChar w:fldCharType="end"/>
                          </w:r>
                        </w:p>
                      </w:txbxContent>
                    </wps:txbx>
                    <wps:bodyPr vert="horz" wrap="none" lIns="0" tIns="0" rIns="0" bIns="0" anchor="t" anchorCtr="0" upright="0">
                      <a:spAutoFit/>
                    </wps:bodyPr>
                  </wps:wsp>
                </a:graphicData>
              </a:graphic>
            </wp:anchor>
          </w:drawing>
        </mc:Choice>
        <mc:Fallback>
          <w:pict>
            <v:shape id="文本框 2075"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DOqXm5zwAAAAUBAAAPAAAAAAAA&#10;AAEAIAAAACIAAABkcnMvZG93bnJldi54bWxQSwECFAAUAAAACACHTuJABIWFp+IBAADDAwAADgAA&#10;AAAAAAABACAAAAAeAQAAZHJzL2Uyb0RvYy54bWxQSwUGAAAAAAYABgBZAQAAcgUAAAAA&#10;">
              <v:fill on="f" focussize="0,0"/>
              <v:stroke on="f"/>
              <v:imagedata o:title=""/>
              <o:lock v:ext="edit" aspectratio="f"/>
              <v:textbox inset="0mm,0mm,0mm,0mm" style="mso-fit-shape-to-text:t;">
                <w:txbxContent>
                  <w:p w14:paraId="09363165">
                    <w:pPr>
                      <w:pStyle w:val="26"/>
                    </w:pPr>
                    <w:r>
                      <w:fldChar w:fldCharType="begin"/>
                    </w:r>
                    <w:r>
                      <w:instrText xml:space="preserve"> PAGE  \* MERGEFORMAT </w:instrText>
                    </w:r>
                    <w:r>
                      <w:fldChar w:fldCharType="separate"/>
                    </w:r>
                    <w:r>
                      <w:t>53</w:t>
                    </w:r>
                    <w: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D992C40"/>
    <w:multiLevelType w:val="singleLevel"/>
    <w:tmpl w:val="8D992C40"/>
    <w:lvl w:ilvl="0" w:tentative="0">
      <w:start w:val="6"/>
      <w:numFmt w:val="decimal"/>
      <w:suff w:val="nothing"/>
      <w:lvlText w:val="（%1）"/>
      <w:lvlJc w:val="left"/>
    </w:lvl>
  </w:abstractNum>
  <w:abstractNum w:abstractNumId="1">
    <w:nsid w:val="9B8D4B9E"/>
    <w:multiLevelType w:val="singleLevel"/>
    <w:tmpl w:val="9B8D4B9E"/>
    <w:lvl w:ilvl="0" w:tentative="0">
      <w:start w:val="8"/>
      <w:numFmt w:val="decimal"/>
      <w:suff w:val="nothing"/>
      <w:lvlText w:val="%1、"/>
      <w:lvlJc w:val="left"/>
    </w:lvl>
  </w:abstractNum>
  <w:abstractNum w:abstractNumId="2">
    <w:nsid w:val="A0BC0BA7"/>
    <w:multiLevelType w:val="singleLevel"/>
    <w:tmpl w:val="A0BC0BA7"/>
    <w:lvl w:ilvl="0" w:tentative="0">
      <w:start w:val="2"/>
      <w:numFmt w:val="decimal"/>
      <w:suff w:val="nothing"/>
      <w:lvlText w:val="（%1）"/>
      <w:lvlJc w:val="left"/>
    </w:lvl>
  </w:abstractNum>
  <w:abstractNum w:abstractNumId="3">
    <w:nsid w:val="C750F2FF"/>
    <w:multiLevelType w:val="singleLevel"/>
    <w:tmpl w:val="C750F2FF"/>
    <w:lvl w:ilvl="0" w:tentative="0">
      <w:start w:val="1"/>
      <w:numFmt w:val="decimal"/>
      <w:pStyle w:val="82"/>
      <w:suff w:val="nothing"/>
      <w:lvlText w:val="表%1 "/>
      <w:lvlJc w:val="left"/>
      <w:pPr>
        <w:tabs>
          <w:tab w:val="left" w:pos="0"/>
        </w:tabs>
      </w:pPr>
      <w:rPr>
        <w:rFonts w:hint="default" w:ascii="宋体" w:hAnsi="宋体" w:eastAsia="宋体" w:cs="宋体"/>
      </w:rPr>
    </w:lvl>
  </w:abstractNum>
  <w:abstractNum w:abstractNumId="4">
    <w:nsid w:val="E7A07471"/>
    <w:multiLevelType w:val="singleLevel"/>
    <w:tmpl w:val="E7A07471"/>
    <w:lvl w:ilvl="0" w:tentative="0">
      <w:start w:val="1"/>
      <w:numFmt w:val="decimal"/>
      <w:suff w:val="nothing"/>
      <w:lvlText w:val="%1、"/>
      <w:lvlJc w:val="left"/>
    </w:lvl>
  </w:abstractNum>
  <w:abstractNum w:abstractNumId="5">
    <w:nsid w:val="F7E9CDC2"/>
    <w:multiLevelType w:val="singleLevel"/>
    <w:tmpl w:val="F7E9CDC2"/>
    <w:lvl w:ilvl="0" w:tentative="0">
      <w:start w:val="2"/>
      <w:numFmt w:val="decimal"/>
      <w:suff w:val="nothing"/>
      <w:lvlText w:val="（%1）"/>
      <w:lvlJc w:val="left"/>
    </w:lvl>
  </w:abstractNum>
  <w:abstractNum w:abstractNumId="6">
    <w:nsid w:val="00000005"/>
    <w:multiLevelType w:val="multilevel"/>
    <w:tmpl w:val="00000005"/>
    <w:lvl w:ilvl="0" w:tentative="0">
      <w:start w:val="1"/>
      <w:numFmt w:val="decimal"/>
      <w:pStyle w:val="4"/>
      <w:lvlText w:val="%1."/>
      <w:lvlJc w:val="left"/>
      <w:pPr>
        <w:tabs>
          <w:tab w:val="left" w:pos="420"/>
        </w:tabs>
        <w:ind w:left="420" w:hanging="420"/>
      </w:pPr>
      <w:rPr>
        <w:rFonts w:hint="eastAsia"/>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7">
    <w:nsid w:val="08C46D79"/>
    <w:multiLevelType w:val="multilevel"/>
    <w:tmpl w:val="08C46D79"/>
    <w:lvl w:ilvl="0" w:tentative="0">
      <w:start w:val="1"/>
      <w:numFmt w:val="decimal"/>
      <w:pStyle w:val="6"/>
      <w:lvlText w:val="表%1"/>
      <w:lvlJc w:val="center"/>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8">
    <w:nsid w:val="5F68B820"/>
    <w:multiLevelType w:val="singleLevel"/>
    <w:tmpl w:val="5F68B820"/>
    <w:lvl w:ilvl="0" w:tentative="0">
      <w:start w:val="1"/>
      <w:numFmt w:val="decimal"/>
      <w:pStyle w:val="80"/>
      <w:lvlText w:val="表%1."/>
      <w:lvlJc w:val="left"/>
      <w:pPr>
        <w:tabs>
          <w:tab w:val="left" w:pos="397"/>
        </w:tabs>
        <w:ind w:left="454" w:hanging="454"/>
      </w:pPr>
      <w:rPr>
        <w:rFonts w:hint="default"/>
      </w:rPr>
    </w:lvl>
  </w:abstractNum>
  <w:abstractNum w:abstractNumId="9">
    <w:nsid w:val="7EC66276"/>
    <w:multiLevelType w:val="singleLevel"/>
    <w:tmpl w:val="7EC66276"/>
    <w:lvl w:ilvl="0" w:tentative="0">
      <w:start w:val="1"/>
      <w:numFmt w:val="bullet"/>
      <w:pStyle w:val="11"/>
      <w:lvlText w:val=""/>
      <w:lvlJc w:val="left"/>
      <w:pPr>
        <w:tabs>
          <w:tab w:val="left" w:pos="780"/>
        </w:tabs>
        <w:ind w:left="780" w:hanging="360"/>
      </w:pPr>
      <w:rPr>
        <w:rFonts w:hint="default" w:ascii="Wingdings" w:hAnsi="Wingdings"/>
      </w:rPr>
    </w:lvl>
  </w:abstractNum>
  <w:num w:numId="1">
    <w:abstractNumId w:val="6"/>
  </w:num>
  <w:num w:numId="2">
    <w:abstractNumId w:val="7"/>
  </w:num>
  <w:num w:numId="3">
    <w:abstractNumId w:val="9"/>
  </w:num>
  <w:num w:numId="4">
    <w:abstractNumId w:val="8"/>
  </w:num>
  <w:num w:numId="5">
    <w:abstractNumId w:val="3"/>
  </w:num>
  <w:num w:numId="6">
    <w:abstractNumId w:val="0"/>
  </w:num>
  <w:num w:numId="7">
    <w:abstractNumId w:val="1"/>
  </w:num>
  <w:num w:numId="8">
    <w:abstractNumId w:val="4"/>
  </w:num>
  <w:num w:numId="9">
    <w:abstractNumId w:val="2"/>
  </w:num>
  <w:num w:numId="1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8"/>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hyphenationZone w:val="360"/>
  <w:doNotHyphenateCaps/>
  <w:drawingGridVerticalSpacing w:val="156"/>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Tg3OTA1MDZkZWIzN2UwYzFlOTA0NTIwZTZlMDQ4OGEifQ=="/>
  </w:docVars>
  <w:rsids>
    <w:rsidRoot w:val="00172A27"/>
    <w:rsid w:val="000060B3"/>
    <w:rsid w:val="0004364B"/>
    <w:rsid w:val="00061B1F"/>
    <w:rsid w:val="000733C4"/>
    <w:rsid w:val="00074783"/>
    <w:rsid w:val="0008070B"/>
    <w:rsid w:val="000810AC"/>
    <w:rsid w:val="00081A02"/>
    <w:rsid w:val="00082231"/>
    <w:rsid w:val="00092D38"/>
    <w:rsid w:val="0009377B"/>
    <w:rsid w:val="000A20C9"/>
    <w:rsid w:val="000B058F"/>
    <w:rsid w:val="000B4467"/>
    <w:rsid w:val="000B4DB9"/>
    <w:rsid w:val="000C09AC"/>
    <w:rsid w:val="000C767F"/>
    <w:rsid w:val="000D5A44"/>
    <w:rsid w:val="000E3ED2"/>
    <w:rsid w:val="00107350"/>
    <w:rsid w:val="00131F42"/>
    <w:rsid w:val="001357F1"/>
    <w:rsid w:val="00140FA8"/>
    <w:rsid w:val="00142FEB"/>
    <w:rsid w:val="00143A2D"/>
    <w:rsid w:val="00145A41"/>
    <w:rsid w:val="00151675"/>
    <w:rsid w:val="00157435"/>
    <w:rsid w:val="0017504D"/>
    <w:rsid w:val="0017671A"/>
    <w:rsid w:val="00177422"/>
    <w:rsid w:val="00184590"/>
    <w:rsid w:val="001870D1"/>
    <w:rsid w:val="0018781E"/>
    <w:rsid w:val="0019262D"/>
    <w:rsid w:val="001A1B35"/>
    <w:rsid w:val="001A48A2"/>
    <w:rsid w:val="001A6F61"/>
    <w:rsid w:val="001B72B8"/>
    <w:rsid w:val="001C69B3"/>
    <w:rsid w:val="001D5595"/>
    <w:rsid w:val="001D7874"/>
    <w:rsid w:val="001D7F22"/>
    <w:rsid w:val="001F0F17"/>
    <w:rsid w:val="001F3347"/>
    <w:rsid w:val="001F69E4"/>
    <w:rsid w:val="002125B4"/>
    <w:rsid w:val="002155B8"/>
    <w:rsid w:val="00224839"/>
    <w:rsid w:val="002249B2"/>
    <w:rsid w:val="00226574"/>
    <w:rsid w:val="002278EC"/>
    <w:rsid w:val="0023280E"/>
    <w:rsid w:val="002377D1"/>
    <w:rsid w:val="002506BC"/>
    <w:rsid w:val="00254345"/>
    <w:rsid w:val="00264557"/>
    <w:rsid w:val="002805AB"/>
    <w:rsid w:val="00284204"/>
    <w:rsid w:val="00291773"/>
    <w:rsid w:val="002A168C"/>
    <w:rsid w:val="002A3DC7"/>
    <w:rsid w:val="002B49E2"/>
    <w:rsid w:val="002B7B00"/>
    <w:rsid w:val="002B7C44"/>
    <w:rsid w:val="002C2B17"/>
    <w:rsid w:val="002D3DD0"/>
    <w:rsid w:val="002E1F3A"/>
    <w:rsid w:val="002E298A"/>
    <w:rsid w:val="00301978"/>
    <w:rsid w:val="0030332C"/>
    <w:rsid w:val="003051C2"/>
    <w:rsid w:val="00312296"/>
    <w:rsid w:val="00314F0E"/>
    <w:rsid w:val="00321D8E"/>
    <w:rsid w:val="00325928"/>
    <w:rsid w:val="00332863"/>
    <w:rsid w:val="0033684D"/>
    <w:rsid w:val="00337B42"/>
    <w:rsid w:val="00341B42"/>
    <w:rsid w:val="0034348F"/>
    <w:rsid w:val="00345E1B"/>
    <w:rsid w:val="00356653"/>
    <w:rsid w:val="0035743F"/>
    <w:rsid w:val="00357BE2"/>
    <w:rsid w:val="0036170C"/>
    <w:rsid w:val="00366E0F"/>
    <w:rsid w:val="00381A72"/>
    <w:rsid w:val="00384676"/>
    <w:rsid w:val="00390857"/>
    <w:rsid w:val="003A4BF3"/>
    <w:rsid w:val="003B420D"/>
    <w:rsid w:val="003C6C16"/>
    <w:rsid w:val="003D794D"/>
    <w:rsid w:val="003E3058"/>
    <w:rsid w:val="003E76A9"/>
    <w:rsid w:val="003F0809"/>
    <w:rsid w:val="003F6A8C"/>
    <w:rsid w:val="003F755C"/>
    <w:rsid w:val="00406F01"/>
    <w:rsid w:val="00416D50"/>
    <w:rsid w:val="00416FD5"/>
    <w:rsid w:val="00417772"/>
    <w:rsid w:val="00420E6A"/>
    <w:rsid w:val="00425A9E"/>
    <w:rsid w:val="00426D6B"/>
    <w:rsid w:val="00431E6C"/>
    <w:rsid w:val="00433CE7"/>
    <w:rsid w:val="00452738"/>
    <w:rsid w:val="00456091"/>
    <w:rsid w:val="00466321"/>
    <w:rsid w:val="00484B9B"/>
    <w:rsid w:val="004855F6"/>
    <w:rsid w:val="0048661E"/>
    <w:rsid w:val="00494670"/>
    <w:rsid w:val="004A3823"/>
    <w:rsid w:val="004B14E5"/>
    <w:rsid w:val="004E6946"/>
    <w:rsid w:val="004F1AD8"/>
    <w:rsid w:val="005039CB"/>
    <w:rsid w:val="0050558F"/>
    <w:rsid w:val="00506286"/>
    <w:rsid w:val="00510813"/>
    <w:rsid w:val="00511990"/>
    <w:rsid w:val="00511DE0"/>
    <w:rsid w:val="00514870"/>
    <w:rsid w:val="00514B9B"/>
    <w:rsid w:val="00517F02"/>
    <w:rsid w:val="00524303"/>
    <w:rsid w:val="005258A2"/>
    <w:rsid w:val="005401AE"/>
    <w:rsid w:val="00542E07"/>
    <w:rsid w:val="00545424"/>
    <w:rsid w:val="00554A7B"/>
    <w:rsid w:val="0055572C"/>
    <w:rsid w:val="0056106A"/>
    <w:rsid w:val="005720AE"/>
    <w:rsid w:val="00594D77"/>
    <w:rsid w:val="005969E4"/>
    <w:rsid w:val="005A06B7"/>
    <w:rsid w:val="005A1759"/>
    <w:rsid w:val="005A68A7"/>
    <w:rsid w:val="005D36AB"/>
    <w:rsid w:val="00617CC3"/>
    <w:rsid w:val="006377A6"/>
    <w:rsid w:val="00637A3D"/>
    <w:rsid w:val="006411EF"/>
    <w:rsid w:val="006748B8"/>
    <w:rsid w:val="006775C3"/>
    <w:rsid w:val="0069290A"/>
    <w:rsid w:val="0069775A"/>
    <w:rsid w:val="00697813"/>
    <w:rsid w:val="006A3EE8"/>
    <w:rsid w:val="006A72BF"/>
    <w:rsid w:val="006B03F2"/>
    <w:rsid w:val="006B37DC"/>
    <w:rsid w:val="006B4F68"/>
    <w:rsid w:val="006C0592"/>
    <w:rsid w:val="006C272E"/>
    <w:rsid w:val="006C5479"/>
    <w:rsid w:val="006D13B5"/>
    <w:rsid w:val="006E12FF"/>
    <w:rsid w:val="006E607E"/>
    <w:rsid w:val="00706C5D"/>
    <w:rsid w:val="00732922"/>
    <w:rsid w:val="0075162E"/>
    <w:rsid w:val="00754034"/>
    <w:rsid w:val="00756556"/>
    <w:rsid w:val="007618C4"/>
    <w:rsid w:val="00767980"/>
    <w:rsid w:val="00770B19"/>
    <w:rsid w:val="0077463F"/>
    <w:rsid w:val="007836EA"/>
    <w:rsid w:val="00784CDA"/>
    <w:rsid w:val="007906C4"/>
    <w:rsid w:val="007940EA"/>
    <w:rsid w:val="007967E8"/>
    <w:rsid w:val="007A2170"/>
    <w:rsid w:val="007A22BF"/>
    <w:rsid w:val="007A3323"/>
    <w:rsid w:val="007B72B8"/>
    <w:rsid w:val="007B7A58"/>
    <w:rsid w:val="007C21B5"/>
    <w:rsid w:val="007D5638"/>
    <w:rsid w:val="007E4BD2"/>
    <w:rsid w:val="00801393"/>
    <w:rsid w:val="00802F88"/>
    <w:rsid w:val="0081293E"/>
    <w:rsid w:val="00815465"/>
    <w:rsid w:val="00817E9A"/>
    <w:rsid w:val="008306BD"/>
    <w:rsid w:val="00831A80"/>
    <w:rsid w:val="00833743"/>
    <w:rsid w:val="008340A4"/>
    <w:rsid w:val="0087135F"/>
    <w:rsid w:val="00872D94"/>
    <w:rsid w:val="00880364"/>
    <w:rsid w:val="00891592"/>
    <w:rsid w:val="00891E9E"/>
    <w:rsid w:val="008A2F68"/>
    <w:rsid w:val="008B4FA6"/>
    <w:rsid w:val="008B5282"/>
    <w:rsid w:val="008B7C17"/>
    <w:rsid w:val="008C2D01"/>
    <w:rsid w:val="008C40E6"/>
    <w:rsid w:val="008D0F7A"/>
    <w:rsid w:val="008D68E4"/>
    <w:rsid w:val="008E0506"/>
    <w:rsid w:val="008E0CFF"/>
    <w:rsid w:val="008E5D6B"/>
    <w:rsid w:val="008E76F0"/>
    <w:rsid w:val="008F15FE"/>
    <w:rsid w:val="008F2D29"/>
    <w:rsid w:val="008F5187"/>
    <w:rsid w:val="008F60D8"/>
    <w:rsid w:val="00902727"/>
    <w:rsid w:val="0090312B"/>
    <w:rsid w:val="0091736D"/>
    <w:rsid w:val="0093037A"/>
    <w:rsid w:val="0094154D"/>
    <w:rsid w:val="0095155F"/>
    <w:rsid w:val="00954429"/>
    <w:rsid w:val="009563CE"/>
    <w:rsid w:val="00976328"/>
    <w:rsid w:val="0097680D"/>
    <w:rsid w:val="00982438"/>
    <w:rsid w:val="0098404C"/>
    <w:rsid w:val="00985283"/>
    <w:rsid w:val="00995992"/>
    <w:rsid w:val="009A03E5"/>
    <w:rsid w:val="009A0F3B"/>
    <w:rsid w:val="009A1BB4"/>
    <w:rsid w:val="009A2628"/>
    <w:rsid w:val="009A3200"/>
    <w:rsid w:val="009B0897"/>
    <w:rsid w:val="009B7BD9"/>
    <w:rsid w:val="009C7DD5"/>
    <w:rsid w:val="009E227D"/>
    <w:rsid w:val="009E5019"/>
    <w:rsid w:val="00A04F1B"/>
    <w:rsid w:val="00A0501B"/>
    <w:rsid w:val="00A14947"/>
    <w:rsid w:val="00A32A83"/>
    <w:rsid w:val="00A368DB"/>
    <w:rsid w:val="00A423AA"/>
    <w:rsid w:val="00A53EC6"/>
    <w:rsid w:val="00A55C0F"/>
    <w:rsid w:val="00A8713F"/>
    <w:rsid w:val="00A90BA1"/>
    <w:rsid w:val="00A97A9A"/>
    <w:rsid w:val="00AA0671"/>
    <w:rsid w:val="00AA2531"/>
    <w:rsid w:val="00AB1E09"/>
    <w:rsid w:val="00AB5330"/>
    <w:rsid w:val="00AB7747"/>
    <w:rsid w:val="00AC14CE"/>
    <w:rsid w:val="00AC2A56"/>
    <w:rsid w:val="00AD055E"/>
    <w:rsid w:val="00AD47A7"/>
    <w:rsid w:val="00AE30B0"/>
    <w:rsid w:val="00AF0CBF"/>
    <w:rsid w:val="00AF257F"/>
    <w:rsid w:val="00AF33CF"/>
    <w:rsid w:val="00AF4D50"/>
    <w:rsid w:val="00AF6179"/>
    <w:rsid w:val="00B1295A"/>
    <w:rsid w:val="00B20A45"/>
    <w:rsid w:val="00B22C5C"/>
    <w:rsid w:val="00B24F30"/>
    <w:rsid w:val="00B31ABF"/>
    <w:rsid w:val="00B33BE3"/>
    <w:rsid w:val="00B53B5D"/>
    <w:rsid w:val="00B6055E"/>
    <w:rsid w:val="00B6317D"/>
    <w:rsid w:val="00B7723F"/>
    <w:rsid w:val="00B80534"/>
    <w:rsid w:val="00B8433C"/>
    <w:rsid w:val="00B87491"/>
    <w:rsid w:val="00BA29E9"/>
    <w:rsid w:val="00BA2F60"/>
    <w:rsid w:val="00BA7142"/>
    <w:rsid w:val="00BB237C"/>
    <w:rsid w:val="00BB41A3"/>
    <w:rsid w:val="00BC32DC"/>
    <w:rsid w:val="00BC35B6"/>
    <w:rsid w:val="00BD1B51"/>
    <w:rsid w:val="00BD4596"/>
    <w:rsid w:val="00BE1405"/>
    <w:rsid w:val="00BE312D"/>
    <w:rsid w:val="00BF1C20"/>
    <w:rsid w:val="00C10578"/>
    <w:rsid w:val="00C135BC"/>
    <w:rsid w:val="00C15C95"/>
    <w:rsid w:val="00C1710E"/>
    <w:rsid w:val="00C2596A"/>
    <w:rsid w:val="00C27537"/>
    <w:rsid w:val="00C328FE"/>
    <w:rsid w:val="00C33507"/>
    <w:rsid w:val="00C4409D"/>
    <w:rsid w:val="00C44E72"/>
    <w:rsid w:val="00C45A06"/>
    <w:rsid w:val="00C47E5B"/>
    <w:rsid w:val="00C61E4B"/>
    <w:rsid w:val="00C64BFF"/>
    <w:rsid w:val="00C704E9"/>
    <w:rsid w:val="00C763C9"/>
    <w:rsid w:val="00C80057"/>
    <w:rsid w:val="00C82232"/>
    <w:rsid w:val="00C82913"/>
    <w:rsid w:val="00C972B1"/>
    <w:rsid w:val="00CA2CCE"/>
    <w:rsid w:val="00CA43FD"/>
    <w:rsid w:val="00CA7EF8"/>
    <w:rsid w:val="00CC489B"/>
    <w:rsid w:val="00CD2BCD"/>
    <w:rsid w:val="00CD3A4C"/>
    <w:rsid w:val="00CE10E9"/>
    <w:rsid w:val="00CE2910"/>
    <w:rsid w:val="00CE5393"/>
    <w:rsid w:val="00CF36BE"/>
    <w:rsid w:val="00CF6000"/>
    <w:rsid w:val="00D003F3"/>
    <w:rsid w:val="00D0364F"/>
    <w:rsid w:val="00D06834"/>
    <w:rsid w:val="00D308ED"/>
    <w:rsid w:val="00D36D86"/>
    <w:rsid w:val="00D428AA"/>
    <w:rsid w:val="00D50A34"/>
    <w:rsid w:val="00D53EFA"/>
    <w:rsid w:val="00D94A7C"/>
    <w:rsid w:val="00D95896"/>
    <w:rsid w:val="00DB2983"/>
    <w:rsid w:val="00DC1257"/>
    <w:rsid w:val="00DC3DC0"/>
    <w:rsid w:val="00DC5B2B"/>
    <w:rsid w:val="00DD318D"/>
    <w:rsid w:val="00DF2E12"/>
    <w:rsid w:val="00DF514A"/>
    <w:rsid w:val="00DF6690"/>
    <w:rsid w:val="00DF6804"/>
    <w:rsid w:val="00E0358D"/>
    <w:rsid w:val="00E04323"/>
    <w:rsid w:val="00E070A2"/>
    <w:rsid w:val="00E2656A"/>
    <w:rsid w:val="00E30FAC"/>
    <w:rsid w:val="00E412D0"/>
    <w:rsid w:val="00E56322"/>
    <w:rsid w:val="00E60982"/>
    <w:rsid w:val="00E62C62"/>
    <w:rsid w:val="00E654C1"/>
    <w:rsid w:val="00E65D97"/>
    <w:rsid w:val="00E72A5A"/>
    <w:rsid w:val="00E73354"/>
    <w:rsid w:val="00E9242D"/>
    <w:rsid w:val="00EB5255"/>
    <w:rsid w:val="00EB5C47"/>
    <w:rsid w:val="00ED0639"/>
    <w:rsid w:val="00EF4755"/>
    <w:rsid w:val="00EF7135"/>
    <w:rsid w:val="00F027DB"/>
    <w:rsid w:val="00F14A7A"/>
    <w:rsid w:val="00F22985"/>
    <w:rsid w:val="00F3383E"/>
    <w:rsid w:val="00F465A7"/>
    <w:rsid w:val="00F50B7C"/>
    <w:rsid w:val="00F550E6"/>
    <w:rsid w:val="00F74345"/>
    <w:rsid w:val="00F80A0A"/>
    <w:rsid w:val="00F82B19"/>
    <w:rsid w:val="00F9212D"/>
    <w:rsid w:val="00F965DA"/>
    <w:rsid w:val="00FA406A"/>
    <w:rsid w:val="00FB503A"/>
    <w:rsid w:val="00FB516C"/>
    <w:rsid w:val="00FD0236"/>
    <w:rsid w:val="00FD18F4"/>
    <w:rsid w:val="00FD54DB"/>
    <w:rsid w:val="00FD619F"/>
    <w:rsid w:val="01082FC2"/>
    <w:rsid w:val="01290F7E"/>
    <w:rsid w:val="015D1E09"/>
    <w:rsid w:val="01700AE3"/>
    <w:rsid w:val="018B1DB6"/>
    <w:rsid w:val="01B36BD0"/>
    <w:rsid w:val="01EB0C8D"/>
    <w:rsid w:val="01F30330"/>
    <w:rsid w:val="02427F54"/>
    <w:rsid w:val="02697903"/>
    <w:rsid w:val="02BA52C5"/>
    <w:rsid w:val="02BC3862"/>
    <w:rsid w:val="02F96569"/>
    <w:rsid w:val="0301396B"/>
    <w:rsid w:val="032D29B2"/>
    <w:rsid w:val="03425C39"/>
    <w:rsid w:val="03B76828"/>
    <w:rsid w:val="03BC3BDC"/>
    <w:rsid w:val="03BD5AE4"/>
    <w:rsid w:val="03D248F1"/>
    <w:rsid w:val="03EA7B21"/>
    <w:rsid w:val="0453373C"/>
    <w:rsid w:val="045A1585"/>
    <w:rsid w:val="04A0038C"/>
    <w:rsid w:val="04DC643E"/>
    <w:rsid w:val="050339CA"/>
    <w:rsid w:val="051C2CDE"/>
    <w:rsid w:val="053578FC"/>
    <w:rsid w:val="059960DD"/>
    <w:rsid w:val="05C0366A"/>
    <w:rsid w:val="05D2339D"/>
    <w:rsid w:val="05F11B00"/>
    <w:rsid w:val="05F83EAE"/>
    <w:rsid w:val="063858F6"/>
    <w:rsid w:val="063E7D85"/>
    <w:rsid w:val="06823015"/>
    <w:rsid w:val="06BD5DFB"/>
    <w:rsid w:val="071A324D"/>
    <w:rsid w:val="07293586"/>
    <w:rsid w:val="07295285"/>
    <w:rsid w:val="0744651C"/>
    <w:rsid w:val="07636392"/>
    <w:rsid w:val="07770C56"/>
    <w:rsid w:val="077E0AE9"/>
    <w:rsid w:val="0802440D"/>
    <w:rsid w:val="08326375"/>
    <w:rsid w:val="083B791F"/>
    <w:rsid w:val="08473E9E"/>
    <w:rsid w:val="084F5624"/>
    <w:rsid w:val="08E2550B"/>
    <w:rsid w:val="08E50D18"/>
    <w:rsid w:val="08FD2E27"/>
    <w:rsid w:val="092217DD"/>
    <w:rsid w:val="092F6EDF"/>
    <w:rsid w:val="093A7294"/>
    <w:rsid w:val="0973691C"/>
    <w:rsid w:val="09A70D4C"/>
    <w:rsid w:val="09CA2D09"/>
    <w:rsid w:val="0A054A20"/>
    <w:rsid w:val="0A263993"/>
    <w:rsid w:val="0A2D3AC2"/>
    <w:rsid w:val="0A6A6F11"/>
    <w:rsid w:val="0AA755DF"/>
    <w:rsid w:val="0AC91212"/>
    <w:rsid w:val="0AD06E5C"/>
    <w:rsid w:val="0AF338CE"/>
    <w:rsid w:val="0B120D44"/>
    <w:rsid w:val="0B3B07CF"/>
    <w:rsid w:val="0B4E1717"/>
    <w:rsid w:val="0B6D532E"/>
    <w:rsid w:val="0B700C87"/>
    <w:rsid w:val="0B8E26D6"/>
    <w:rsid w:val="0BC62CE6"/>
    <w:rsid w:val="0BD27BF6"/>
    <w:rsid w:val="0BFE4EEC"/>
    <w:rsid w:val="0C12796D"/>
    <w:rsid w:val="0C307DB2"/>
    <w:rsid w:val="0C3B3C7D"/>
    <w:rsid w:val="0C8B26CC"/>
    <w:rsid w:val="0CA57A5D"/>
    <w:rsid w:val="0CAB2EAE"/>
    <w:rsid w:val="0CE916F8"/>
    <w:rsid w:val="0D2901B0"/>
    <w:rsid w:val="0D3D1A44"/>
    <w:rsid w:val="0D524E83"/>
    <w:rsid w:val="0D621C7D"/>
    <w:rsid w:val="0D7731A8"/>
    <w:rsid w:val="0D8A1024"/>
    <w:rsid w:val="0DAD12E9"/>
    <w:rsid w:val="0E0F40AE"/>
    <w:rsid w:val="0E397F28"/>
    <w:rsid w:val="0E3B58C3"/>
    <w:rsid w:val="0E3E5A73"/>
    <w:rsid w:val="0E6A6868"/>
    <w:rsid w:val="0E73034D"/>
    <w:rsid w:val="0EA93835"/>
    <w:rsid w:val="0ED5058D"/>
    <w:rsid w:val="0EF13142"/>
    <w:rsid w:val="0F13775A"/>
    <w:rsid w:val="0F5F45FE"/>
    <w:rsid w:val="0F955B67"/>
    <w:rsid w:val="0F9A112B"/>
    <w:rsid w:val="0F9A4F2B"/>
    <w:rsid w:val="0FB35FED"/>
    <w:rsid w:val="0FD50659"/>
    <w:rsid w:val="10173C40"/>
    <w:rsid w:val="105742FD"/>
    <w:rsid w:val="106D2F64"/>
    <w:rsid w:val="106E1DC1"/>
    <w:rsid w:val="107437F2"/>
    <w:rsid w:val="10872705"/>
    <w:rsid w:val="109202F8"/>
    <w:rsid w:val="10945E1E"/>
    <w:rsid w:val="10B63710"/>
    <w:rsid w:val="10F10820"/>
    <w:rsid w:val="11034D52"/>
    <w:rsid w:val="111C2F7A"/>
    <w:rsid w:val="115E01DA"/>
    <w:rsid w:val="11665CA1"/>
    <w:rsid w:val="116C0B49"/>
    <w:rsid w:val="1175709E"/>
    <w:rsid w:val="11826EDE"/>
    <w:rsid w:val="11BF451F"/>
    <w:rsid w:val="11DB2B2B"/>
    <w:rsid w:val="12266F4A"/>
    <w:rsid w:val="122F5144"/>
    <w:rsid w:val="123A519F"/>
    <w:rsid w:val="127E0301"/>
    <w:rsid w:val="12803460"/>
    <w:rsid w:val="1288061D"/>
    <w:rsid w:val="12A260FD"/>
    <w:rsid w:val="133C0363"/>
    <w:rsid w:val="13951726"/>
    <w:rsid w:val="13BC69D1"/>
    <w:rsid w:val="13D824C6"/>
    <w:rsid w:val="1428639F"/>
    <w:rsid w:val="14396509"/>
    <w:rsid w:val="14611DEA"/>
    <w:rsid w:val="14771CDF"/>
    <w:rsid w:val="14DD2C3C"/>
    <w:rsid w:val="151876AE"/>
    <w:rsid w:val="154A0419"/>
    <w:rsid w:val="159831AC"/>
    <w:rsid w:val="15ED1BF5"/>
    <w:rsid w:val="16087E1D"/>
    <w:rsid w:val="1643269A"/>
    <w:rsid w:val="1695329D"/>
    <w:rsid w:val="16B0772A"/>
    <w:rsid w:val="16CA2137"/>
    <w:rsid w:val="16D36F75"/>
    <w:rsid w:val="16FD70D9"/>
    <w:rsid w:val="170B68AC"/>
    <w:rsid w:val="170C2C06"/>
    <w:rsid w:val="17701D14"/>
    <w:rsid w:val="17735226"/>
    <w:rsid w:val="17BB0135"/>
    <w:rsid w:val="17BB6387"/>
    <w:rsid w:val="17BF0CD3"/>
    <w:rsid w:val="17CB5188"/>
    <w:rsid w:val="17CD749A"/>
    <w:rsid w:val="17D47448"/>
    <w:rsid w:val="17F7309F"/>
    <w:rsid w:val="181F6915"/>
    <w:rsid w:val="18351C95"/>
    <w:rsid w:val="1836159F"/>
    <w:rsid w:val="188E75F7"/>
    <w:rsid w:val="189F624C"/>
    <w:rsid w:val="19323813"/>
    <w:rsid w:val="193F08F1"/>
    <w:rsid w:val="196C1A2A"/>
    <w:rsid w:val="196F7429"/>
    <w:rsid w:val="19B117EF"/>
    <w:rsid w:val="19C534ED"/>
    <w:rsid w:val="19C73D9C"/>
    <w:rsid w:val="19E5593D"/>
    <w:rsid w:val="1A1C66C0"/>
    <w:rsid w:val="1A2C531A"/>
    <w:rsid w:val="1A42393B"/>
    <w:rsid w:val="1A4A39F2"/>
    <w:rsid w:val="1A88327D"/>
    <w:rsid w:val="1AAD45DE"/>
    <w:rsid w:val="1B046F80"/>
    <w:rsid w:val="1B09565B"/>
    <w:rsid w:val="1B1B7066"/>
    <w:rsid w:val="1B3267B5"/>
    <w:rsid w:val="1B40161D"/>
    <w:rsid w:val="1B441859"/>
    <w:rsid w:val="1B59213E"/>
    <w:rsid w:val="1B6606B1"/>
    <w:rsid w:val="1B7A16F6"/>
    <w:rsid w:val="1BDB2542"/>
    <w:rsid w:val="1C107CB5"/>
    <w:rsid w:val="1C34700D"/>
    <w:rsid w:val="1C4D015E"/>
    <w:rsid w:val="1C5E7925"/>
    <w:rsid w:val="1C9571A6"/>
    <w:rsid w:val="1CC21F65"/>
    <w:rsid w:val="1CFD070F"/>
    <w:rsid w:val="1D0929C7"/>
    <w:rsid w:val="1D2B4787"/>
    <w:rsid w:val="1D5B3883"/>
    <w:rsid w:val="1D5C7CC4"/>
    <w:rsid w:val="1D5F6196"/>
    <w:rsid w:val="1D6132A5"/>
    <w:rsid w:val="1D7E40DE"/>
    <w:rsid w:val="1D8346DA"/>
    <w:rsid w:val="1D8E56D5"/>
    <w:rsid w:val="1D945571"/>
    <w:rsid w:val="1D9F677B"/>
    <w:rsid w:val="1E0231AE"/>
    <w:rsid w:val="1E127BE4"/>
    <w:rsid w:val="1E1467F1"/>
    <w:rsid w:val="1E5849BE"/>
    <w:rsid w:val="1E7A43DA"/>
    <w:rsid w:val="1E862121"/>
    <w:rsid w:val="1EAF02C7"/>
    <w:rsid w:val="1EC064FD"/>
    <w:rsid w:val="1EEF6A9A"/>
    <w:rsid w:val="1F02489B"/>
    <w:rsid w:val="1F486752"/>
    <w:rsid w:val="1F6551A0"/>
    <w:rsid w:val="1F6D440A"/>
    <w:rsid w:val="1F6F0182"/>
    <w:rsid w:val="1F8E59B8"/>
    <w:rsid w:val="1F925218"/>
    <w:rsid w:val="1FA81C3B"/>
    <w:rsid w:val="1FCE3F40"/>
    <w:rsid w:val="1FE7539E"/>
    <w:rsid w:val="205D447F"/>
    <w:rsid w:val="20671BE0"/>
    <w:rsid w:val="20963CB8"/>
    <w:rsid w:val="20A81A1B"/>
    <w:rsid w:val="20AF0D9B"/>
    <w:rsid w:val="20B07FB6"/>
    <w:rsid w:val="20B646FB"/>
    <w:rsid w:val="20BD4F1E"/>
    <w:rsid w:val="211C60E8"/>
    <w:rsid w:val="21293519"/>
    <w:rsid w:val="213B74B1"/>
    <w:rsid w:val="214B7CC7"/>
    <w:rsid w:val="215A2310"/>
    <w:rsid w:val="21674E89"/>
    <w:rsid w:val="21D20555"/>
    <w:rsid w:val="21DE318A"/>
    <w:rsid w:val="21EF5B80"/>
    <w:rsid w:val="21FC3824"/>
    <w:rsid w:val="22576990"/>
    <w:rsid w:val="225B49EE"/>
    <w:rsid w:val="22CE76CE"/>
    <w:rsid w:val="22F47480"/>
    <w:rsid w:val="236C6787"/>
    <w:rsid w:val="239537F5"/>
    <w:rsid w:val="23DE1C48"/>
    <w:rsid w:val="240210CD"/>
    <w:rsid w:val="242552B4"/>
    <w:rsid w:val="24294678"/>
    <w:rsid w:val="245051B0"/>
    <w:rsid w:val="245501AD"/>
    <w:rsid w:val="24572958"/>
    <w:rsid w:val="246102B6"/>
    <w:rsid w:val="246A1AE5"/>
    <w:rsid w:val="24BF09F7"/>
    <w:rsid w:val="24CC3981"/>
    <w:rsid w:val="24FD3B3B"/>
    <w:rsid w:val="252D53FE"/>
    <w:rsid w:val="255C0E70"/>
    <w:rsid w:val="2566429C"/>
    <w:rsid w:val="25933680"/>
    <w:rsid w:val="25A77F4A"/>
    <w:rsid w:val="25BF34E6"/>
    <w:rsid w:val="25EC2D81"/>
    <w:rsid w:val="25F16507"/>
    <w:rsid w:val="260929B3"/>
    <w:rsid w:val="26504B30"/>
    <w:rsid w:val="26591245"/>
    <w:rsid w:val="265B4E97"/>
    <w:rsid w:val="26984609"/>
    <w:rsid w:val="26F9507E"/>
    <w:rsid w:val="27052670"/>
    <w:rsid w:val="270E63AA"/>
    <w:rsid w:val="27515C03"/>
    <w:rsid w:val="277057A2"/>
    <w:rsid w:val="27977369"/>
    <w:rsid w:val="28383783"/>
    <w:rsid w:val="28461C9C"/>
    <w:rsid w:val="287F0D0A"/>
    <w:rsid w:val="28B10251"/>
    <w:rsid w:val="28C64EFF"/>
    <w:rsid w:val="29206EB8"/>
    <w:rsid w:val="294F692F"/>
    <w:rsid w:val="29593D24"/>
    <w:rsid w:val="29595666"/>
    <w:rsid w:val="29874881"/>
    <w:rsid w:val="299407E6"/>
    <w:rsid w:val="29BB2216"/>
    <w:rsid w:val="29E325E0"/>
    <w:rsid w:val="2A452503"/>
    <w:rsid w:val="2AA62BC6"/>
    <w:rsid w:val="2B116592"/>
    <w:rsid w:val="2B182D4E"/>
    <w:rsid w:val="2B285689"/>
    <w:rsid w:val="2B565033"/>
    <w:rsid w:val="2B606BD1"/>
    <w:rsid w:val="2B65068C"/>
    <w:rsid w:val="2BA936A8"/>
    <w:rsid w:val="2BBD2276"/>
    <w:rsid w:val="2BE94E19"/>
    <w:rsid w:val="2C2A53A1"/>
    <w:rsid w:val="2C315A5A"/>
    <w:rsid w:val="2C40598D"/>
    <w:rsid w:val="2C477D91"/>
    <w:rsid w:val="2C4B1C25"/>
    <w:rsid w:val="2C5513E3"/>
    <w:rsid w:val="2D7778CC"/>
    <w:rsid w:val="2D964D24"/>
    <w:rsid w:val="2D9E56F5"/>
    <w:rsid w:val="2DA07F1B"/>
    <w:rsid w:val="2DB72CF5"/>
    <w:rsid w:val="2DD66E58"/>
    <w:rsid w:val="2DEE1160"/>
    <w:rsid w:val="2E2A75B6"/>
    <w:rsid w:val="2E3B6964"/>
    <w:rsid w:val="2E425361"/>
    <w:rsid w:val="2E667F96"/>
    <w:rsid w:val="2E6E40B7"/>
    <w:rsid w:val="2E7327C0"/>
    <w:rsid w:val="2E8226AB"/>
    <w:rsid w:val="2EAB09D7"/>
    <w:rsid w:val="2EAC3C39"/>
    <w:rsid w:val="2EC4391B"/>
    <w:rsid w:val="2ED21461"/>
    <w:rsid w:val="2F0E0479"/>
    <w:rsid w:val="2F3925CB"/>
    <w:rsid w:val="2FD065E6"/>
    <w:rsid w:val="2FD96870"/>
    <w:rsid w:val="30183F1E"/>
    <w:rsid w:val="301E4E5D"/>
    <w:rsid w:val="30580BC9"/>
    <w:rsid w:val="306F572F"/>
    <w:rsid w:val="30C504CC"/>
    <w:rsid w:val="311E2ED7"/>
    <w:rsid w:val="315619EE"/>
    <w:rsid w:val="315C449C"/>
    <w:rsid w:val="317258B0"/>
    <w:rsid w:val="319770C5"/>
    <w:rsid w:val="31A44643"/>
    <w:rsid w:val="31B82709"/>
    <w:rsid w:val="31D05482"/>
    <w:rsid w:val="31E56082"/>
    <w:rsid w:val="3200110E"/>
    <w:rsid w:val="32400B34"/>
    <w:rsid w:val="32790B1D"/>
    <w:rsid w:val="32891103"/>
    <w:rsid w:val="329E6876"/>
    <w:rsid w:val="32A63A63"/>
    <w:rsid w:val="32D32A27"/>
    <w:rsid w:val="3304403B"/>
    <w:rsid w:val="33254432"/>
    <w:rsid w:val="33292AF7"/>
    <w:rsid w:val="332E1CAB"/>
    <w:rsid w:val="333015F2"/>
    <w:rsid w:val="33354DE7"/>
    <w:rsid w:val="334B6320"/>
    <w:rsid w:val="33512D21"/>
    <w:rsid w:val="33B023AD"/>
    <w:rsid w:val="33B82BEC"/>
    <w:rsid w:val="33D934D4"/>
    <w:rsid w:val="33E33B26"/>
    <w:rsid w:val="33FE2F6A"/>
    <w:rsid w:val="340E07E5"/>
    <w:rsid w:val="34235BF7"/>
    <w:rsid w:val="34B32468"/>
    <w:rsid w:val="34C54ECD"/>
    <w:rsid w:val="34DB0F65"/>
    <w:rsid w:val="34DE4EC9"/>
    <w:rsid w:val="3538296D"/>
    <w:rsid w:val="3546525E"/>
    <w:rsid w:val="358C5FA8"/>
    <w:rsid w:val="35A43DDA"/>
    <w:rsid w:val="35B30245"/>
    <w:rsid w:val="35C15DF1"/>
    <w:rsid w:val="35EE4665"/>
    <w:rsid w:val="36074A7F"/>
    <w:rsid w:val="36923549"/>
    <w:rsid w:val="36B75FBF"/>
    <w:rsid w:val="36BD0C45"/>
    <w:rsid w:val="36EB77D3"/>
    <w:rsid w:val="36F62AE0"/>
    <w:rsid w:val="3781140B"/>
    <w:rsid w:val="3791576F"/>
    <w:rsid w:val="37941808"/>
    <w:rsid w:val="37983B97"/>
    <w:rsid w:val="37C87E10"/>
    <w:rsid w:val="37E00298"/>
    <w:rsid w:val="388008B3"/>
    <w:rsid w:val="388C54AA"/>
    <w:rsid w:val="38995E18"/>
    <w:rsid w:val="38B248BB"/>
    <w:rsid w:val="38B302F9"/>
    <w:rsid w:val="38EF5A38"/>
    <w:rsid w:val="38F12CD3"/>
    <w:rsid w:val="38F94775"/>
    <w:rsid w:val="3913458B"/>
    <w:rsid w:val="39225E0E"/>
    <w:rsid w:val="392971ED"/>
    <w:rsid w:val="39325651"/>
    <w:rsid w:val="39730417"/>
    <w:rsid w:val="39755F3E"/>
    <w:rsid w:val="397A06E1"/>
    <w:rsid w:val="39821158"/>
    <w:rsid w:val="39873EC3"/>
    <w:rsid w:val="39A527B5"/>
    <w:rsid w:val="39B26C5B"/>
    <w:rsid w:val="3A160918"/>
    <w:rsid w:val="3A1C3DD2"/>
    <w:rsid w:val="3A282FB0"/>
    <w:rsid w:val="3A2D3FCE"/>
    <w:rsid w:val="3A362570"/>
    <w:rsid w:val="3A3E4582"/>
    <w:rsid w:val="3A4570F3"/>
    <w:rsid w:val="3A7601BF"/>
    <w:rsid w:val="3A872856"/>
    <w:rsid w:val="3AEC0481"/>
    <w:rsid w:val="3B023801"/>
    <w:rsid w:val="3B3763D1"/>
    <w:rsid w:val="3B4F0A10"/>
    <w:rsid w:val="3B8B04F4"/>
    <w:rsid w:val="3BCB7DC8"/>
    <w:rsid w:val="3BF27D19"/>
    <w:rsid w:val="3BFD046C"/>
    <w:rsid w:val="3C047A4D"/>
    <w:rsid w:val="3C2F6E1E"/>
    <w:rsid w:val="3C3B55B2"/>
    <w:rsid w:val="3C4F64BA"/>
    <w:rsid w:val="3C7F48CC"/>
    <w:rsid w:val="3CA628B2"/>
    <w:rsid w:val="3CB56A3D"/>
    <w:rsid w:val="3CC83199"/>
    <w:rsid w:val="3CCE00C3"/>
    <w:rsid w:val="3CDA245A"/>
    <w:rsid w:val="3CE84C78"/>
    <w:rsid w:val="3D03201A"/>
    <w:rsid w:val="3D157871"/>
    <w:rsid w:val="3D1E06B7"/>
    <w:rsid w:val="3D2C258E"/>
    <w:rsid w:val="3D697CC1"/>
    <w:rsid w:val="3DA667C1"/>
    <w:rsid w:val="3DB15A99"/>
    <w:rsid w:val="3E3C0716"/>
    <w:rsid w:val="3E4D7489"/>
    <w:rsid w:val="3E67004C"/>
    <w:rsid w:val="3E714E4A"/>
    <w:rsid w:val="3ED23E32"/>
    <w:rsid w:val="3EDA0523"/>
    <w:rsid w:val="3EDE78D7"/>
    <w:rsid w:val="3EEF6FFF"/>
    <w:rsid w:val="3F4B0F20"/>
    <w:rsid w:val="3F5775AF"/>
    <w:rsid w:val="3F577E93"/>
    <w:rsid w:val="3F6D12E2"/>
    <w:rsid w:val="3F877722"/>
    <w:rsid w:val="3F8A2017"/>
    <w:rsid w:val="3FA1066B"/>
    <w:rsid w:val="3FBE7F13"/>
    <w:rsid w:val="3FF73B50"/>
    <w:rsid w:val="401D0849"/>
    <w:rsid w:val="4045485F"/>
    <w:rsid w:val="40580367"/>
    <w:rsid w:val="405C1C05"/>
    <w:rsid w:val="406F68CD"/>
    <w:rsid w:val="407A6407"/>
    <w:rsid w:val="40A2508E"/>
    <w:rsid w:val="40C03E10"/>
    <w:rsid w:val="40C15F0C"/>
    <w:rsid w:val="40CF23D7"/>
    <w:rsid w:val="40ED567D"/>
    <w:rsid w:val="40F07927"/>
    <w:rsid w:val="415901CA"/>
    <w:rsid w:val="4182744A"/>
    <w:rsid w:val="41CB48C6"/>
    <w:rsid w:val="41E44F7E"/>
    <w:rsid w:val="4200449D"/>
    <w:rsid w:val="42075CE5"/>
    <w:rsid w:val="4232127C"/>
    <w:rsid w:val="423A3BCC"/>
    <w:rsid w:val="424E57D2"/>
    <w:rsid w:val="426E302E"/>
    <w:rsid w:val="42B26C49"/>
    <w:rsid w:val="42E06844"/>
    <w:rsid w:val="42F93CF5"/>
    <w:rsid w:val="433A6FE6"/>
    <w:rsid w:val="43480868"/>
    <w:rsid w:val="4350713C"/>
    <w:rsid w:val="436653E0"/>
    <w:rsid w:val="43A56BA5"/>
    <w:rsid w:val="43B21B3C"/>
    <w:rsid w:val="43C4431A"/>
    <w:rsid w:val="43CC52F4"/>
    <w:rsid w:val="43CF0940"/>
    <w:rsid w:val="43D0401C"/>
    <w:rsid w:val="445A645C"/>
    <w:rsid w:val="44B951CC"/>
    <w:rsid w:val="44C767E3"/>
    <w:rsid w:val="44CD14E0"/>
    <w:rsid w:val="44F20B0B"/>
    <w:rsid w:val="452E5F4C"/>
    <w:rsid w:val="45462D9F"/>
    <w:rsid w:val="45612018"/>
    <w:rsid w:val="458946E9"/>
    <w:rsid w:val="45A47C0E"/>
    <w:rsid w:val="45AB536B"/>
    <w:rsid w:val="45EB3F14"/>
    <w:rsid w:val="45F01A82"/>
    <w:rsid w:val="45FD1795"/>
    <w:rsid w:val="46231CA9"/>
    <w:rsid w:val="46577FD6"/>
    <w:rsid w:val="467557CF"/>
    <w:rsid w:val="467807B7"/>
    <w:rsid w:val="46794B93"/>
    <w:rsid w:val="467B6B5D"/>
    <w:rsid w:val="46D955A7"/>
    <w:rsid w:val="46E26BDC"/>
    <w:rsid w:val="47133957"/>
    <w:rsid w:val="4752359F"/>
    <w:rsid w:val="47541B6A"/>
    <w:rsid w:val="47571378"/>
    <w:rsid w:val="477A5376"/>
    <w:rsid w:val="477D4101"/>
    <w:rsid w:val="47A07E0C"/>
    <w:rsid w:val="47E26E94"/>
    <w:rsid w:val="48651767"/>
    <w:rsid w:val="4870272E"/>
    <w:rsid w:val="48733F90"/>
    <w:rsid w:val="48BA5B0E"/>
    <w:rsid w:val="48F1489C"/>
    <w:rsid w:val="48F549A5"/>
    <w:rsid w:val="49164517"/>
    <w:rsid w:val="492E6109"/>
    <w:rsid w:val="49555444"/>
    <w:rsid w:val="49877DC1"/>
    <w:rsid w:val="49886893"/>
    <w:rsid w:val="49A77419"/>
    <w:rsid w:val="49CB1BAA"/>
    <w:rsid w:val="49DC7715"/>
    <w:rsid w:val="4A023139"/>
    <w:rsid w:val="4A783AE0"/>
    <w:rsid w:val="4A7B576F"/>
    <w:rsid w:val="4A935683"/>
    <w:rsid w:val="4AA502CE"/>
    <w:rsid w:val="4AB4263E"/>
    <w:rsid w:val="4AD056CA"/>
    <w:rsid w:val="4ADC6397"/>
    <w:rsid w:val="4AEC1DD8"/>
    <w:rsid w:val="4AF561A9"/>
    <w:rsid w:val="4B0E66AE"/>
    <w:rsid w:val="4B221C9D"/>
    <w:rsid w:val="4B461912"/>
    <w:rsid w:val="4B7F2B16"/>
    <w:rsid w:val="4B893B2E"/>
    <w:rsid w:val="4B9106E2"/>
    <w:rsid w:val="4BB723E6"/>
    <w:rsid w:val="4BF61160"/>
    <w:rsid w:val="4BFE1DC3"/>
    <w:rsid w:val="4C01710C"/>
    <w:rsid w:val="4C0D7455"/>
    <w:rsid w:val="4C172E84"/>
    <w:rsid w:val="4C4A0649"/>
    <w:rsid w:val="4C7E5ECA"/>
    <w:rsid w:val="4C876AA5"/>
    <w:rsid w:val="4D0E00FB"/>
    <w:rsid w:val="4D176606"/>
    <w:rsid w:val="4D4D1254"/>
    <w:rsid w:val="4D6640C3"/>
    <w:rsid w:val="4D783DF7"/>
    <w:rsid w:val="4DBA61BD"/>
    <w:rsid w:val="4DD80C70"/>
    <w:rsid w:val="4DE41C84"/>
    <w:rsid w:val="4DE704DF"/>
    <w:rsid w:val="4DEC4FB0"/>
    <w:rsid w:val="4E075D8A"/>
    <w:rsid w:val="4E4E414A"/>
    <w:rsid w:val="4E615514"/>
    <w:rsid w:val="4E7F6587"/>
    <w:rsid w:val="4EAB2F27"/>
    <w:rsid w:val="4EC00FAD"/>
    <w:rsid w:val="4F0A2C17"/>
    <w:rsid w:val="4F6B3C13"/>
    <w:rsid w:val="4F8F4094"/>
    <w:rsid w:val="4F9843DC"/>
    <w:rsid w:val="4FC62A8C"/>
    <w:rsid w:val="4FE20F0D"/>
    <w:rsid w:val="4FE51552"/>
    <w:rsid w:val="4FEE65F2"/>
    <w:rsid w:val="50504C4B"/>
    <w:rsid w:val="5076286F"/>
    <w:rsid w:val="509C6E7C"/>
    <w:rsid w:val="50B138A7"/>
    <w:rsid w:val="50B52C6C"/>
    <w:rsid w:val="50C17C4F"/>
    <w:rsid w:val="50D77086"/>
    <w:rsid w:val="5116154D"/>
    <w:rsid w:val="5162104E"/>
    <w:rsid w:val="51872650"/>
    <w:rsid w:val="51B6604B"/>
    <w:rsid w:val="51CE29AD"/>
    <w:rsid w:val="52036385"/>
    <w:rsid w:val="52172115"/>
    <w:rsid w:val="524F1146"/>
    <w:rsid w:val="526C7ABA"/>
    <w:rsid w:val="52E37F64"/>
    <w:rsid w:val="53163E96"/>
    <w:rsid w:val="533662E6"/>
    <w:rsid w:val="533D7674"/>
    <w:rsid w:val="536746F1"/>
    <w:rsid w:val="53895131"/>
    <w:rsid w:val="539B23CA"/>
    <w:rsid w:val="53A039CC"/>
    <w:rsid w:val="53A1505A"/>
    <w:rsid w:val="54063E08"/>
    <w:rsid w:val="54104D89"/>
    <w:rsid w:val="543437E8"/>
    <w:rsid w:val="54672089"/>
    <w:rsid w:val="548656D1"/>
    <w:rsid w:val="54AC75D5"/>
    <w:rsid w:val="54B254F9"/>
    <w:rsid w:val="54BF0D1B"/>
    <w:rsid w:val="54C6369A"/>
    <w:rsid w:val="54F73313"/>
    <w:rsid w:val="54F80955"/>
    <w:rsid w:val="55106F91"/>
    <w:rsid w:val="552031DC"/>
    <w:rsid w:val="555170A7"/>
    <w:rsid w:val="5587536D"/>
    <w:rsid w:val="559B174B"/>
    <w:rsid w:val="55AC288F"/>
    <w:rsid w:val="55CE0CF4"/>
    <w:rsid w:val="55E22755"/>
    <w:rsid w:val="55F8409D"/>
    <w:rsid w:val="55FF6E63"/>
    <w:rsid w:val="56B22A9C"/>
    <w:rsid w:val="56B56DD5"/>
    <w:rsid w:val="575E4C41"/>
    <w:rsid w:val="57875362"/>
    <w:rsid w:val="57981DED"/>
    <w:rsid w:val="57B72A76"/>
    <w:rsid w:val="57C3426C"/>
    <w:rsid w:val="57CE1F93"/>
    <w:rsid w:val="57F52452"/>
    <w:rsid w:val="57F549C2"/>
    <w:rsid w:val="588743D1"/>
    <w:rsid w:val="5887701A"/>
    <w:rsid w:val="58973727"/>
    <w:rsid w:val="58B66E29"/>
    <w:rsid w:val="58CF5213"/>
    <w:rsid w:val="58D5034F"/>
    <w:rsid w:val="58E3481A"/>
    <w:rsid w:val="58E95FEA"/>
    <w:rsid w:val="58FA1B64"/>
    <w:rsid w:val="590034EE"/>
    <w:rsid w:val="590F3861"/>
    <w:rsid w:val="5917409B"/>
    <w:rsid w:val="592B747B"/>
    <w:rsid w:val="59A025BB"/>
    <w:rsid w:val="59C0439F"/>
    <w:rsid w:val="59C83A10"/>
    <w:rsid w:val="5A201A9E"/>
    <w:rsid w:val="5A33532D"/>
    <w:rsid w:val="5A736072"/>
    <w:rsid w:val="5A9046CB"/>
    <w:rsid w:val="5ABE2233"/>
    <w:rsid w:val="5B2672B1"/>
    <w:rsid w:val="5B556F71"/>
    <w:rsid w:val="5BDF5D95"/>
    <w:rsid w:val="5BFE7528"/>
    <w:rsid w:val="5C0E3314"/>
    <w:rsid w:val="5C1B730A"/>
    <w:rsid w:val="5C4D10B3"/>
    <w:rsid w:val="5CDD54EA"/>
    <w:rsid w:val="5D015F6A"/>
    <w:rsid w:val="5D066D29"/>
    <w:rsid w:val="5D7B6862"/>
    <w:rsid w:val="5D812854"/>
    <w:rsid w:val="5DAF3D0F"/>
    <w:rsid w:val="5DBF7C5D"/>
    <w:rsid w:val="5DFF085B"/>
    <w:rsid w:val="5E2467F1"/>
    <w:rsid w:val="5E435D5B"/>
    <w:rsid w:val="5E532442"/>
    <w:rsid w:val="5E744166"/>
    <w:rsid w:val="5EDD1D0C"/>
    <w:rsid w:val="5F1A2B43"/>
    <w:rsid w:val="5F41673E"/>
    <w:rsid w:val="5FB23DA0"/>
    <w:rsid w:val="5FB837BB"/>
    <w:rsid w:val="5FDC758D"/>
    <w:rsid w:val="5FE94F7F"/>
    <w:rsid w:val="60037A11"/>
    <w:rsid w:val="605E50CE"/>
    <w:rsid w:val="60795A64"/>
    <w:rsid w:val="60932FCA"/>
    <w:rsid w:val="60BA0556"/>
    <w:rsid w:val="60CC405A"/>
    <w:rsid w:val="60CC7FE5"/>
    <w:rsid w:val="60E05C84"/>
    <w:rsid w:val="61E215D8"/>
    <w:rsid w:val="61F3268B"/>
    <w:rsid w:val="62075DF0"/>
    <w:rsid w:val="621B3775"/>
    <w:rsid w:val="622F0AD0"/>
    <w:rsid w:val="62364782"/>
    <w:rsid w:val="624B5626"/>
    <w:rsid w:val="6263077A"/>
    <w:rsid w:val="631D6B7A"/>
    <w:rsid w:val="633B5F5A"/>
    <w:rsid w:val="635C770C"/>
    <w:rsid w:val="636E3444"/>
    <w:rsid w:val="63892E0E"/>
    <w:rsid w:val="6394356A"/>
    <w:rsid w:val="63BE6151"/>
    <w:rsid w:val="63C61B2C"/>
    <w:rsid w:val="63D40BE9"/>
    <w:rsid w:val="64102431"/>
    <w:rsid w:val="64283A29"/>
    <w:rsid w:val="64356146"/>
    <w:rsid w:val="64622CD4"/>
    <w:rsid w:val="647E5D3F"/>
    <w:rsid w:val="64833355"/>
    <w:rsid w:val="64A5243A"/>
    <w:rsid w:val="64B31AC5"/>
    <w:rsid w:val="64B44547"/>
    <w:rsid w:val="64F531DE"/>
    <w:rsid w:val="64FA7712"/>
    <w:rsid w:val="650C6088"/>
    <w:rsid w:val="651E2C7C"/>
    <w:rsid w:val="65373578"/>
    <w:rsid w:val="656211BC"/>
    <w:rsid w:val="656E190F"/>
    <w:rsid w:val="65D07CD0"/>
    <w:rsid w:val="65D45B35"/>
    <w:rsid w:val="661C67E7"/>
    <w:rsid w:val="662E6E1C"/>
    <w:rsid w:val="66653ED0"/>
    <w:rsid w:val="66693F13"/>
    <w:rsid w:val="66DC6107"/>
    <w:rsid w:val="66F6096B"/>
    <w:rsid w:val="670342D9"/>
    <w:rsid w:val="671F124A"/>
    <w:rsid w:val="67295207"/>
    <w:rsid w:val="674768BC"/>
    <w:rsid w:val="677A33C6"/>
    <w:rsid w:val="67E92C1E"/>
    <w:rsid w:val="681F5143"/>
    <w:rsid w:val="681F6961"/>
    <w:rsid w:val="68610A2F"/>
    <w:rsid w:val="686F0ED6"/>
    <w:rsid w:val="68805514"/>
    <w:rsid w:val="6882790C"/>
    <w:rsid w:val="688B27D8"/>
    <w:rsid w:val="68AD274F"/>
    <w:rsid w:val="691B1DAE"/>
    <w:rsid w:val="692A0243"/>
    <w:rsid w:val="69316E2F"/>
    <w:rsid w:val="694E2071"/>
    <w:rsid w:val="69766163"/>
    <w:rsid w:val="697A3B33"/>
    <w:rsid w:val="699C3056"/>
    <w:rsid w:val="69CF5BB8"/>
    <w:rsid w:val="69D44760"/>
    <w:rsid w:val="6A520EC7"/>
    <w:rsid w:val="6A667059"/>
    <w:rsid w:val="6A8917B4"/>
    <w:rsid w:val="6AAB765B"/>
    <w:rsid w:val="6AF87E20"/>
    <w:rsid w:val="6B322639"/>
    <w:rsid w:val="6B5E41D4"/>
    <w:rsid w:val="6B7A3154"/>
    <w:rsid w:val="6B96396E"/>
    <w:rsid w:val="6B9B6B10"/>
    <w:rsid w:val="6BA0659B"/>
    <w:rsid w:val="6BD755EF"/>
    <w:rsid w:val="6C1825D5"/>
    <w:rsid w:val="6C3F7B62"/>
    <w:rsid w:val="6C5B27F9"/>
    <w:rsid w:val="6C636C38"/>
    <w:rsid w:val="6CA33ED2"/>
    <w:rsid w:val="6D007694"/>
    <w:rsid w:val="6D1645EA"/>
    <w:rsid w:val="6D2A0812"/>
    <w:rsid w:val="6D57241F"/>
    <w:rsid w:val="6D793547"/>
    <w:rsid w:val="6DB34098"/>
    <w:rsid w:val="6DB545B6"/>
    <w:rsid w:val="6DC90BDC"/>
    <w:rsid w:val="6DE02FB4"/>
    <w:rsid w:val="6E324CCB"/>
    <w:rsid w:val="6E514CED"/>
    <w:rsid w:val="6E5274E5"/>
    <w:rsid w:val="6EB563D5"/>
    <w:rsid w:val="6EC671E7"/>
    <w:rsid w:val="6ED92677"/>
    <w:rsid w:val="6EDD22DB"/>
    <w:rsid w:val="6F0155A2"/>
    <w:rsid w:val="6F225983"/>
    <w:rsid w:val="6F59733E"/>
    <w:rsid w:val="6F7C176E"/>
    <w:rsid w:val="6FA7439C"/>
    <w:rsid w:val="6FE253D4"/>
    <w:rsid w:val="6FFC5590"/>
    <w:rsid w:val="6FFE5867"/>
    <w:rsid w:val="706D1DD0"/>
    <w:rsid w:val="70856B87"/>
    <w:rsid w:val="708A48C4"/>
    <w:rsid w:val="708F339A"/>
    <w:rsid w:val="708F49F4"/>
    <w:rsid w:val="70D527EE"/>
    <w:rsid w:val="70F626C0"/>
    <w:rsid w:val="71015D2D"/>
    <w:rsid w:val="71213A3A"/>
    <w:rsid w:val="712662AC"/>
    <w:rsid w:val="712A66B5"/>
    <w:rsid w:val="715B5300"/>
    <w:rsid w:val="71A010A2"/>
    <w:rsid w:val="71D15700"/>
    <w:rsid w:val="71D27F8A"/>
    <w:rsid w:val="71E2790D"/>
    <w:rsid w:val="71F238C8"/>
    <w:rsid w:val="71FE226D"/>
    <w:rsid w:val="72042618"/>
    <w:rsid w:val="72553024"/>
    <w:rsid w:val="72AD4C71"/>
    <w:rsid w:val="73122968"/>
    <w:rsid w:val="731F5D5E"/>
    <w:rsid w:val="73644352"/>
    <w:rsid w:val="739C3618"/>
    <w:rsid w:val="73A40BF2"/>
    <w:rsid w:val="73C51AD5"/>
    <w:rsid w:val="73E06228"/>
    <w:rsid w:val="741E793C"/>
    <w:rsid w:val="745E3944"/>
    <w:rsid w:val="74D87F6C"/>
    <w:rsid w:val="75383CE8"/>
    <w:rsid w:val="753F6E24"/>
    <w:rsid w:val="75F55735"/>
    <w:rsid w:val="75FC4D15"/>
    <w:rsid w:val="760F1E95"/>
    <w:rsid w:val="760F46FF"/>
    <w:rsid w:val="7635099D"/>
    <w:rsid w:val="763D1683"/>
    <w:rsid w:val="764F54F5"/>
    <w:rsid w:val="76544B51"/>
    <w:rsid w:val="76816FC9"/>
    <w:rsid w:val="768947FB"/>
    <w:rsid w:val="76D0242A"/>
    <w:rsid w:val="770420D4"/>
    <w:rsid w:val="771147F0"/>
    <w:rsid w:val="77737259"/>
    <w:rsid w:val="77762421"/>
    <w:rsid w:val="778925D9"/>
    <w:rsid w:val="77A5773D"/>
    <w:rsid w:val="77B21074"/>
    <w:rsid w:val="77B56B1F"/>
    <w:rsid w:val="77BA5A61"/>
    <w:rsid w:val="77BC29AE"/>
    <w:rsid w:val="77D9424A"/>
    <w:rsid w:val="780F09F4"/>
    <w:rsid w:val="78434E7D"/>
    <w:rsid w:val="787E5EB6"/>
    <w:rsid w:val="78A90480"/>
    <w:rsid w:val="7933301D"/>
    <w:rsid w:val="79487BA1"/>
    <w:rsid w:val="797447ED"/>
    <w:rsid w:val="79755692"/>
    <w:rsid w:val="79785651"/>
    <w:rsid w:val="79BB3BD7"/>
    <w:rsid w:val="79BF1285"/>
    <w:rsid w:val="7A04398D"/>
    <w:rsid w:val="7A103E53"/>
    <w:rsid w:val="7A167B0A"/>
    <w:rsid w:val="7A187F61"/>
    <w:rsid w:val="7A364017"/>
    <w:rsid w:val="7A41363F"/>
    <w:rsid w:val="7A6A5F24"/>
    <w:rsid w:val="7A8265E1"/>
    <w:rsid w:val="7AAB7196"/>
    <w:rsid w:val="7AAF67FA"/>
    <w:rsid w:val="7AD7365B"/>
    <w:rsid w:val="7B4C229B"/>
    <w:rsid w:val="7B516CB4"/>
    <w:rsid w:val="7B686D42"/>
    <w:rsid w:val="7B78035F"/>
    <w:rsid w:val="7B841746"/>
    <w:rsid w:val="7BC1048B"/>
    <w:rsid w:val="7BCF78A0"/>
    <w:rsid w:val="7C29438A"/>
    <w:rsid w:val="7C370855"/>
    <w:rsid w:val="7C376AA7"/>
    <w:rsid w:val="7C6C5AC7"/>
    <w:rsid w:val="7C885555"/>
    <w:rsid w:val="7C9B74EC"/>
    <w:rsid w:val="7CC6544B"/>
    <w:rsid w:val="7CDD764F"/>
    <w:rsid w:val="7CF22C62"/>
    <w:rsid w:val="7D0239FF"/>
    <w:rsid w:val="7D044CD6"/>
    <w:rsid w:val="7D0D7808"/>
    <w:rsid w:val="7D1666BD"/>
    <w:rsid w:val="7D384885"/>
    <w:rsid w:val="7D5E40CD"/>
    <w:rsid w:val="7D661A63"/>
    <w:rsid w:val="7D93607C"/>
    <w:rsid w:val="7DCD56F2"/>
    <w:rsid w:val="7DF14AF2"/>
    <w:rsid w:val="7E215319"/>
    <w:rsid w:val="7E292D8B"/>
    <w:rsid w:val="7E7958A6"/>
    <w:rsid w:val="7E8F4EC6"/>
    <w:rsid w:val="7EAE6798"/>
    <w:rsid w:val="7EB45EC5"/>
    <w:rsid w:val="7EB6798B"/>
    <w:rsid w:val="7EC52BE0"/>
    <w:rsid w:val="7EFB5591"/>
    <w:rsid w:val="7F001CE7"/>
    <w:rsid w:val="7F41536A"/>
    <w:rsid w:val="7F482254"/>
    <w:rsid w:val="7F57105D"/>
    <w:rsid w:val="7F606315"/>
    <w:rsid w:val="7F7050A8"/>
    <w:rsid w:val="7F9B0585"/>
    <w:rsid w:val="7FCC5758"/>
    <w:rsid w:val="7FE47E50"/>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ocked="1"/>
    <w:lsdException w:qFormat="1" w:uiPriority="0" w:semiHidden="0" w:name="heading 2" w:locked="1"/>
    <w:lsdException w:qFormat="1" w:unhideWhenUsed="0" w:uiPriority="0" w:semiHidden="0" w:name="heading 3" w:locked="1"/>
    <w:lsdException w:qFormat="1" w:unhideWhenUsed="0" w:uiPriority="0" w:semiHidden="0" w:name="heading 4" w:locked="1"/>
    <w:lsdException w:qFormat="1" w:uiPriority="0" w:name="heading 5" w:locked="1"/>
    <w:lsdException w:qFormat="1" w:uiPriority="0" w:name="heading 6" w:locked="1"/>
    <w:lsdException w:qFormat="1" w:uiPriority="0" w:name="heading 7" w:locked="1"/>
    <w:lsdException w:qFormat="1" w:unhideWhenUsed="0" w:uiPriority="0" w:semiHidden="0" w:name="heading 8" w:locked="1"/>
    <w:lsdException w:qFormat="1" w:uiPriority="0" w:name="heading 9" w:locked="1"/>
    <w:lsdException w:unhideWhenUsed="0" w:uiPriority="0" w:semiHidden="0" w:name="index 1" w:locked="1"/>
    <w:lsdException w:unhideWhenUsed="0" w:uiPriority="0" w:semiHidden="0" w:name="index 2" w:locked="1"/>
    <w:lsdException w:unhideWhenUsed="0" w:uiPriority="0" w:semiHidden="0" w:name="index 3" w:locked="1"/>
    <w:lsdException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qFormat="1" w:unhideWhenUsed="0" w:uiPriority="0" w:semiHidden="0" w:name="toc 1" w:locked="1"/>
    <w:lsdException w:qFormat="1" w:unhideWhenUsed="0" w:uiPriority="39" w:semiHidden="0" w:name="toc 2" w:locked="1"/>
    <w:lsdException w:unhideWhenUsed="0" w:uiPriority="0" w:semiHidden="0" w:name="toc 3" w:locked="1"/>
    <w:lsdException w:unhideWhenUsed="0" w:uiPriority="0" w:semiHidden="0" w:name="toc 4" w:locked="1"/>
    <w:lsdException w:qFormat="1" w:uiPriority="39"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99" w:semiHidden="0" w:name="Normal Indent" w:locked="1"/>
    <w:lsdException w:unhideWhenUsed="0" w:uiPriority="0" w:semiHidden="0" w:name="footnote text" w:locked="1"/>
    <w:lsdException w:qFormat="1" w:unhideWhenUsed="0" w:uiPriority="0" w:name="annotation text"/>
    <w:lsdException w:qFormat="1" w:unhideWhenUsed="0" w:uiPriority="0" w:semiHidden="0" w:name="header"/>
    <w:lsdException w:qFormat="1" w:unhideWhenUsed="0" w:uiPriority="99" w:semiHidden="0" w:name="footer"/>
    <w:lsdException w:unhideWhenUsed="0" w:uiPriority="0" w:semiHidden="0" w:name="index heading" w:locked="1"/>
    <w:lsdException w:qFormat="1" w:unhideWhenUsed="0" w:uiPriority="35" w:semiHidden="0" w:name="caption" w:locked="1"/>
    <w:lsdException w:unhideWhenUsed="0" w:uiPriority="0" w:semiHidden="0" w:name="table of figures" w:locked="1"/>
    <w:lsdException w:unhideWhenUsed="0" w:uiPriority="0" w:semiHidden="0" w:name="envelope address" w:locked="1"/>
    <w:lsdException w:unhideWhenUsed="0" w:uiPriority="0" w:semiHidden="0" w:name="envelope return" w:locked="1"/>
    <w:lsdException w:unhideWhenUsed="0" w:uiPriority="0" w:semiHidden="0" w:name="footnote reference" w:locked="1"/>
    <w:lsdException w:qFormat="1" w:unhideWhenUsed="0" w:uiPriority="0" w:name="annotation reference"/>
    <w:lsdException w:unhideWhenUsed="0" w:uiPriority="0" w:semiHidden="0" w:name="line number" w:locked="1"/>
    <w:lsdException w:qFormat="1" w:unhideWhenUsed="0" w:uiPriority="0" w:semiHidden="0" w:name="page number" w:locked="1"/>
    <w:lsdException w:unhideWhenUsed="0" w:uiPriority="0" w:semiHidden="0" w:name="endnote reference" w:locked="1"/>
    <w:lsdException w:unhideWhenUsed="0" w:uiPriority="0" w:semiHidden="0" w:name="endnote text" w:locked="1"/>
    <w:lsdException w:unhideWhenUsed="0" w:uiPriority="0" w:semiHidden="0" w:name="table of authorities" w:locked="1"/>
    <w:lsdException w:unhideWhenUsed="0" w:uiPriority="0" w:semiHidden="0" w:name="macro" w:locked="1"/>
    <w:lsdException w:unhideWhenUsed="0" w:uiPriority="0" w:semiHidden="0" w:name="toa heading" w:locked="1"/>
    <w:lsdException w:qFormat="1" w:uiPriority="0" w:semiHidden="0" w:name="List" w:locked="1"/>
    <w:lsdException w:unhideWhenUsed="0" w:uiPriority="0" w:semiHidden="0" w:name="List Bullet" w:locked="1"/>
    <w:lsdException w:unhideWhenUsed="0" w:uiPriority="0" w:semiHidden="0" w:name="List Number" w:locked="1"/>
    <w:lsdException w:unhideWhenUsed="0" w:uiPriority="0" w:semiHidden="0" w:name="List 2" w:locked="1"/>
    <w:lsdException w:unhideWhenUsed="0" w:uiPriority="0" w:semiHidden="0" w:name="List 3" w:locked="1"/>
    <w:lsdException w:unhideWhenUsed="0" w:uiPriority="0" w:semiHidden="0" w:name="List 4" w:locked="1"/>
    <w:lsdException w:unhideWhenUsed="0" w:uiPriority="0" w:semiHidden="0" w:name="List 5" w:locked="1"/>
    <w:lsdException w:qFormat="1" w:unhideWhenUsed="0" w:uiPriority="0" w:semiHidden="0" w:name="List Bullet 2" w:locked="1"/>
    <w:lsdException w:unhideWhenUsed="0" w:uiPriority="0" w:semiHidden="0" w:name="List Bullet 3" w:locked="1"/>
    <w:lsdException w:unhideWhenUsed="0" w:uiPriority="0" w:semiHidden="0" w:name="List Bullet 4" w:locked="1"/>
    <w:lsdException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0" w:semiHidden="0" w:name="Title" w:locked="1"/>
    <w:lsdException w:unhideWhenUsed="0" w:uiPriority="0" w:semiHidden="0" w:name="Closing" w:locked="1"/>
    <w:lsdException w:unhideWhenUsed="0" w:uiPriority="0" w:semiHidden="0" w:name="Signature" w:locked="1"/>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unhideWhenUsed="0" w:uiPriority="0" w:semiHidden="0" w:name="Message Header" w:locked="1"/>
    <w:lsdException w:qFormat="1" w:unhideWhenUsed="0" w:uiPriority="0" w:semiHidden="0" w:name="Subtitle" w:locked="1"/>
    <w:lsdException w:unhideWhenUsed="0" w:uiPriority="0" w:semiHidden="0" w:name="Salutation" w:locked="1"/>
    <w:lsdException w:qFormat="1" w:unhideWhenUsed="0" w:uiPriority="0" w:semiHidden="0" w:name="Date"/>
    <w:lsdException w:unhideWhenUsed="0" w:uiPriority="0" w:semiHidden="0" w:name="Body Text First Indent" w:locked="1"/>
    <w:lsdException w:qFormat="1" w:unhideWhenUsed="0" w:uiPriority="0" w:semiHidden="0" w:name="Body Text First Indent 2" w:locked="1"/>
    <w:lsdException w:unhideWhenUsed="0" w:uiPriority="0" w:semiHidden="0" w:name="Note Heading" w:locked="1"/>
    <w:lsdException w:qFormat="1" w:unhideWhenUsed="0" w:uiPriority="0" w:semiHidden="0" w:name="Body Text 2" w:locked="1"/>
    <w:lsdException w:unhideWhenUsed="0" w:uiPriority="0" w:semiHidden="0" w:name="Body Text 3" w:locked="1"/>
    <w:lsdException w:qFormat="1" w:unhideWhenUsed="0" w:uiPriority="0" w:semiHidden="0" w:name="Body Text Indent 2" w:locked="1"/>
    <w:lsdException w:unhideWhenUsed="0" w:uiPriority="0" w:semiHidden="0" w:name="Body Text Indent 3" w:locked="1"/>
    <w:lsdException w:qFormat="1" w:unhideWhenUsed="0" w:uiPriority="0" w:semiHidden="0" w:name="Block Text" w:locked="1"/>
    <w:lsdException w:qFormat="1" w:unhideWhenUsed="0" w:uiPriority="0" w:semiHidden="0" w:name="Hyperlink" w:locked="1"/>
    <w:lsdException w:unhideWhenUsed="0" w:uiPriority="0" w:semiHidden="0" w:name="FollowedHyperlink" w:locked="1"/>
    <w:lsdException w:qFormat="1" w:unhideWhenUsed="0" w:uiPriority="0" w:semiHidden="0" w:name="Strong" w:locked="1"/>
    <w:lsdException w:qFormat="1" w:unhideWhenUsed="0" w:uiPriority="0" w:semiHidden="0" w:name="Emphasis" w:locked="1"/>
    <w:lsdException w:unhideWhenUsed="0" w:uiPriority="0" w:semiHidden="0" w:name="Document Map" w:locked="1"/>
    <w:lsdException w:qFormat="1" w:unhideWhenUsed="0" w:uiPriority="0" w:semiHidden="0" w:name="Plain Text" w:locked="1"/>
    <w:lsdException w:qFormat="1" w:unhideWhenUsed="0" w:uiPriority="0" w:semiHidden="0" w:name="E-mail Signature" w:locked="1"/>
    <w:lsdException w:qFormat="1" w:unhideWhenUsed="0" w:uiPriority="0"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unhideWhenUsed="0" w:uiPriority="0" w:semiHidden="0" w:name="HTML Code" w:locked="1"/>
    <w:lsdException w:unhideWhenUsed="0" w:uiPriority="0" w:semiHidden="0" w:name="HTML Definition" w:locked="1"/>
    <w:lsdException w:unhideWhenUsed="0" w:uiPriority="0" w:semiHidden="0" w:name="HTML Keyboard" w:locked="1"/>
    <w:lsdException w:unhideWhenUsed="0"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nhideWhenUsed="0" w:uiPriority="0" w:name="Normal Table"/>
    <w:lsdException w:qFormat="1" w:unhideWhenUsed="0" w:uiPriority="0" w:name="annotation subject"/>
    <w:lsdException w:unhideWhenUsed="0" w:uiPriority="0" w:semiHidden="0" w:name="Table Simple 1" w:locked="1"/>
    <w:lsdException w:unhideWhenUsed="0" w:uiPriority="0" w:semiHidden="0" w:name="Table Simple 2" w:locked="1"/>
    <w:lsdException w:unhideWhenUsed="0" w:uiPriority="0" w:semiHidden="0" w:name="Table Simple 3" w:locked="1"/>
    <w:lsdException w:unhideWhenUsed="0" w:uiPriority="0" w:semiHidden="0" w:name="Table Classic 1" w:locked="1"/>
    <w:lsdException w:unhideWhenUsed="0" w:uiPriority="0" w:semiHidden="0" w:name="Table Classic 2" w:locked="1"/>
    <w:lsdException w:unhideWhenUsed="0" w:uiPriority="0" w:semiHidden="0" w:name="Table Classic 3" w:locked="1"/>
    <w:lsdException w:unhideWhenUsed="0" w:uiPriority="0" w:semiHidden="0" w:name="Table Classic 4" w:locked="1"/>
    <w:lsdException w:unhideWhenUsed="0" w:uiPriority="0" w:semiHidden="0" w:name="Table Colorful 1" w:locked="1"/>
    <w:lsdException w:unhideWhenUsed="0" w:uiPriority="0" w:semiHidden="0" w:name="Table Colorful 2" w:locked="1"/>
    <w:lsdException w:unhideWhenUsed="0" w:uiPriority="0" w:semiHidden="0" w:name="Table Colorful 3" w:locked="1"/>
    <w:lsdException w:unhideWhenUsed="0" w:uiPriority="0" w:semiHidden="0" w:name="Table Columns 1" w:locked="1"/>
    <w:lsdException w:unhideWhenUsed="0" w:uiPriority="0" w:semiHidden="0" w:name="Table Columns 2" w:locked="1"/>
    <w:lsdException w:unhideWhenUsed="0" w:uiPriority="0" w:semiHidden="0" w:name="Table Columns 3" w:locked="1"/>
    <w:lsdException w:unhideWhenUsed="0" w:uiPriority="0" w:semiHidden="0" w:name="Table Columns 4" w:locked="1"/>
    <w:lsdException w:unhideWhenUsed="0" w:uiPriority="0" w:semiHidden="0" w:name="Table Columns 5" w:locked="1"/>
    <w:lsdException w:unhideWhenUsed="0" w:uiPriority="0" w:semiHidden="0" w:name="Table Grid 1" w:locked="1"/>
    <w:lsdException w:unhideWhenUsed="0" w:uiPriority="0" w:semiHidden="0" w:name="Table Grid 2" w:locked="1"/>
    <w:lsdException w:unhideWhenUsed="0" w:uiPriority="0" w:semiHidden="0" w:name="Table Grid 3" w:locked="1"/>
    <w:lsdException w:unhideWhenUsed="0" w:uiPriority="0" w:semiHidden="0" w:name="Table Grid 4" w:locked="1"/>
    <w:lsdException w:unhideWhenUsed="0" w:uiPriority="0" w:semiHidden="0" w:name="Table Grid 5" w:locked="1"/>
    <w:lsdException w:unhideWhenUsed="0" w:uiPriority="0" w:semiHidden="0" w:name="Table Grid 6" w:locked="1"/>
    <w:lsdException w:unhideWhenUsed="0" w:uiPriority="0" w:semiHidden="0" w:name="Table Grid 7" w:locked="1"/>
    <w:lsdException w:unhideWhenUsed="0" w:uiPriority="0" w:semiHidden="0" w:name="Table Grid 8" w:locked="1"/>
    <w:lsdException w:unhideWhenUsed="0" w:uiPriority="0" w:semiHidden="0" w:name="Table List 1" w:locked="1"/>
    <w:lsdException w:unhideWhenUsed="0" w:uiPriority="0" w:semiHidden="0" w:name="Table List 2" w:locked="1"/>
    <w:lsdException w:unhideWhenUsed="0" w:uiPriority="0" w:semiHidden="0" w:name="Table List 3" w:locked="1"/>
    <w:lsdException w:unhideWhenUsed="0" w:uiPriority="0" w:semiHidden="0" w:name="Table List 4" w:locked="1"/>
    <w:lsdException w:unhideWhenUsed="0" w:uiPriority="0" w:semiHidden="0" w:name="Table List 5" w:locked="1"/>
    <w:lsdException w:unhideWhenUsed="0" w:uiPriority="0" w:semiHidden="0" w:name="Table List 6" w:locked="1"/>
    <w:lsdException w:unhideWhenUsed="0" w:uiPriority="0" w:semiHidden="0" w:name="Table List 7" w:locked="1"/>
    <w:lsdException w:unhideWhenUsed="0" w:uiPriority="0" w:semiHidden="0" w:name="Table List 8" w:locked="1"/>
    <w:lsdException w:unhideWhenUsed="0" w:uiPriority="0" w:semiHidden="0" w:name="Table 3D effects 1" w:locked="1"/>
    <w:lsdException w:unhideWhenUsed="0" w:uiPriority="0" w:semiHidden="0" w:name="Table 3D effects 2" w:locked="1"/>
    <w:lsdException w:unhideWhenUsed="0" w:uiPriority="0" w:semiHidden="0" w:name="Table 3D effects 3" w:locked="1"/>
    <w:lsdException w:unhideWhenUsed="0" w:uiPriority="0" w:semiHidden="0" w:name="Table Contemporary" w:locked="1"/>
    <w:lsdException w:unhideWhenUsed="0" w:uiPriority="0" w:semiHidden="0" w:name="Table Elegant" w:locked="1"/>
    <w:lsdException w:unhideWhenUsed="0" w:uiPriority="0" w:semiHidden="0" w:name="Table Professional" w:locked="1"/>
    <w:lsdException w:unhideWhenUsed="0" w:uiPriority="0" w:semiHidden="0" w:name="Table Subtle 1" w:locked="1"/>
    <w:lsdException w:unhideWhenUsed="0" w:uiPriority="0" w:semiHidden="0" w:name="Table Subtle 2" w:locked="1"/>
    <w:lsdException w:unhideWhenUsed="0" w:uiPriority="0" w:semiHidden="0" w:name="Table Web 1" w:locked="1"/>
    <w:lsdException w:unhideWhenUsed="0" w:uiPriority="0" w:semiHidden="0" w:name="Table Web 2" w:locked="1"/>
    <w:lsdException w:unhideWhenUsed="0" w:uiPriority="0" w:semiHidden="0" w:name="Table Web 3" w:locked="1"/>
    <w:lsdException w:qFormat="1" w:unhideWhenUsed="0" w:uiPriority="0" w:name="Balloon Text"/>
    <w:lsdException w:qFormat="1" w:unhideWhenUsed="0" w:uiPriority="0" w:semiHidden="0" w:name="Table Grid"/>
    <w:lsdException w:unhideWhenUsed="0" w:uiPriority="0" w:semiHidden="0"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1"/>
      <w:lang w:val="en-US" w:eastAsia="zh-CN" w:bidi="ar-SA"/>
    </w:rPr>
  </w:style>
  <w:style w:type="paragraph" w:styleId="2">
    <w:name w:val="heading 1"/>
    <w:basedOn w:val="1"/>
    <w:next w:val="1"/>
    <w:qFormat/>
    <w:locked/>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3">
    <w:name w:val="heading 2"/>
    <w:basedOn w:val="1"/>
    <w:next w:val="1"/>
    <w:link w:val="44"/>
    <w:unhideWhenUsed/>
    <w:qFormat/>
    <w:locked/>
    <w:uiPriority w:val="0"/>
    <w:pPr>
      <w:spacing w:before="100" w:beforeAutospacing="1" w:after="100" w:afterAutospacing="1"/>
      <w:jc w:val="left"/>
      <w:outlineLvl w:val="1"/>
    </w:pPr>
    <w:rPr>
      <w:rFonts w:hint="eastAsia" w:ascii="宋体" w:hAnsi="宋体" w:eastAsia="宋体" w:cs="宋体"/>
      <w:b/>
      <w:bCs/>
      <w:kern w:val="0"/>
      <w:sz w:val="36"/>
      <w:szCs w:val="36"/>
      <w:lang w:val="en-US" w:eastAsia="zh-CN" w:bidi="ar"/>
    </w:rPr>
  </w:style>
  <w:style w:type="paragraph" w:styleId="4">
    <w:name w:val="heading 3"/>
    <w:basedOn w:val="1"/>
    <w:next w:val="1"/>
    <w:qFormat/>
    <w:locked/>
    <w:uiPriority w:val="0"/>
    <w:pPr>
      <w:keepNext/>
      <w:keepLines/>
      <w:numPr>
        <w:ilvl w:val="0"/>
        <w:numId w:val="1"/>
      </w:numPr>
      <w:outlineLvl w:val="2"/>
    </w:pPr>
    <w:rPr>
      <w:b/>
      <w:bCs/>
    </w:rPr>
  </w:style>
  <w:style w:type="paragraph" w:styleId="5">
    <w:name w:val="heading 4"/>
    <w:basedOn w:val="1"/>
    <w:next w:val="1"/>
    <w:qFormat/>
    <w:locked/>
    <w:uiPriority w:val="0"/>
    <w:pPr>
      <w:keepNext/>
      <w:keepLines/>
      <w:spacing w:before="280" w:after="290" w:line="376" w:lineRule="auto"/>
      <w:outlineLvl w:val="3"/>
    </w:pPr>
    <w:rPr>
      <w:rFonts w:ascii="Cambria" w:hAnsi="Cambria" w:cs="Cambria"/>
      <w:b/>
      <w:bCs/>
      <w:kern w:val="0"/>
      <w:sz w:val="28"/>
      <w:szCs w:val="28"/>
    </w:rPr>
  </w:style>
  <w:style w:type="paragraph" w:styleId="6">
    <w:name w:val="heading 8"/>
    <w:basedOn w:val="1"/>
    <w:next w:val="1"/>
    <w:qFormat/>
    <w:locked/>
    <w:uiPriority w:val="0"/>
    <w:pPr>
      <w:keepNext/>
      <w:keepLines/>
      <w:numPr>
        <w:ilvl w:val="0"/>
        <w:numId w:val="2"/>
      </w:numPr>
      <w:jc w:val="center"/>
      <w:outlineLvl w:val="7"/>
    </w:pPr>
    <w:rPr>
      <w:b/>
      <w:lang w:val="zh-CN"/>
    </w:rPr>
  </w:style>
  <w:style w:type="character" w:default="1" w:styleId="35">
    <w:name w:val="Default Paragraph Font"/>
    <w:semiHidden/>
    <w:qFormat/>
    <w:uiPriority w:val="0"/>
  </w:style>
  <w:style w:type="table" w:default="1" w:styleId="33">
    <w:name w:val="Normal Table"/>
    <w:semiHidden/>
    <w:qFormat/>
    <w:uiPriority w:val="0"/>
    <w:tblPr>
      <w:tblCellMar>
        <w:top w:w="0" w:type="dxa"/>
        <w:left w:w="108" w:type="dxa"/>
        <w:bottom w:w="0" w:type="dxa"/>
        <w:right w:w="108" w:type="dxa"/>
      </w:tblCellMar>
    </w:tblPr>
  </w:style>
  <w:style w:type="paragraph" w:styleId="7">
    <w:name w:val="E-mail Signature"/>
    <w:basedOn w:val="1"/>
    <w:next w:val="8"/>
    <w:qFormat/>
    <w:locked/>
    <w:uiPriority w:val="0"/>
    <w:pPr>
      <w:widowControl w:val="0"/>
      <w:autoSpaceDE/>
      <w:autoSpaceDN/>
      <w:spacing w:before="0" w:after="0" w:line="460" w:lineRule="exact"/>
      <w:ind w:left="0" w:firstLine="200"/>
      <w:jc w:val="both"/>
    </w:pPr>
    <w:rPr>
      <w:rFonts w:ascii="Times New Roman" w:eastAsia="宋体"/>
      <w:sz w:val="24"/>
    </w:rPr>
  </w:style>
  <w:style w:type="paragraph" w:customStyle="1" w:styleId="8">
    <w:name w:val="文章"/>
    <w:basedOn w:val="9"/>
    <w:next w:val="10"/>
    <w:qFormat/>
    <w:uiPriority w:val="0"/>
    <w:pPr>
      <w:widowControl/>
      <w:autoSpaceDE/>
      <w:autoSpaceDN/>
      <w:spacing w:before="0" w:after="0" w:line="240" w:lineRule="auto"/>
      <w:ind w:left="0" w:firstLine="480"/>
      <w:jc w:val="center"/>
    </w:pPr>
    <w:rPr>
      <w:rFonts w:ascii="Times New Roman" w:eastAsia="宋体"/>
      <w:sz w:val="26"/>
    </w:rPr>
  </w:style>
  <w:style w:type="paragraph" w:styleId="9">
    <w:name w:val="Body Text Indent"/>
    <w:basedOn w:val="1"/>
    <w:link w:val="45"/>
    <w:qFormat/>
    <w:uiPriority w:val="0"/>
    <w:pPr>
      <w:spacing w:after="120"/>
      <w:ind w:left="420" w:leftChars="200"/>
    </w:pPr>
    <w:rPr>
      <w:kern w:val="0"/>
      <w:sz w:val="24"/>
      <w:szCs w:val="20"/>
    </w:rPr>
  </w:style>
  <w:style w:type="paragraph" w:styleId="10">
    <w:name w:val="List"/>
    <w:basedOn w:val="1"/>
    <w:next w:val="11"/>
    <w:unhideWhenUsed/>
    <w:qFormat/>
    <w:locked/>
    <w:uiPriority w:val="0"/>
    <w:pPr>
      <w:ind w:left="200" w:hanging="200" w:hangingChars="200"/>
      <w:contextualSpacing/>
    </w:pPr>
  </w:style>
  <w:style w:type="paragraph" w:styleId="11">
    <w:name w:val="List Bullet 2"/>
    <w:basedOn w:val="1"/>
    <w:next w:val="12"/>
    <w:qFormat/>
    <w:locked/>
    <w:uiPriority w:val="0"/>
    <w:pPr>
      <w:numPr>
        <w:ilvl w:val="0"/>
        <w:numId w:val="3"/>
      </w:numPr>
    </w:pPr>
  </w:style>
  <w:style w:type="paragraph" w:customStyle="1" w:styleId="12">
    <w:name w:val="xl70"/>
    <w:basedOn w:val="1"/>
    <w:next w:val="13"/>
    <w:qFormat/>
    <w:uiPriority w:val="0"/>
    <w:pPr>
      <w:widowControl/>
      <w:autoSpaceDE/>
      <w:autoSpaceDN/>
      <w:spacing w:before="280" w:after="280" w:line="240" w:lineRule="auto"/>
      <w:ind w:left="0" w:firstLine="0"/>
    </w:pPr>
    <w:rPr>
      <w:rFonts w:ascii="宋体" w:eastAsia="宋体"/>
      <w:sz w:val="24"/>
    </w:rPr>
  </w:style>
  <w:style w:type="paragraph" w:customStyle="1" w:styleId="13">
    <w:name w:val="正文缩进1"/>
    <w:basedOn w:val="14"/>
    <w:next w:val="15"/>
    <w:qFormat/>
    <w:uiPriority w:val="0"/>
    <w:pPr>
      <w:ind w:firstLine="420"/>
    </w:pPr>
    <w:rPr>
      <w:sz w:val="28"/>
      <w:szCs w:val="20"/>
    </w:rPr>
  </w:style>
  <w:style w:type="paragraph" w:styleId="14">
    <w:name w:val="Normal Indent"/>
    <w:basedOn w:val="1"/>
    <w:qFormat/>
    <w:locked/>
    <w:uiPriority w:val="99"/>
    <w:pPr>
      <w:spacing w:line="360" w:lineRule="auto"/>
      <w:ind w:firstLine="480" w:firstLineChars="200"/>
    </w:pPr>
    <w:rPr>
      <w:rFonts w:ascii="Times New Roman" w:hAnsi="Times New Roman" w:eastAsia="宋体"/>
      <w:sz w:val="24"/>
      <w:szCs w:val="24"/>
    </w:rPr>
  </w:style>
  <w:style w:type="paragraph" w:customStyle="1" w:styleId="15">
    <w:name w:val="td1"/>
    <w:basedOn w:val="1"/>
    <w:next w:val="1"/>
    <w:qFormat/>
    <w:uiPriority w:val="0"/>
    <w:pPr>
      <w:widowControl/>
      <w:autoSpaceDE/>
      <w:autoSpaceDN/>
      <w:spacing w:before="280" w:after="280" w:line="300" w:lineRule="atLeast"/>
      <w:ind w:left="0" w:firstLine="200"/>
    </w:pPr>
    <w:rPr>
      <w:rFonts w:ascii="Times New Roman" w:eastAsia="宋体"/>
      <w:color w:val="000000"/>
      <w:sz w:val="18"/>
    </w:rPr>
  </w:style>
  <w:style w:type="paragraph" w:styleId="16">
    <w:name w:val="caption"/>
    <w:basedOn w:val="1"/>
    <w:next w:val="1"/>
    <w:qFormat/>
    <w:locked/>
    <w:uiPriority w:val="35"/>
    <w:rPr>
      <w:rFonts w:ascii="等线 Light" w:hAnsi="等线 Light" w:eastAsia="黑体" w:cs="Times New Roman"/>
      <w:sz w:val="20"/>
      <w:szCs w:val="20"/>
    </w:rPr>
  </w:style>
  <w:style w:type="paragraph" w:styleId="17">
    <w:name w:val="annotation text"/>
    <w:basedOn w:val="1"/>
    <w:link w:val="46"/>
    <w:semiHidden/>
    <w:qFormat/>
    <w:uiPriority w:val="0"/>
    <w:pPr>
      <w:jc w:val="left"/>
    </w:pPr>
    <w:rPr>
      <w:kern w:val="0"/>
      <w:sz w:val="24"/>
      <w:szCs w:val="20"/>
    </w:rPr>
  </w:style>
  <w:style w:type="paragraph" w:styleId="18">
    <w:name w:val="Body Text"/>
    <w:basedOn w:val="1"/>
    <w:link w:val="47"/>
    <w:qFormat/>
    <w:uiPriority w:val="0"/>
    <w:pPr>
      <w:widowControl/>
      <w:snapToGrid w:val="0"/>
      <w:spacing w:before="60" w:after="160" w:line="259" w:lineRule="auto"/>
      <w:ind w:right="113"/>
    </w:pPr>
    <w:rPr>
      <w:kern w:val="0"/>
      <w:sz w:val="18"/>
      <w:szCs w:val="20"/>
    </w:rPr>
  </w:style>
  <w:style w:type="paragraph" w:styleId="19">
    <w:name w:val="Block Text"/>
    <w:qFormat/>
    <w:locked/>
    <w:uiPriority w:val="0"/>
    <w:pPr>
      <w:widowControl w:val="0"/>
      <w:snapToGrid w:val="0"/>
      <w:spacing w:before="180" w:line="380" w:lineRule="atLeast"/>
      <w:ind w:left="142" w:right="170" w:firstLine="476"/>
      <w:jc w:val="both"/>
    </w:pPr>
    <w:rPr>
      <w:rFonts w:ascii="Times New Roman" w:hAnsi="Times New Roman" w:eastAsia="宋体" w:cs="Times New Roman"/>
      <w:kern w:val="2"/>
      <w:sz w:val="24"/>
      <w:szCs w:val="20"/>
      <w:lang w:val="en-US" w:eastAsia="zh-CN" w:bidi="ar-SA"/>
    </w:rPr>
  </w:style>
  <w:style w:type="paragraph" w:styleId="20">
    <w:name w:val="toc 5"/>
    <w:basedOn w:val="1"/>
    <w:next w:val="1"/>
    <w:unhideWhenUsed/>
    <w:qFormat/>
    <w:locked/>
    <w:uiPriority w:val="39"/>
    <w:pPr>
      <w:ind w:left="1680"/>
    </w:pPr>
  </w:style>
  <w:style w:type="paragraph" w:styleId="21">
    <w:name w:val="Plain Text"/>
    <w:basedOn w:val="1"/>
    <w:next w:val="22"/>
    <w:qFormat/>
    <w:locked/>
    <w:uiPriority w:val="0"/>
    <w:rPr>
      <w:rFonts w:ascii="宋体" w:hAnsi="Courier New" w:eastAsia="宋体" w:cs="Times New Roman"/>
      <w:szCs w:val="21"/>
    </w:rPr>
  </w:style>
  <w:style w:type="paragraph" w:styleId="22">
    <w:name w:val="toc 1"/>
    <w:basedOn w:val="1"/>
    <w:next w:val="1"/>
    <w:qFormat/>
    <w:locked/>
    <w:uiPriority w:val="0"/>
  </w:style>
  <w:style w:type="paragraph" w:styleId="23">
    <w:name w:val="Date"/>
    <w:basedOn w:val="1"/>
    <w:next w:val="1"/>
    <w:link w:val="48"/>
    <w:qFormat/>
    <w:uiPriority w:val="0"/>
    <w:pPr>
      <w:ind w:left="100" w:leftChars="2500"/>
    </w:pPr>
    <w:rPr>
      <w:kern w:val="0"/>
      <w:sz w:val="24"/>
      <w:szCs w:val="20"/>
    </w:rPr>
  </w:style>
  <w:style w:type="paragraph" w:styleId="24">
    <w:name w:val="Body Text Indent 2"/>
    <w:basedOn w:val="1"/>
    <w:qFormat/>
    <w:locked/>
    <w:uiPriority w:val="0"/>
    <w:pPr>
      <w:snapToGrid w:val="0"/>
      <w:spacing w:after="120" w:line="480" w:lineRule="auto"/>
      <w:ind w:left="420" w:leftChars="200" w:firstLine="567"/>
    </w:pPr>
    <w:rPr>
      <w:sz w:val="28"/>
      <w:szCs w:val="20"/>
    </w:rPr>
  </w:style>
  <w:style w:type="paragraph" w:styleId="25">
    <w:name w:val="Balloon Text"/>
    <w:basedOn w:val="1"/>
    <w:link w:val="49"/>
    <w:semiHidden/>
    <w:qFormat/>
    <w:uiPriority w:val="0"/>
    <w:rPr>
      <w:kern w:val="0"/>
      <w:sz w:val="18"/>
      <w:szCs w:val="20"/>
    </w:rPr>
  </w:style>
  <w:style w:type="paragraph" w:styleId="26">
    <w:name w:val="footer"/>
    <w:basedOn w:val="1"/>
    <w:link w:val="50"/>
    <w:qFormat/>
    <w:uiPriority w:val="99"/>
    <w:pPr>
      <w:tabs>
        <w:tab w:val="center" w:pos="4153"/>
        <w:tab w:val="right" w:pos="8306"/>
      </w:tabs>
      <w:snapToGrid w:val="0"/>
      <w:jc w:val="left"/>
    </w:pPr>
    <w:rPr>
      <w:kern w:val="0"/>
      <w:sz w:val="18"/>
      <w:szCs w:val="20"/>
    </w:rPr>
  </w:style>
  <w:style w:type="paragraph" w:styleId="27">
    <w:name w:val="header"/>
    <w:basedOn w:val="1"/>
    <w:link w:val="51"/>
    <w:qFormat/>
    <w:uiPriority w:val="0"/>
    <w:pPr>
      <w:pBdr>
        <w:bottom w:val="single" w:color="auto" w:sz="6" w:space="1"/>
      </w:pBdr>
      <w:tabs>
        <w:tab w:val="center" w:pos="4153"/>
        <w:tab w:val="right" w:pos="8306"/>
      </w:tabs>
      <w:snapToGrid w:val="0"/>
      <w:jc w:val="center"/>
    </w:pPr>
    <w:rPr>
      <w:kern w:val="0"/>
      <w:sz w:val="18"/>
      <w:szCs w:val="20"/>
    </w:rPr>
  </w:style>
  <w:style w:type="paragraph" w:styleId="28">
    <w:name w:val="toc 2"/>
    <w:basedOn w:val="1"/>
    <w:next w:val="7"/>
    <w:qFormat/>
    <w:locked/>
    <w:uiPriority w:val="39"/>
    <w:pPr>
      <w:ind w:left="420" w:leftChars="200"/>
    </w:pPr>
  </w:style>
  <w:style w:type="paragraph" w:styleId="29">
    <w:name w:val="Body Text 2"/>
    <w:basedOn w:val="1"/>
    <w:qFormat/>
    <w:locked/>
    <w:uiPriority w:val="0"/>
    <w:pPr>
      <w:spacing w:before="120" w:line="360" w:lineRule="auto"/>
    </w:pPr>
    <w:rPr>
      <w:rFonts w:ascii="宋体" w:hAnsi="Times New Roman" w:eastAsia="宋体" w:cs="Times New Roman"/>
      <w:sz w:val="28"/>
      <w:szCs w:val="20"/>
    </w:rPr>
  </w:style>
  <w:style w:type="paragraph" w:styleId="30">
    <w:name w:val="Normal (Web)"/>
    <w:basedOn w:val="1"/>
    <w:link w:val="52"/>
    <w:qFormat/>
    <w:uiPriority w:val="0"/>
    <w:pPr>
      <w:widowControl/>
      <w:spacing w:before="100" w:beforeAutospacing="1" w:after="100" w:afterAutospacing="1"/>
      <w:jc w:val="left"/>
    </w:pPr>
    <w:rPr>
      <w:rFonts w:ascii="宋体" w:hAnsi="宋体"/>
      <w:kern w:val="0"/>
      <w:sz w:val="24"/>
      <w:szCs w:val="20"/>
    </w:rPr>
  </w:style>
  <w:style w:type="paragraph" w:styleId="31">
    <w:name w:val="annotation subject"/>
    <w:basedOn w:val="17"/>
    <w:next w:val="17"/>
    <w:link w:val="53"/>
    <w:semiHidden/>
    <w:qFormat/>
    <w:uiPriority w:val="0"/>
    <w:rPr>
      <w:b/>
      <w:sz w:val="24"/>
      <w:szCs w:val="20"/>
    </w:rPr>
  </w:style>
  <w:style w:type="paragraph" w:styleId="32">
    <w:name w:val="Body Text First Indent 2"/>
    <w:basedOn w:val="9"/>
    <w:qFormat/>
    <w:locked/>
    <w:uiPriority w:val="0"/>
    <w:pPr>
      <w:widowControl/>
      <w:snapToGrid w:val="0"/>
      <w:spacing w:after="120" w:line="240" w:lineRule="auto"/>
      <w:ind w:left="420" w:leftChars="200" w:firstLine="420" w:firstLineChars="200"/>
      <w:jc w:val="left"/>
    </w:pPr>
    <w:rPr>
      <w:rFonts w:ascii="宋体" w:hAnsi="宋体" w:eastAsia="宋体" w:cs="宋体"/>
      <w:kern w:val="0"/>
      <w:sz w:val="24"/>
      <w:szCs w:val="24"/>
      <w:lang w:val="en-US" w:eastAsia="zh-CN" w:bidi="ar-SA"/>
    </w:rPr>
  </w:style>
  <w:style w:type="table" w:styleId="34">
    <w:name w:val="Table Grid"/>
    <w:basedOn w:val="33"/>
    <w:qFormat/>
    <w:uiPriority w:val="0"/>
    <w:rPr>
      <w:lang w:val="en-US" w:eastAsia="zh-CN" w:bidi="ar-SA"/>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6">
    <w:name w:val="Strong"/>
    <w:basedOn w:val="35"/>
    <w:qFormat/>
    <w:locked/>
    <w:uiPriority w:val="0"/>
    <w:rPr>
      <w:b/>
    </w:rPr>
  </w:style>
  <w:style w:type="character" w:styleId="37">
    <w:name w:val="page number"/>
    <w:basedOn w:val="35"/>
    <w:qFormat/>
    <w:locked/>
    <w:uiPriority w:val="0"/>
  </w:style>
  <w:style w:type="character" w:styleId="38">
    <w:name w:val="Hyperlink"/>
    <w:basedOn w:val="35"/>
    <w:qFormat/>
    <w:locked/>
    <w:uiPriority w:val="0"/>
    <w:rPr>
      <w:color w:val="0000FF"/>
      <w:u w:val="single"/>
    </w:rPr>
  </w:style>
  <w:style w:type="character" w:styleId="39">
    <w:name w:val="annotation reference"/>
    <w:semiHidden/>
    <w:qFormat/>
    <w:uiPriority w:val="0"/>
    <w:rPr>
      <w:sz w:val="21"/>
    </w:rPr>
  </w:style>
  <w:style w:type="paragraph" w:customStyle="1" w:styleId="40">
    <w:name w:val="Default1"/>
    <w:basedOn w:val="41"/>
    <w:next w:val="1"/>
    <w:link w:val="43"/>
    <w:qFormat/>
    <w:uiPriority w:val="0"/>
    <w:pPr>
      <w:widowControl w:val="0"/>
      <w:autoSpaceDE w:val="0"/>
      <w:autoSpaceDN w:val="0"/>
      <w:adjustRightInd w:val="0"/>
    </w:pPr>
    <w:rPr>
      <w:rFonts w:ascii="宋体" w:hAnsi="Times New Roman" w:cs="宋体"/>
      <w:color w:val="000000"/>
      <w:sz w:val="24"/>
      <w:szCs w:val="24"/>
      <w:lang w:val="en-US" w:eastAsia="zh-CN" w:bidi="ar-SA"/>
    </w:rPr>
  </w:style>
  <w:style w:type="paragraph" w:customStyle="1" w:styleId="41">
    <w:name w:val="表格文字01"/>
    <w:basedOn w:val="1"/>
    <w:qFormat/>
    <w:uiPriority w:val="0"/>
    <w:pPr>
      <w:wordWrap w:val="0"/>
      <w:overflowPunct w:val="0"/>
      <w:topLinePunct/>
      <w:jc w:val="center"/>
    </w:pPr>
    <w:rPr>
      <w:rFonts w:ascii="Arial" w:hAnsi="Arial" w:eastAsia="宋体" w:cs="Times New Roman"/>
      <w:snapToGrid w:val="0"/>
      <w:color w:val="000000"/>
      <w:szCs w:val="20"/>
    </w:rPr>
  </w:style>
  <w:style w:type="paragraph" w:customStyle="1" w:styleId="42">
    <w:name w:val="正文样式1"/>
    <w:next w:val="1"/>
    <w:qFormat/>
    <w:uiPriority w:val="0"/>
    <w:pPr>
      <w:widowControl w:val="0"/>
      <w:adjustRightInd w:val="0"/>
      <w:spacing w:line="360" w:lineRule="auto"/>
      <w:ind w:firstLine="360" w:firstLineChars="150"/>
      <w:jc w:val="both"/>
      <w:textAlignment w:val="baseline"/>
    </w:pPr>
    <w:rPr>
      <w:rFonts w:ascii="宋体" w:hAnsi="宋体" w:eastAsia="宋体" w:cs="Times New Roman"/>
      <w:color w:val="FF0000"/>
      <w:kern w:val="0"/>
      <w:sz w:val="24"/>
      <w:szCs w:val="20"/>
      <w:lang w:val="en-US" w:eastAsia="zh-CN" w:bidi="ar-SA"/>
    </w:rPr>
  </w:style>
  <w:style w:type="character" w:customStyle="1" w:styleId="43">
    <w:name w:val="Default1 Char"/>
    <w:link w:val="40"/>
    <w:qFormat/>
    <w:uiPriority w:val="0"/>
    <w:rPr>
      <w:rFonts w:ascii="宋体" w:hAnsi="Times New Roman" w:cs="宋体"/>
      <w:color w:val="000000"/>
      <w:sz w:val="24"/>
      <w:szCs w:val="24"/>
      <w:lang w:val="en-US" w:eastAsia="zh-CN" w:bidi="ar-SA"/>
    </w:rPr>
  </w:style>
  <w:style w:type="character" w:customStyle="1" w:styleId="44">
    <w:name w:val="标题 2 Char"/>
    <w:link w:val="3"/>
    <w:qFormat/>
    <w:uiPriority w:val="0"/>
    <w:rPr>
      <w:rFonts w:hint="eastAsia" w:ascii="宋体" w:hAnsi="宋体" w:eastAsia="宋体" w:cs="宋体"/>
      <w:b/>
      <w:bCs/>
      <w:kern w:val="0"/>
      <w:sz w:val="36"/>
      <w:szCs w:val="36"/>
      <w:lang w:val="en-US" w:eastAsia="zh-CN" w:bidi="ar"/>
    </w:rPr>
  </w:style>
  <w:style w:type="character" w:customStyle="1" w:styleId="45">
    <w:name w:val="正文文本缩进 Char"/>
    <w:link w:val="9"/>
    <w:semiHidden/>
    <w:qFormat/>
    <w:locked/>
    <w:uiPriority w:val="0"/>
    <w:rPr>
      <w:rFonts w:ascii="Times New Roman" w:hAnsi="Times New Roman" w:eastAsia="宋体"/>
      <w:sz w:val="24"/>
    </w:rPr>
  </w:style>
  <w:style w:type="character" w:customStyle="1" w:styleId="46">
    <w:name w:val="批注文字 Char"/>
    <w:link w:val="17"/>
    <w:qFormat/>
    <w:locked/>
    <w:uiPriority w:val="0"/>
    <w:rPr>
      <w:rFonts w:ascii="Times New Roman" w:hAnsi="Times New Roman" w:eastAsia="宋体"/>
      <w:sz w:val="24"/>
    </w:rPr>
  </w:style>
  <w:style w:type="character" w:customStyle="1" w:styleId="47">
    <w:name w:val="正文文本 Char"/>
    <w:link w:val="18"/>
    <w:qFormat/>
    <w:locked/>
    <w:uiPriority w:val="0"/>
    <w:rPr>
      <w:sz w:val="18"/>
    </w:rPr>
  </w:style>
  <w:style w:type="character" w:customStyle="1" w:styleId="48">
    <w:name w:val="日期 Char"/>
    <w:link w:val="23"/>
    <w:qFormat/>
    <w:locked/>
    <w:uiPriority w:val="0"/>
    <w:rPr>
      <w:rFonts w:ascii="Times New Roman" w:hAnsi="Times New Roman" w:eastAsia="宋体"/>
      <w:sz w:val="24"/>
    </w:rPr>
  </w:style>
  <w:style w:type="character" w:customStyle="1" w:styleId="49">
    <w:name w:val="批注框文本 Char"/>
    <w:link w:val="25"/>
    <w:semiHidden/>
    <w:qFormat/>
    <w:locked/>
    <w:uiPriority w:val="0"/>
    <w:rPr>
      <w:rFonts w:ascii="Times New Roman" w:hAnsi="Times New Roman" w:eastAsia="宋体"/>
      <w:sz w:val="18"/>
    </w:rPr>
  </w:style>
  <w:style w:type="character" w:customStyle="1" w:styleId="50">
    <w:name w:val="页脚 Char"/>
    <w:link w:val="26"/>
    <w:qFormat/>
    <w:locked/>
    <w:uiPriority w:val="99"/>
    <w:rPr>
      <w:sz w:val="18"/>
    </w:rPr>
  </w:style>
  <w:style w:type="character" w:customStyle="1" w:styleId="51">
    <w:name w:val="页眉 Char"/>
    <w:link w:val="27"/>
    <w:qFormat/>
    <w:locked/>
    <w:uiPriority w:val="0"/>
    <w:rPr>
      <w:sz w:val="18"/>
    </w:rPr>
  </w:style>
  <w:style w:type="character" w:customStyle="1" w:styleId="52">
    <w:name w:val="普通(网站) Char"/>
    <w:link w:val="30"/>
    <w:qFormat/>
    <w:locked/>
    <w:uiPriority w:val="0"/>
    <w:rPr>
      <w:rFonts w:ascii="宋体" w:hAnsi="宋体" w:eastAsia="宋体"/>
      <w:sz w:val="24"/>
    </w:rPr>
  </w:style>
  <w:style w:type="character" w:customStyle="1" w:styleId="53">
    <w:name w:val="批注主题 Char"/>
    <w:link w:val="31"/>
    <w:semiHidden/>
    <w:qFormat/>
    <w:locked/>
    <w:uiPriority w:val="0"/>
    <w:rPr>
      <w:rFonts w:ascii="Times New Roman" w:hAnsi="Times New Roman" w:eastAsia="宋体"/>
      <w:b/>
      <w:kern w:val="2"/>
      <w:sz w:val="24"/>
    </w:rPr>
  </w:style>
  <w:style w:type="character" w:customStyle="1" w:styleId="54">
    <w:name w:val="页脚 字符"/>
    <w:basedOn w:val="35"/>
    <w:qFormat/>
    <w:uiPriority w:val="99"/>
  </w:style>
  <w:style w:type="character" w:customStyle="1" w:styleId="55">
    <w:name w:val="正文文本 字符1"/>
    <w:semiHidden/>
    <w:qFormat/>
    <w:uiPriority w:val="0"/>
    <w:rPr>
      <w:rFonts w:ascii="Times New Roman" w:hAnsi="Times New Roman" w:eastAsia="宋体"/>
      <w:sz w:val="24"/>
    </w:rPr>
  </w:style>
  <w:style w:type="character" w:customStyle="1" w:styleId="56">
    <w:name w:val="表格 Char"/>
    <w:link w:val="57"/>
    <w:qFormat/>
    <w:locked/>
    <w:uiPriority w:val="0"/>
    <w:rPr>
      <w:rFonts w:ascii="宋体"/>
      <w:sz w:val="21"/>
    </w:rPr>
  </w:style>
  <w:style w:type="paragraph" w:customStyle="1" w:styleId="57">
    <w:name w:val="表格"/>
    <w:basedOn w:val="1"/>
    <w:next w:val="1"/>
    <w:link w:val="56"/>
    <w:qFormat/>
    <w:uiPriority w:val="0"/>
    <w:pPr>
      <w:adjustRightInd w:val="0"/>
      <w:snapToGrid w:val="0"/>
      <w:spacing w:beforeLines="10" w:afterLines="10" w:line="259" w:lineRule="auto"/>
      <w:jc w:val="center"/>
    </w:pPr>
    <w:rPr>
      <w:rFonts w:ascii="宋体"/>
      <w:kern w:val="0"/>
      <w:szCs w:val="20"/>
    </w:rPr>
  </w:style>
  <w:style w:type="character" w:customStyle="1" w:styleId="58">
    <w:name w:val="日期 字符"/>
    <w:semiHidden/>
    <w:qFormat/>
    <w:uiPriority w:val="0"/>
    <w:rPr>
      <w:rFonts w:ascii="Times New Roman" w:hAnsi="Times New Roman" w:eastAsia="宋体"/>
      <w:sz w:val="24"/>
    </w:rPr>
  </w:style>
  <w:style w:type="character" w:customStyle="1" w:styleId="59">
    <w:name w:val="批注文字 字符1"/>
    <w:semiHidden/>
    <w:qFormat/>
    <w:uiPriority w:val="0"/>
    <w:rPr>
      <w:rFonts w:ascii="Times New Roman" w:hAnsi="Times New Roman" w:eastAsia="宋体"/>
      <w:sz w:val="24"/>
    </w:rPr>
  </w:style>
  <w:style w:type="paragraph" w:customStyle="1" w:styleId="60">
    <w:name w:val="正文_10"/>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61">
    <w:name w:val="普通(网站)2"/>
    <w:basedOn w:val="1"/>
    <w:qFormat/>
    <w:uiPriority w:val="0"/>
    <w:pPr>
      <w:widowControl/>
      <w:spacing w:before="100" w:beforeAutospacing="1" w:after="100" w:afterAutospacing="1"/>
      <w:jc w:val="left"/>
    </w:pPr>
    <w:rPr>
      <w:rFonts w:ascii="宋体" w:hAnsi="宋体"/>
      <w:sz w:val="24"/>
      <w:szCs w:val="20"/>
    </w:rPr>
  </w:style>
  <w:style w:type="paragraph" w:customStyle="1" w:styleId="62">
    <w:name w:val="表格内容"/>
    <w:basedOn w:val="1"/>
    <w:qFormat/>
    <w:uiPriority w:val="0"/>
    <w:pPr>
      <w:jc w:val="center"/>
    </w:pPr>
    <w:rPr>
      <w:szCs w:val="21"/>
      <w:lang w:val="zh-CN"/>
    </w:rPr>
  </w:style>
  <w:style w:type="paragraph" w:customStyle="1" w:styleId="63">
    <w:name w:val="Table Paragraph"/>
    <w:basedOn w:val="1"/>
    <w:qFormat/>
    <w:uiPriority w:val="1"/>
    <w:rPr>
      <w:rFonts w:ascii="宋体" w:hAnsi="宋体" w:eastAsia="宋体" w:cs="宋体"/>
      <w:lang w:val="zh-CN" w:eastAsia="zh-CN" w:bidi="zh-CN"/>
    </w:rPr>
  </w:style>
  <w:style w:type="paragraph" w:customStyle="1" w:styleId="64">
    <w:name w:val="Default"/>
    <w:basedOn w:val="65"/>
    <w:next w:val="1"/>
    <w:qFormat/>
    <w:uiPriority w:val="0"/>
    <w:pPr>
      <w:autoSpaceDE w:val="0"/>
      <w:autoSpaceDN w:val="0"/>
      <w:adjustRightInd w:val="0"/>
      <w:jc w:val="left"/>
    </w:pPr>
    <w:rPr>
      <w:color w:val="000000"/>
      <w:kern w:val="0"/>
      <w:sz w:val="24"/>
    </w:rPr>
  </w:style>
  <w:style w:type="paragraph" w:customStyle="1" w:styleId="65">
    <w:name w:val="纯文本1"/>
    <w:basedOn w:val="1"/>
    <w:next w:val="21"/>
    <w:qFormat/>
    <w:uiPriority w:val="0"/>
    <w:pPr>
      <w:adjustRightInd w:val="0"/>
      <w:ind w:firstLine="0"/>
      <w:jc w:val="center"/>
      <w:textAlignment w:val="baseline"/>
    </w:pPr>
    <w:rPr>
      <w:rFonts w:ascii="宋体" w:hAnsi="Courier New"/>
    </w:rPr>
  </w:style>
  <w:style w:type="paragraph" w:customStyle="1" w:styleId="66">
    <w:name w:val="样式35"/>
    <w:basedOn w:val="67"/>
    <w:next w:val="71"/>
    <w:qFormat/>
    <w:uiPriority w:val="0"/>
    <w:pPr>
      <w:widowControl w:val="0"/>
      <w:tabs>
        <w:tab w:val="left" w:pos="0"/>
        <w:tab w:val="left" w:pos="360"/>
        <w:tab w:val="left" w:pos="540"/>
        <w:tab w:val="left" w:pos="567"/>
      </w:tabs>
      <w:autoSpaceDE/>
      <w:autoSpaceDN/>
      <w:spacing w:before="0" w:after="0" w:line="312" w:lineRule="auto"/>
      <w:ind w:left="0" w:firstLine="567"/>
      <w:jc w:val="both"/>
    </w:pPr>
    <w:rPr>
      <w:rFonts w:ascii="宋体" w:eastAsia="宋体"/>
      <w:sz w:val="28"/>
    </w:rPr>
  </w:style>
  <w:style w:type="paragraph" w:customStyle="1" w:styleId="67">
    <w:name w:val="样式26"/>
    <w:basedOn w:val="68"/>
    <w:qFormat/>
    <w:uiPriority w:val="0"/>
    <w:pPr>
      <w:tabs>
        <w:tab w:val="left" w:pos="0"/>
        <w:tab w:val="left" w:pos="360"/>
        <w:tab w:val="left" w:pos="540"/>
        <w:tab w:val="left" w:pos="567"/>
      </w:tabs>
    </w:pPr>
  </w:style>
  <w:style w:type="paragraph" w:customStyle="1" w:styleId="68">
    <w:name w:val="样式21"/>
    <w:basedOn w:val="69"/>
    <w:qFormat/>
    <w:uiPriority w:val="0"/>
    <w:pPr>
      <w:tabs>
        <w:tab w:val="left" w:pos="360"/>
        <w:tab w:val="left" w:pos="567"/>
      </w:tabs>
      <w:spacing w:before="120" w:beforeLines="0" w:after="120" w:afterLines="0"/>
      <w:ind w:hanging="992"/>
    </w:pPr>
  </w:style>
  <w:style w:type="paragraph" w:customStyle="1" w:styleId="69">
    <w:name w:val="样式5"/>
    <w:basedOn w:val="70"/>
    <w:qFormat/>
    <w:uiPriority w:val="0"/>
    <w:pPr>
      <w:tabs>
        <w:tab w:val="left" w:pos="360"/>
        <w:tab w:val="left" w:pos="567"/>
      </w:tabs>
    </w:pPr>
  </w:style>
  <w:style w:type="paragraph" w:customStyle="1" w:styleId="70">
    <w:name w:val="样式12"/>
    <w:basedOn w:val="1"/>
    <w:qFormat/>
    <w:uiPriority w:val="0"/>
    <w:pPr>
      <w:keepNext/>
      <w:keepLines/>
      <w:tabs>
        <w:tab w:val="left" w:pos="360"/>
      </w:tabs>
      <w:spacing w:before="156" w:beforeLines="50" w:after="156" w:afterLines="50" w:line="360" w:lineRule="auto"/>
      <w:ind w:left="567" w:hanging="567"/>
      <w:outlineLvl w:val="1"/>
    </w:pPr>
    <w:rPr>
      <w:rFonts w:ascii="Times New Roman" w:hAnsi="Times New Roman" w:eastAsia="MS Mincho"/>
      <w:kern w:val="0"/>
      <w:sz w:val="28"/>
      <w:szCs w:val="28"/>
    </w:rPr>
  </w:style>
  <w:style w:type="paragraph" w:customStyle="1" w:styleId="71">
    <w:name w:val="font6"/>
    <w:basedOn w:val="1"/>
    <w:next w:val="28"/>
    <w:qFormat/>
    <w:uiPriority w:val="0"/>
    <w:pPr>
      <w:widowControl/>
      <w:autoSpaceDE/>
      <w:autoSpaceDN/>
      <w:spacing w:before="280" w:after="280" w:line="240" w:lineRule="auto"/>
      <w:ind w:left="0" w:firstLine="0"/>
    </w:pPr>
    <w:rPr>
      <w:rFonts w:ascii="Times New Roman" w:eastAsia="宋体"/>
      <w:sz w:val="21"/>
    </w:rPr>
  </w:style>
  <w:style w:type="paragraph" w:customStyle="1" w:styleId="72">
    <w:name w:val="图文"/>
    <w:basedOn w:val="1"/>
    <w:qFormat/>
    <w:uiPriority w:val="0"/>
    <w:pPr>
      <w:adjustRightInd w:val="0"/>
      <w:snapToGrid w:val="0"/>
      <w:spacing w:line="240" w:lineRule="atLeast"/>
    </w:pPr>
    <w:rPr>
      <w:rFonts w:ascii="Calibri" w:hAnsi="Calibri" w:eastAsia="宋体" w:cs="Calibri"/>
      <w:sz w:val="24"/>
      <w:szCs w:val="22"/>
    </w:rPr>
  </w:style>
  <w:style w:type="paragraph" w:customStyle="1" w:styleId="73">
    <w:name w:val="表格 32"/>
    <w:qFormat/>
    <w:uiPriority w:val="0"/>
    <w:pPr>
      <w:widowControl w:val="0"/>
      <w:autoSpaceDE w:val="0"/>
      <w:autoSpaceDN w:val="0"/>
      <w:adjustRightInd w:val="0"/>
      <w:jc w:val="center"/>
      <w:textAlignment w:val="baseline"/>
    </w:pPr>
    <w:rPr>
      <w:rFonts w:ascii="宋体" w:hAnsi="Impact" w:eastAsia="宋体" w:cs="Times New Roman"/>
      <w:kern w:val="24"/>
      <w:sz w:val="24"/>
      <w:szCs w:val="20"/>
      <w:lang w:val="en-US" w:eastAsia="zh-CN" w:bidi="ar-SA"/>
    </w:rPr>
  </w:style>
  <w:style w:type="paragraph" w:customStyle="1" w:styleId="74">
    <w:name w:val="Table Text"/>
    <w:basedOn w:val="1"/>
    <w:semiHidden/>
    <w:qFormat/>
    <w:uiPriority w:val="0"/>
    <w:rPr>
      <w:rFonts w:ascii="宋体" w:hAnsi="宋体" w:eastAsia="宋体" w:cs="宋体"/>
      <w:sz w:val="20"/>
      <w:szCs w:val="20"/>
      <w:lang w:val="en-US" w:eastAsia="en-US" w:bidi="ar-SA"/>
    </w:rPr>
  </w:style>
  <w:style w:type="paragraph" w:customStyle="1" w:styleId="75">
    <w:name w:val="Normal Indent1"/>
    <w:basedOn w:val="1"/>
    <w:qFormat/>
    <w:uiPriority w:val="0"/>
    <w:pPr>
      <w:ind w:firstLine="420"/>
    </w:pPr>
  </w:style>
  <w:style w:type="paragraph" w:customStyle="1" w:styleId="76">
    <w:name w:val="陈表格"/>
    <w:basedOn w:val="1"/>
    <w:qFormat/>
    <w:uiPriority w:val="0"/>
    <w:pPr>
      <w:wordWrap w:val="0"/>
      <w:overflowPunct w:val="0"/>
      <w:topLinePunct/>
      <w:adjustRightInd w:val="0"/>
      <w:snapToGrid w:val="0"/>
      <w:spacing w:line="360" w:lineRule="auto"/>
      <w:ind w:firstLine="200" w:firstLineChars="200"/>
    </w:pPr>
    <w:rPr>
      <w:snapToGrid w:val="0"/>
      <w:color w:val="000000"/>
      <w:szCs w:val="22"/>
    </w:rPr>
  </w:style>
  <w:style w:type="paragraph" w:customStyle="1" w:styleId="77">
    <w:name w:val="表格正文 YP"/>
    <w:basedOn w:val="1"/>
    <w:qFormat/>
    <w:uiPriority w:val="0"/>
    <w:pPr>
      <w:jc w:val="center"/>
    </w:pPr>
    <w:rPr>
      <w:rFonts w:ascii="Times New Roman" w:hAnsi="宋体" w:eastAsia="宋体" w:cs="Times New Roman"/>
      <w:szCs w:val="21"/>
    </w:rPr>
  </w:style>
  <w:style w:type="paragraph" w:customStyle="1" w:styleId="78">
    <w:name w:val="yang"/>
    <w:basedOn w:val="1"/>
    <w:qFormat/>
    <w:uiPriority w:val="0"/>
    <w:pPr>
      <w:spacing w:line="360" w:lineRule="auto"/>
      <w:ind w:firstLine="720" w:firstLineChars="200"/>
      <w:jc w:val="left"/>
    </w:pPr>
    <w:rPr>
      <w:rFonts w:ascii="Times New Roman" w:hAnsi="Times New Roman"/>
      <w:sz w:val="24"/>
    </w:rPr>
  </w:style>
  <w:style w:type="paragraph" w:customStyle="1" w:styleId="79">
    <w:name w:val="a正文"/>
    <w:basedOn w:val="1"/>
    <w:qFormat/>
    <w:uiPriority w:val="0"/>
    <w:pPr>
      <w:spacing w:line="360" w:lineRule="auto"/>
      <w:ind w:firstLine="428" w:firstLineChars="200"/>
    </w:pPr>
    <w:rPr>
      <w:spacing w:val="4"/>
      <w:kern w:val="0"/>
      <w:szCs w:val="22"/>
    </w:rPr>
  </w:style>
  <w:style w:type="paragraph" w:customStyle="1" w:styleId="80">
    <w:name w:val="样式48"/>
    <w:basedOn w:val="81"/>
    <w:qFormat/>
    <w:uiPriority w:val="0"/>
    <w:pPr>
      <w:widowControl w:val="0"/>
      <w:numPr>
        <w:ilvl w:val="0"/>
        <w:numId w:val="4"/>
      </w:numPr>
      <w:spacing w:before="50" w:beforeLines="50"/>
      <w:jc w:val="center"/>
      <w:outlineLvl w:val="4"/>
    </w:pPr>
    <w:rPr>
      <w:rFonts w:ascii="Times New Roman" w:hAnsi="Times New Roman" w:eastAsia="宋体" w:cs="Times New Roman"/>
      <w:b w:val="0"/>
      <w:kern w:val="0"/>
      <w:sz w:val="20"/>
      <w:szCs w:val="20"/>
      <w:lang w:val="en-US" w:eastAsia="zh-CN" w:bidi="ar-SA"/>
    </w:rPr>
  </w:style>
  <w:style w:type="paragraph" w:customStyle="1" w:styleId="81">
    <w:name w:val="表头 YP"/>
    <w:qFormat/>
    <w:uiPriority w:val="0"/>
    <w:pPr>
      <w:widowControl w:val="0"/>
      <w:spacing w:before="50" w:beforeLines="50"/>
      <w:jc w:val="center"/>
      <w:outlineLvl w:val="4"/>
    </w:pPr>
    <w:rPr>
      <w:rFonts w:ascii="Times New Roman" w:hAnsi="Times New Roman" w:eastAsia="宋体" w:cs="Times New Roman"/>
      <w:b/>
      <w:kern w:val="2"/>
      <w:sz w:val="21"/>
      <w:szCs w:val="20"/>
      <w:lang w:val="en-US" w:eastAsia="zh-CN" w:bidi="ar-SA"/>
    </w:rPr>
  </w:style>
  <w:style w:type="paragraph" w:customStyle="1" w:styleId="82">
    <w:name w:val="表头d"/>
    <w:basedOn w:val="1"/>
    <w:qFormat/>
    <w:uiPriority w:val="0"/>
    <w:pPr>
      <w:numPr>
        <w:ilvl w:val="0"/>
        <w:numId w:val="5"/>
      </w:numPr>
      <w:jc w:val="center"/>
    </w:pPr>
    <w:rPr>
      <w:b/>
      <w:sz w:val="24"/>
    </w:rPr>
  </w:style>
  <w:style w:type="paragraph" w:customStyle="1" w:styleId="83">
    <w:name w:val="报告表正文"/>
    <w:qFormat/>
    <w:uiPriority w:val="0"/>
    <w:pPr>
      <w:widowControl w:val="0"/>
      <w:spacing w:line="360" w:lineRule="auto"/>
      <w:ind w:firstLine="200" w:firstLineChars="200"/>
      <w:jc w:val="both"/>
    </w:pPr>
    <w:rPr>
      <w:rFonts w:ascii="Times New Roman" w:hAnsi="Times New Roman" w:eastAsia="仿宋体" w:cs="Times New Roman"/>
      <w:kern w:val="2"/>
      <w:sz w:val="24"/>
      <w:szCs w:val="20"/>
      <w:lang w:val="en-US" w:eastAsia="zh-CN" w:bidi="ar-SA"/>
    </w:rPr>
  </w:style>
  <w:style w:type="paragraph" w:customStyle="1" w:styleId="84">
    <w:name w:val="A正文"/>
    <w:basedOn w:val="1"/>
    <w:next w:val="18"/>
    <w:qFormat/>
    <w:uiPriority w:val="0"/>
    <w:pPr>
      <w:spacing w:line="360" w:lineRule="auto"/>
      <w:ind w:firstLine="200" w:firstLineChars="200"/>
    </w:pPr>
    <w:rPr>
      <w:sz w:val="24"/>
      <w:lang w:val="zh-CN"/>
    </w:rPr>
  </w:style>
  <w:style w:type="paragraph" w:customStyle="1" w:styleId="85">
    <w:name w:val="自定标题3"/>
    <w:basedOn w:val="4"/>
    <w:next w:val="86"/>
    <w:qFormat/>
    <w:uiPriority w:val="0"/>
    <w:pPr>
      <w:keepNext w:val="0"/>
      <w:keepLines w:val="0"/>
      <w:snapToGrid w:val="0"/>
      <w:spacing w:before="120" w:beforeLines="50" w:after="0" w:line="360" w:lineRule="auto"/>
      <w:ind w:left="0"/>
      <w:jc w:val="left"/>
    </w:pPr>
    <w:rPr>
      <w:bCs w:val="0"/>
      <w:snapToGrid w:val="0"/>
      <w:sz w:val="24"/>
      <w:szCs w:val="20"/>
    </w:rPr>
  </w:style>
  <w:style w:type="paragraph" w:customStyle="1" w:styleId="86">
    <w:name w:val="自定正文"/>
    <w:basedOn w:val="1"/>
    <w:qFormat/>
    <w:uiPriority w:val="0"/>
    <w:pPr>
      <w:snapToGrid w:val="0"/>
      <w:spacing w:line="360" w:lineRule="auto"/>
      <w:ind w:firstLine="200" w:firstLineChars="200"/>
      <w:textAlignment w:val="center"/>
    </w:pPr>
    <w:rPr>
      <w:rFonts w:ascii="Arial" w:hAnsi="Arial" w:eastAsia="宋体" w:cs="Times New Roman"/>
      <w:snapToGrid w:val="0"/>
      <w:color w:val="000000"/>
      <w:szCs w:val="20"/>
    </w:rPr>
  </w:style>
  <w:style w:type="paragraph" w:customStyle="1" w:styleId="87">
    <w:name w:val="WPSOffice手动目录 1"/>
    <w:qFormat/>
    <w:uiPriority w:val="0"/>
    <w:pPr>
      <w:ind w:leftChars="0"/>
    </w:pPr>
    <w:rPr>
      <w:rFonts w:ascii="Times New Roman" w:hAnsi="Times New Roman" w:eastAsia="宋体" w:cs="Times New Roman"/>
      <w:sz w:val="20"/>
      <w:szCs w:val="20"/>
    </w:rPr>
  </w:style>
  <w:style w:type="table" w:customStyle="1" w:styleId="88">
    <w:name w:val="Table Normal"/>
    <w:unhideWhenUsed/>
    <w:qFormat/>
    <w:uiPriority w:val="0"/>
    <w:tblPr>
      <w:tblCellMar>
        <w:top w:w="0" w:type="dxa"/>
        <w:left w:w="0" w:type="dxa"/>
        <w:bottom w:w="0" w:type="dxa"/>
        <w:right w:w="0" w:type="dxa"/>
      </w:tblCellMar>
    </w:tblPr>
  </w:style>
  <w:style w:type="character" w:customStyle="1" w:styleId="89">
    <w:name w:val="font31"/>
    <w:basedOn w:val="35"/>
    <w:qFormat/>
    <w:uiPriority w:val="0"/>
    <w:rPr>
      <w:rFonts w:hint="default" w:ascii="Times New Roman" w:hAnsi="Times New Roman" w:cs="Times New Roman"/>
      <w:color w:val="000000"/>
      <w:sz w:val="21"/>
      <w:szCs w:val="21"/>
      <w:u w:val="none"/>
    </w:rPr>
  </w:style>
  <w:style w:type="character" w:customStyle="1" w:styleId="90">
    <w:name w:val="font21"/>
    <w:basedOn w:val="35"/>
    <w:qFormat/>
    <w:uiPriority w:val="0"/>
    <w:rPr>
      <w:rFonts w:hint="eastAsia" w:ascii="宋体" w:hAnsi="宋体" w:eastAsia="宋体" w:cs="宋体"/>
      <w:color w:val="000000"/>
      <w:sz w:val="21"/>
      <w:szCs w:val="21"/>
      <w:u w:val="none"/>
    </w:rPr>
  </w:style>
  <w:style w:type="character" w:customStyle="1" w:styleId="91">
    <w:name w:val="font51"/>
    <w:basedOn w:val="35"/>
    <w:qFormat/>
    <w:uiPriority w:val="0"/>
    <w:rPr>
      <w:rFonts w:hint="default" w:ascii="Times New Roman" w:hAnsi="Times New Roman" w:cs="Times New Roman"/>
      <w:b/>
      <w:bCs/>
      <w:color w:val="000000"/>
      <w:sz w:val="21"/>
      <w:szCs w:val="21"/>
      <w:u w:val="none"/>
    </w:rPr>
  </w:style>
  <w:style w:type="character" w:customStyle="1" w:styleId="92">
    <w:name w:val="font41"/>
    <w:basedOn w:val="35"/>
    <w:qFormat/>
    <w:uiPriority w:val="0"/>
    <w:rPr>
      <w:rFonts w:hint="default" w:ascii="Times New Roman" w:hAnsi="Times New Roman" w:cs="Times New Roman"/>
      <w:b/>
      <w:bCs/>
      <w:color w:val="000000"/>
      <w:sz w:val="21"/>
      <w:szCs w:val="21"/>
      <w:u w:val="none"/>
    </w:rPr>
  </w:style>
  <w:style w:type="character" w:customStyle="1" w:styleId="93">
    <w:name w:val="font11"/>
    <w:basedOn w:val="35"/>
    <w:qFormat/>
    <w:uiPriority w:val="0"/>
    <w:rPr>
      <w:rFonts w:hint="eastAsia" w:ascii="宋体" w:hAnsi="宋体" w:eastAsia="宋体" w:cs="宋体"/>
      <w:b/>
      <w:bCs/>
      <w:color w:val="000000"/>
      <w:sz w:val="21"/>
      <w:szCs w:val="21"/>
      <w:u w:val="none"/>
    </w:rPr>
  </w:style>
  <w:style w:type="character" w:customStyle="1" w:styleId="94">
    <w:name w:val="font61"/>
    <w:basedOn w:val="35"/>
    <w:qFormat/>
    <w:uiPriority w:val="0"/>
    <w:rPr>
      <w:rFonts w:hint="default" w:ascii="Times New Roman" w:hAnsi="Times New Roman" w:cs="Times New Roman"/>
      <w:b/>
      <w:bCs/>
      <w:color w:val="FF0000"/>
      <w:sz w:val="21"/>
      <w:szCs w:val="21"/>
      <w:u w:val="none"/>
    </w:rPr>
  </w:style>
  <w:style w:type="character" w:customStyle="1" w:styleId="95">
    <w:name w:val="font71"/>
    <w:basedOn w:val="35"/>
    <w:qFormat/>
    <w:uiPriority w:val="0"/>
    <w:rPr>
      <w:rFonts w:hint="default" w:ascii="Times New Roman" w:hAnsi="Times New Roman" w:cs="Times New Roman"/>
      <w:b/>
      <w:bCs/>
      <w:color w:val="000000"/>
      <w:sz w:val="21"/>
      <w:szCs w:val="21"/>
      <w:u w:val="none"/>
    </w:rPr>
  </w:style>
  <w:style w:type="paragraph" w:customStyle="1" w:styleId="96">
    <w:name w:val="报告表正文标注文字"/>
    <w:basedOn w:val="83"/>
    <w:qFormat/>
    <w:uiPriority w:val="0"/>
    <w:pPr>
      <w:ind w:firstLine="482"/>
    </w:pPr>
    <w:rPr>
      <w:b/>
      <w:color w:val="FF0000"/>
    </w:rPr>
  </w:style>
  <w:style w:type="character" w:customStyle="1" w:styleId="97">
    <w:name w:val="font81"/>
    <w:basedOn w:val="35"/>
    <w:qFormat/>
    <w:uiPriority w:val="0"/>
    <w:rPr>
      <w:rFonts w:hint="default" w:ascii="Times New Roman" w:hAnsi="Times New Roman" w:cs="Times New Roman"/>
      <w:color w:val="000000"/>
      <w:sz w:val="21"/>
      <w:szCs w:val="21"/>
      <w:u w:val="none"/>
    </w:rPr>
  </w:style>
  <w:style w:type="paragraph" w:customStyle="1" w:styleId="98">
    <w:name w:val="Normal"/>
    <w:qFormat/>
    <w:uiPriority w:val="0"/>
    <w:pPr>
      <w:jc w:val="both"/>
    </w:pPr>
    <w:rPr>
      <w:rFonts w:ascii="Times New Roman" w:hAnsi="Times New Roman" w:eastAsia="宋体" w:cs="Times New Roman"/>
      <w:kern w:val="2"/>
      <w:sz w:val="21"/>
      <w:szCs w:val="21"/>
      <w:lang w:val="en-US" w:eastAsia="zh-CN" w:bidi="ar-SA"/>
    </w:rPr>
  </w:style>
  <w:style w:type="paragraph" w:customStyle="1" w:styleId="99">
    <w:name w:val="样式 黑色 行距: 最小值 26 磅"/>
    <w:basedOn w:val="1"/>
    <w:qFormat/>
    <w:uiPriority w:val="0"/>
    <w:pPr>
      <w:ind w:firstLine="200" w:firstLineChars="200"/>
      <w:jc w:val="left"/>
    </w:pPr>
    <w:rPr>
      <w:rFonts w:ascii="Times New Roman" w:hAnsi="Times New Roman" w:eastAsia="楷体_GB2312" w:cs="宋体"/>
      <w:color w:val="000000"/>
      <w:spacing w:val="6"/>
      <w:sz w:val="28"/>
      <w:szCs w:val="20"/>
    </w:rPr>
  </w:style>
  <w:style w:type="paragraph" w:customStyle="1" w:styleId="100">
    <w:name w:val="样式 样式 (中文) 仿宋_GB2312 居中1 + 小四"/>
    <w:basedOn w:val="1"/>
    <w:qFormat/>
    <w:uiPriority w:val="0"/>
    <w:pPr>
      <w:jc w:val="center"/>
    </w:pPr>
    <w:rPr>
      <w:sz w:val="24"/>
      <w:szCs w:val="20"/>
    </w:rPr>
  </w:style>
  <w:style w:type="paragraph" w:customStyle="1" w:styleId="101">
    <w:name w:val="宗兴正文"/>
    <w:basedOn w:val="1"/>
    <w:qFormat/>
    <w:uiPriority w:val="0"/>
    <w:pPr>
      <w:spacing w:before="93" w:after="93" w:line="360" w:lineRule="auto"/>
      <w:ind w:firstLine="480" w:firstLineChars="200"/>
      <w:jc w:val="left"/>
    </w:pPr>
    <w:rPr>
      <w:sz w:val="24"/>
    </w:rPr>
  </w:style>
</w:styles>
</file>

<file path=word/_rels/document.xml.rels><?xml version="1.0" encoding="UTF-8" standalone="yes"?>
<Relationships xmlns="http://schemas.openxmlformats.org/package/2006/relationships"><Relationship Id="rId9" Type="http://schemas.openxmlformats.org/officeDocument/2006/relationships/footer" Target="footer7.xml"/><Relationship Id="rId8" Type="http://schemas.openxmlformats.org/officeDocument/2006/relationships/footer" Target="footer6.xml"/><Relationship Id="rId7" Type="http://schemas.openxmlformats.org/officeDocument/2006/relationships/footer" Target="footer5.xml"/><Relationship Id="rId6" Type="http://schemas.openxmlformats.org/officeDocument/2006/relationships/footer" Target="footer4.xml"/><Relationship Id="rId5" Type="http://schemas.openxmlformats.org/officeDocument/2006/relationships/footer" Target="footer3.xml"/><Relationship Id="rId43" Type="http://schemas.openxmlformats.org/officeDocument/2006/relationships/fontTable" Target="fontTable.xml"/><Relationship Id="rId42" Type="http://schemas.openxmlformats.org/officeDocument/2006/relationships/customXml" Target="../customXml/item2.xml"/><Relationship Id="rId41" Type="http://schemas.openxmlformats.org/officeDocument/2006/relationships/numbering" Target="numbering.xml"/><Relationship Id="rId40" Type="http://schemas.openxmlformats.org/officeDocument/2006/relationships/customXml" Target="../customXml/item1.xml"/><Relationship Id="rId4" Type="http://schemas.openxmlformats.org/officeDocument/2006/relationships/footer" Target="footer2.xml"/><Relationship Id="rId39" Type="http://schemas.openxmlformats.org/officeDocument/2006/relationships/image" Target="media/image24.png"/><Relationship Id="rId38" Type="http://schemas.openxmlformats.org/officeDocument/2006/relationships/image" Target="media/image23.png"/><Relationship Id="rId37" Type="http://schemas.openxmlformats.org/officeDocument/2006/relationships/image" Target="media/image22.png"/><Relationship Id="rId36" Type="http://schemas.openxmlformats.org/officeDocument/2006/relationships/image" Target="media/image21.png"/><Relationship Id="rId35" Type="http://schemas.openxmlformats.org/officeDocument/2006/relationships/image" Target="media/image20.png"/><Relationship Id="rId34" Type="http://schemas.openxmlformats.org/officeDocument/2006/relationships/image" Target="media/image19.png"/><Relationship Id="rId33" Type="http://schemas.openxmlformats.org/officeDocument/2006/relationships/image" Target="media/image18.png"/><Relationship Id="rId32" Type="http://schemas.openxmlformats.org/officeDocument/2006/relationships/image" Target="media/image17.png"/><Relationship Id="rId31" Type="http://schemas.openxmlformats.org/officeDocument/2006/relationships/image" Target="media/image16.png"/><Relationship Id="rId30" Type="http://schemas.openxmlformats.org/officeDocument/2006/relationships/image" Target="media/image15.jpeg"/><Relationship Id="rId3" Type="http://schemas.openxmlformats.org/officeDocument/2006/relationships/footer" Target="footer1.xml"/><Relationship Id="rId29" Type="http://schemas.openxmlformats.org/officeDocument/2006/relationships/image" Target="media/image14.emf"/><Relationship Id="rId28" Type="http://schemas.openxmlformats.org/officeDocument/2006/relationships/oleObject" Target="embeddings/oleObject2.bin"/><Relationship Id="rId27" Type="http://schemas.openxmlformats.org/officeDocument/2006/relationships/image" Target="media/image13.png"/><Relationship Id="rId26" Type="http://schemas.openxmlformats.org/officeDocument/2006/relationships/image" Target="media/image12.png"/><Relationship Id="rId25" Type="http://schemas.openxmlformats.org/officeDocument/2006/relationships/image" Target="media/image11.png"/><Relationship Id="rId24" Type="http://schemas.openxmlformats.org/officeDocument/2006/relationships/image" Target="media/image10.png"/><Relationship Id="rId23" Type="http://schemas.openxmlformats.org/officeDocument/2006/relationships/image" Target="media/image9.png"/><Relationship Id="rId22" Type="http://schemas.openxmlformats.org/officeDocument/2006/relationships/image" Target="media/image8.jpeg"/><Relationship Id="rId21" Type="http://schemas.openxmlformats.org/officeDocument/2006/relationships/image" Target="media/image7.jpeg"/><Relationship Id="rId20" Type="http://schemas.openxmlformats.org/officeDocument/2006/relationships/image" Target="media/image6.png"/><Relationship Id="rId2" Type="http://schemas.openxmlformats.org/officeDocument/2006/relationships/settings" Target="settings.xml"/><Relationship Id="rId19" Type="http://schemas.openxmlformats.org/officeDocument/2006/relationships/image" Target="media/image5.png"/><Relationship Id="rId18" Type="http://schemas.openxmlformats.org/officeDocument/2006/relationships/image" Target="media/image4.png"/><Relationship Id="rId17" Type="http://schemas.openxmlformats.org/officeDocument/2006/relationships/image" Target="media/image3.png"/><Relationship Id="rId16" Type="http://schemas.openxmlformats.org/officeDocument/2006/relationships/image" Target="media/image2.emf"/><Relationship Id="rId15" Type="http://schemas.openxmlformats.org/officeDocument/2006/relationships/image" Target="media/image1.emf"/><Relationship Id="rId14" Type="http://schemas.openxmlformats.org/officeDocument/2006/relationships/oleObject" Target="embeddings/oleObject1.bin"/><Relationship Id="rId13" Type="http://schemas.openxmlformats.org/officeDocument/2006/relationships/theme" Target="theme/theme1.xml"/><Relationship Id="rId12" Type="http://schemas.openxmlformats.org/officeDocument/2006/relationships/footer" Target="footer10.xml"/><Relationship Id="rId11" Type="http://schemas.openxmlformats.org/officeDocument/2006/relationships/footer" Target="footer9.xml"/><Relationship Id="rId10" Type="http://schemas.openxmlformats.org/officeDocument/2006/relationships/footer" Target="footer8.xml"/><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contractReview xmlns="http://schemas.wps.cn/vas-ai-hub/contract-review">
  <reviewItems>
    <reviewItem>
      <errorID>5ca45a97-2702-4b7f-ae46-f47d3cdda37e</errorID>
      <errorWord>(</errorWord>
      <group>L1_Format</group>
      <groupName>格式问题</groupName>
      <ability>L2_HalfPunc</ability>
      <abilityName>全半角检查</abilityName>
      <candidateList>
        <item>（</item>
      </candidateList>
      <explain>文本全半角错误。</explain>
      <paraID>4200AC8F</paraID>
      <start>4</start>
      <end>5</end>
      <status>unmodified</status>
      <modifiedWord/>
      <trackRevisions>false</trackRevisions>
    </reviewItem>
    <reviewItem>
      <errorID>9701e5f7-2801-41de-83bb-049f59a60f6d</errorID>
      <errorWord>)</errorWord>
      <group>L1_Format</group>
      <groupName>格式问题</groupName>
      <ability>L2_HalfPunc</ability>
      <abilityName>全半角检查</abilityName>
      <candidateList>
        <item>）</item>
      </candidateList>
      <explain>文本全半角错误。</explain>
      <paraID>4200AC8F</paraID>
      <start>7</start>
      <end>8</end>
      <status>unmodified</status>
      <modifiedWord/>
      <trackRevisions>false</trackRevisions>
    </reviewItem>
    <reviewItem>
      <errorID>3e1bda08-a541-4760-8e4e-e08a09828759</errorID>
      <errorWord>汇入到</errorWord>
      <group>L1_Word</group>
      <groupName>字词问题</groupName>
      <ability>L2_Typo</ability>
      <abilityName>字词错误</abilityName>
      <candidateList>
        <item>汇入</item>
      </candidateList>
      <explain/>
      <paraID>4D7E47B5</paraID>
      <start>150</start>
      <end>153</end>
      <status>unmodified</status>
      <modifiedWord/>
      <trackRevisions>false</trackRevisions>
    </reviewItem>
    <reviewItem>
      <errorID>04c19753-e919-43fc-a210-3f190400788d</errorID>
      <errorWord>胶粘剂</errorWord>
      <group>L1_Word</group>
      <groupName>字词问题</groupName>
      <ability>L2_Typo</ability>
      <abilityName>字词错误</abilityName>
      <candidateList>
        <item>胶黏剂</item>
      </candidateList>
      <explain/>
      <paraID>61B54CCF</paraID>
      <start>42</start>
      <end>45</end>
      <status>unmodified</status>
      <modifiedWord/>
      <trackRevisions>false</trackRevisions>
    </reviewItem>
    <reviewItem>
      <errorID>b67c77dc-65a3-4b62-b559-b2513b916394</errorID>
      <errorWord>胶粘剂</errorWord>
      <group>L1_Word</group>
      <groupName>字词问题</groupName>
      <ability>L2_Typo</ability>
      <abilityName>字词错误</abilityName>
      <candidateList>
        <item>胶黏剂</item>
      </candidateList>
      <explain/>
      <paraID>7C686426</paraID>
      <start>21</start>
      <end>24</end>
      <status>unmodified</status>
      <modifiedWord/>
      <trackRevisions>false</trackRevisions>
    </reviewItem>
    <reviewItem>
      <errorID>111ae152-37e4-434d-9c9e-30354e6410f5</errorID>
      <errorWord>告</errorWord>
      <group>L1_Word</group>
      <groupName>字词问题</groupName>
      <ability>L2_Typo</ability>
      <abilityName>字词错误</abilityName>
      <candidateList>
        <item>告中</item>
      </candidateList>
      <explain/>
      <paraID>6FE19E2E</paraID>
      <start>64</start>
      <end>65</end>
      <status>unmodified</status>
      <modifiedWord/>
      <trackRevisions>false</trackRevisions>
    </reviewItem>
    <reviewItem>
      <errorID>22e8944a-5357-495f-a8a4-c35546ed5b20</errorID>
      <errorWord>汇入到</errorWord>
      <group>L1_Word</group>
      <groupName>字词问题</groupName>
      <ability>L2_Typo</ability>
      <abilityName>字词错误</abilityName>
      <candidateList>
        <item>汇入</item>
      </candidateList>
      <explain/>
      <paraID>49AD3872</paraID>
      <start>18</start>
      <end>21</end>
      <status>unmodified</status>
      <modifiedWord/>
      <trackRevisions>false</trackRevisions>
    </reviewItem>
    <reviewItem>
      <errorID>f67670b6-54c3-49ba-a7e2-01aace155a1e</errorID>
      <errorWord>-</errorWord>
      <group>L1_Format</group>
      <groupName>格式问题</groupName>
      <ability>L2_HalfPunc</ability>
      <abilityName>全半角检查</abilityName>
      <candidateList>
        <item>－</item>
      </candidateList>
      <explain>文本全半角错误。</explain>
      <paraID>41215137</paraID>
      <start>25</start>
      <end>26</end>
      <status>unmodified</status>
      <modifiedWord/>
      <trackRevisions>false</trackRevisions>
    </reviewItem>
    <reviewItem>
      <errorID>d0b017ea-52af-4c70-9777-841dc763f1f3</errorID>
      <errorWord>胶粘剂</errorWord>
      <group>L1_Word</group>
      <groupName>字词问题</groupName>
      <ability>L2_Typo</ability>
      <abilityName>字词错误</abilityName>
      <candidateList>
        <item>胶黏剂</item>
      </candidateList>
      <explain/>
      <paraID>77B07FE0</paraID>
      <start>45</start>
      <end>48</end>
      <status>unmodified</status>
      <modifiedWord/>
      <trackRevisions>false</trackRevisions>
    </reviewItem>
    <reviewItem>
      <errorID>03a69203-3696-4f1d-b029-4b811a69790d</errorID>
      <errorWord>（</errorWord>
      <group>L1_Punc</group>
      <groupName>标点问题</groupName>
      <ability>L2_Punc</ability>
      <abilityName>标点符号检查</abilityName>
      <candidateList/>
      <explain>同一形式括号套用。</explain>
      <paraID>5F2C6276</paraID>
      <start>18</start>
      <end>19</end>
      <status>unmodified</status>
      <modifiedWord/>
      <trackRevisions>false</trackRevisions>
    </reviewItem>
    <reviewItem>
      <errorID>47465078-44ee-423d-a69f-d869225166d0</errorID>
      <errorWord>）</errorWord>
      <group>L1_Punc</group>
      <groupName>标点问题</groupName>
      <ability>L2_Punc</ability>
      <abilityName>标点符号检查</abilityName>
      <candidateList/>
      <explain>同一形式括号套用。</explain>
      <paraID>5F2C6276</paraID>
      <start>23</start>
      <end>24</end>
      <status>unmodified</status>
      <modifiedWord/>
      <trackRevisions>false</trackRevisions>
    </reviewItem>
    <reviewItem>
      <errorID>f0db1d73-2e5c-4fc3-9ff1-c9286d0dba02</errorID>
      <errorWord>(</errorWord>
      <group>L1_Format</group>
      <groupName>格式问题</groupName>
      <ability>L2_HalfPunc</ability>
      <abilityName>全半角检查</abilityName>
      <candidateList>
        <item>（</item>
      </candidateList>
      <explain>文本全半角错误。</explain>
      <paraID>6C869422</paraID>
      <start>310</start>
      <end>311</end>
      <status>unmodified</status>
      <modifiedWord/>
      <trackRevisions>false</trackRevisions>
    </reviewItem>
    <reviewItem>
      <errorID>e5bf84f5-6ec8-4785-bc69-f1cf4469b358</errorID>
      <errorWord>)</errorWord>
      <group>L1_Format</group>
      <groupName>格式问题</groupName>
      <ability>L2_HalfPunc</ability>
      <abilityName>全半角检查</abilityName>
      <candidateList>
        <item>）</item>
      </candidateList>
      <explain>文本全半角错误。</explain>
      <paraID>6C869422</paraID>
      <start>315</start>
      <end>316</end>
      <status>unmodified</status>
      <modifiedWord/>
      <trackRevisions>false</trackRevisions>
    </reviewItem>
    <reviewItem>
      <errorID>520df3b1-15da-4382-a5f9-2ca54c982f61</errorID>
      <errorWord>全</errorWord>
      <group>L1_Word</group>
      <groupName>字词问题</groupName>
      <ability>L2_Typo</ability>
      <abilityName>字词错误</abilityName>
      <candidateList>
        <item>全部</item>
      </candidateList>
      <explain/>
      <paraID>6ADB2683</paraID>
      <start>56</start>
      <end>57</end>
      <status>unmodified</status>
      <modifiedWord/>
      <trackRevisions>false</trackRevisions>
    </reviewItem>
    <reviewItem>
      <errorID>80a68ec1-bd29-464e-97b9-edeede3b5452</errorID>
      <errorWord>2千</errorWord>
      <group>L1_Knowledge</group>
      <groupName>知识性问题</groupName>
      <ability>L2_Knowledge</ability>
      <abilityName>其他知识</abilityName>
      <candidateList>
        <item>2000</item>
      </candidateList>
      <explain/>
      <paraID>623FF760</paraID>
      <start>93</start>
      <end>95</end>
      <status>unmodified</status>
      <modifiedWord/>
      <trackRevisions>false</trackRevisions>
    </reviewItem>
    <reviewItem>
      <errorID>a905861d-73b8-46c4-8692-d417214fade5</errorID>
      <errorWord>(</errorWord>
      <group>L1_Format</group>
      <groupName>格式问题</groupName>
      <ability>L2_HalfPunc</ability>
      <abilityName>全半角检查</abilityName>
      <candidateList>
        <item>（</item>
      </candidateList>
      <explain>文本全半角错误。</explain>
      <paraID> A5D63AC</paraID>
      <start>12</start>
      <end>13</end>
      <status>unmodified</status>
      <modifiedWord/>
      <trackRevisions>false</trackRevisions>
    </reviewItem>
    <reviewItem>
      <errorID>bc6df689-3818-44b5-88a2-52045fb883a8</errorID>
      <errorWord>)年</errorWord>
      <group>L1_Word</group>
      <groupName>字词问题</groupName>
      <ability>L2_Typo</ability>
      <abilityName>字词错误</abilityName>
      <candidateList>
        <item>)</item>
      </candidateList>
      <explain/>
      <paraID> A5D63AC</paraID>
      <start>22</start>
      <end>24</end>
      <status>unmodified</status>
      <modifiedWord/>
      <trackRevisions>false</trackRevisions>
    </reviewItem>
    <reviewItem>
      <errorID>80d475e4-8ebf-4039-b5b8-d18aef344469</errorID>
      <errorWord>(</errorWord>
      <group>L1_Format</group>
      <groupName>格式问题</groupName>
      <ability>L2_HalfPunc</ability>
      <abilityName>全半角检查</abilityName>
      <candidateList>
        <item>（</item>
      </candidateList>
      <explain>文本全半角错误。</explain>
      <paraID> A5D63AC</paraID>
      <start>44</start>
      <end>45</end>
      <status>unmodified</status>
      <modifiedWord/>
      <trackRevisions>false</trackRevisions>
    </reviewItem>
    <reviewItem>
      <errorID>e345abd5-0e34-42f0-8968-b1b6cf02fe56</errorID>
      <errorWord>)</errorWord>
      <group>L1_Format</group>
      <groupName>格式问题</groupName>
      <ability>L2_HalfPunc</ability>
      <abilityName>全半角检查</abilityName>
      <candidateList>
        <item>）</item>
      </candidateList>
      <explain>文本全半角错误。</explain>
      <paraID> A5D63AC</paraID>
      <start>55</start>
      <end>56</end>
      <status>unmodified</status>
      <modifiedWord/>
      <trackRevisions>false</trackRevisions>
    </reviewItem>
    <reviewItem>
      <errorID>64b1339a-c684-4b9d-be0e-de4c7dffc78a</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582DCDB</paraID>
      <start>0</start>
      <end>2</end>
      <status>unmodified</status>
      <modifiedWord/>
      <trackRevisions>false</trackRevisions>
    </reviewItem>
    <reviewItem>
      <errorID>7d4e459b-b329-44c4-b410-e4d11c599c3d</errorID>
      <errorWord>汇入到</errorWord>
      <group>L1_Word</group>
      <groupName>字词问题</groupName>
      <ability>L2_Typo</ability>
      <abilityName>字词错误</abilityName>
      <candidateList>
        <item>汇入</item>
      </candidateList>
      <explain/>
      <paraID>6BB57CEF</paraID>
      <start>82</start>
      <end>85</end>
      <status>unmodified</status>
      <modifiedWord/>
      <trackRevisions>false</trackRevisions>
    </reviewItem>
    <reviewItem>
      <errorID>261c696f-a4e8-4351-b503-aad787901fe9</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1DCF0C94</paraID>
      <start>0</start>
      <end>2</end>
      <status>unmodified</status>
      <modifiedWord/>
      <trackRevisions>false</trackRevisions>
    </reviewItem>
    <reviewItem>
      <errorID>5c814830-09bf-4ac2-a634-592f994cef50</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72CD9943</paraID>
      <start>0</start>
      <end>2</end>
      <status>unmodified</status>
      <modifiedWord/>
      <trackRevisions>false</trackRevisions>
    </reviewItem>
    <reviewItem>
      <errorID>642ba973-bb85-4998-879b-0fab5e7c115b</errorID>
      <errorWord>[2025]1号</errorWord>
      <group>L1_Knowledge</group>
      <groupName>知识性问题</groupName>
      <ability>L2_Knowledge</ability>
      <abilityName>其他知识</abilityName>
      <candidateList>
        <item>〔2025〕1号</item>
      </candidateList>
      <explain>发文字号格式错误。</explain>
      <paraID>7A14DEBA</paraID>
      <start>48</start>
      <end>56</end>
      <status>unmodified</status>
      <modifiedWord/>
      <trackRevisions>false</trackRevisions>
    </reviewItem>
    <reviewItem>
      <errorID>a433ad6c-f67b-4cf9-97aa-a736af9ef2ae</errorID>
      <errorWord>[2025]39号</errorWord>
      <group>L1_Knowledge</group>
      <groupName>知识性问题</groupName>
      <ability>L2_Knowledge</ability>
      <abilityName>其他知识</abilityName>
      <candidateList>
        <item>〔2025〕39号</item>
      </candidateList>
      <explain>发文字号格式错误。</explain>
      <paraID>7A14DEBA</paraID>
      <start>59</start>
      <end>68</end>
      <status>unmodified</status>
      <modifiedWord/>
      <trackRevisions>false</trackRevisions>
    </reviewItem>
    <reviewItem>
      <errorID>1dea57eb-8ec0-4501-b80e-4fc92c8c1a0e</errorID>
      <errorWord>[2025]1号</errorWord>
      <group>L1_Knowledge</group>
      <groupName>知识性问题</groupName>
      <ability>L2_Knowledge</ability>
      <abilityName>其他知识</abilityName>
      <candidateList>
        <item>〔2025〕1号</item>
      </candidateList>
      <explain>发文字号格式错误。</explain>
      <paraID>7A14DEBA</paraID>
      <start>250</start>
      <end>258</end>
      <status>unmodified</status>
      <modifiedWord/>
      <trackRevisions>false</trackRevisions>
    </reviewItem>
    <reviewItem>
      <errorID>151d46a2-cfa2-406e-af99-c8756b67ebe9</errorID>
      <errorWord>[2025]39号</errorWord>
      <group>L1_Knowledge</group>
      <groupName>知识性问题</groupName>
      <ability>L2_Knowledge</ability>
      <abilityName>其他知识</abilityName>
      <candidateList>
        <item>〔2025〕39号</item>
      </candidateList>
      <explain>发文字号格式错误。</explain>
      <paraID>7A14DEBA</paraID>
      <start>261</start>
      <end>270</end>
      <status>unmodified</status>
      <modifiedWord/>
      <trackRevisions>false</trackRevisions>
    </reviewItem>
    <reviewItem>
      <errorID>9842bd0c-23cc-4e70-8fb0-a8abf92f7cb9</errorID>
      <errorWord>(</errorWord>
      <group>L1_Format</group>
      <groupName>格式问题</groupName>
      <ability>L2_HalfPunc</ability>
      <abilityName>全半角检查</abilityName>
      <candidateList>
        <item>（</item>
      </candidateList>
      <explain>文本全半角错误。</explain>
      <paraID>430CB648</paraID>
      <start>32</start>
      <end>33</end>
      <status>unmodified</status>
      <modifiedWord/>
      <trackRevisions>false</trackRevisions>
    </reviewItem>
    <reviewItem>
      <errorID>f0bdde72-cb01-43da-882d-eb1a89e08ec9</errorID>
      <errorWord>)</errorWord>
      <group>L1_Format</group>
      <groupName>格式问题</groupName>
      <ability>L2_HalfPunc</ability>
      <abilityName>全半角检查</abilityName>
      <candidateList>
        <item>）</item>
      </candidateList>
      <explain>文本全半角错误。</explain>
      <paraID>430CB648</paraID>
      <start>37</start>
      <end>38</end>
      <status>unmodified</status>
      <modifiedWord/>
      <trackRevisions>false</trackRevisions>
    </reviewItem>
    <reviewItem>
      <errorID>df2ed4d3-7d46-4a32-ac11-fc64df0f80c4</errorID>
      <errorWord>(</errorWord>
      <group>L1_Format</group>
      <groupName>格式问题</groupName>
      <ability>L2_HalfPunc</ability>
      <abilityName>全半角检查</abilityName>
      <candidateList>
        <item>（</item>
      </candidateList>
      <explain>文本全半角错误。</explain>
      <paraID>272BAA67</paraID>
      <start>59</start>
      <end>60</end>
      <status>unmodified</status>
      <modifiedWord/>
      <trackRevisions>false</trackRevisions>
    </reviewItem>
    <reviewItem>
      <errorID>a709f58b-8c55-4799-abd3-d3fa23e15180</errorID>
      <errorWord>)</errorWord>
      <group>L1_Format</group>
      <groupName>格式问题</groupName>
      <ability>L2_HalfPunc</ability>
      <abilityName>全半角检查</abilityName>
      <candidateList>
        <item>）</item>
      </candidateList>
      <explain>文本全半角错误。</explain>
      <paraID>272BAA67</paraID>
      <start>61</start>
      <end>62</end>
      <status>unmodified</status>
      <modifiedWord/>
      <trackRevisions>false</trackRevisions>
    </reviewItem>
    <reviewItem>
      <errorID>74cb897b-ab56-45d6-8807-c9bd06541e15</errorID>
      <errorWord>(</errorWord>
      <group>L1_Format</group>
      <groupName>格式问题</groupName>
      <ability>L2_HalfPunc</ability>
      <abilityName>全半角检查</abilityName>
      <candidateList>
        <item>（</item>
      </candidateList>
      <explain>文本全半角错误。</explain>
      <paraID>272BAA67</paraID>
      <start>66</start>
      <end>67</end>
      <status>unmodified</status>
      <modifiedWord/>
      <trackRevisions>false</trackRevisions>
    </reviewItem>
    <reviewItem>
      <errorID>945a81a1-e6d8-4aa3-98e6-3852d6682006</errorID>
      <errorWord>)</errorWord>
      <group>L1_Format</group>
      <groupName>格式问题</groupName>
      <ability>L2_HalfPunc</ability>
      <abilityName>全半角检查</abilityName>
      <candidateList>
        <item>）</item>
      </candidateList>
      <explain>文本全半角错误。</explain>
      <paraID>272BAA67</paraID>
      <start>68</start>
      <end>69</end>
      <status>unmodified</status>
      <modifiedWord/>
      <trackRevisions>false</trackRevisions>
    </reviewItem>
    <reviewItem>
      <errorID>0c0b17ea-773a-45b7-b9d6-fe147a843b37</errorID>
      <errorWord>)</errorWord>
      <group>L1_Format</group>
      <groupName>格式问题</groupName>
      <ability>L2_HalfPunc</ability>
      <abilityName>全半角检查</abilityName>
      <candidateList>
        <item>）</item>
      </candidateList>
      <explain>文本全半角错误。</explain>
      <paraID>7E11F212</paraID>
      <start>28</start>
      <end>29</end>
      <status>unmodified</status>
      <modifiedWord/>
      <trackRevisions>false</trackRevisions>
    </reviewItem>
    <reviewItem>
      <errorID>17b9f062-3326-4c32-8535-4f10dcb2ae53</errorID>
      <errorWord>(</errorWord>
      <group>L1_Format</group>
      <groupName>格式问题</groupName>
      <ability>L2_HalfPunc</ability>
      <abilityName>全半角检查</abilityName>
      <candidateList>
        <item>（</item>
      </candidateList>
      <explain>文本全半角错误。</explain>
      <paraID>4F54C0D6</paraID>
      <start>2</start>
      <end>3</end>
      <status>unmodified</status>
      <modifiedWord/>
      <trackRevisions>false</trackRevisions>
    </reviewItem>
    <reviewItem>
      <errorID>b4450998-719f-45e9-8aaa-ca9af9ad1d49</errorID>
      <errorWord>)</errorWord>
      <group>L1_Format</group>
      <groupName>格式问题</groupName>
      <ability>L2_HalfPunc</ability>
      <abilityName>全半角检查</abilityName>
      <candidateList>
        <item>）</item>
      </candidateList>
      <explain>文本全半角错误。</explain>
      <paraID>4F54C0D6</paraID>
      <start>11</start>
      <end>12</end>
      <status>unmodified</status>
      <modifiedWord/>
      <trackRevisions>false</trackRevisions>
    </reviewItem>
    <reviewItem>
      <errorID>6fa5bd44-596f-48d9-b171-9f801795b204</errorID>
      <errorWord>(</errorWord>
      <group>L1_Format</group>
      <groupName>格式问题</groupName>
      <ability>L2_HalfPunc</ability>
      <abilityName>全半角检查</abilityName>
      <candidateList>
        <item>（</item>
      </candidateList>
      <explain>文本全半角错误。</explain>
      <paraID>784B324A</paraID>
      <start>85</start>
      <end>86</end>
      <status>unmodified</status>
      <modifiedWord/>
      <trackRevisions>false</trackRevisions>
    </reviewItem>
    <reviewItem>
      <errorID>85da4002-5ace-4a39-816e-aa1674c45ffb</errorID>
      <errorWord>)</errorWord>
      <group>L1_Format</group>
      <groupName>格式问题</groupName>
      <ability>L2_HalfPunc</ability>
      <abilityName>全半角检查</abilityName>
      <candidateList>
        <item>）</item>
      </candidateList>
      <explain>文本全半角错误。</explain>
      <paraID>784B324A</paraID>
      <start>92</start>
      <end>93</end>
      <status>unmodified</status>
      <modifiedWord/>
      <trackRevisions>false</trackRevisions>
    </reviewItem>
    <reviewItem>
      <errorID>d9c7e977-001d-4f46-b5ab-d2b880003ea5</errorID>
      <errorWord>(</errorWord>
      <group>L1_Format</group>
      <groupName>格式问题</groupName>
      <ability>L2_HalfPunc</ability>
      <abilityName>全半角检查</abilityName>
      <candidateList>
        <item>（</item>
      </candidateList>
      <explain>文本全半角错误。</explain>
      <paraID>792EC597</paraID>
      <start>3</start>
      <end>4</end>
      <status>unmodified</status>
      <modifiedWord/>
      <trackRevisions>false</trackRevisions>
    </reviewItem>
    <reviewItem>
      <errorID>2de7eab2-f9da-42cc-9665-6491c3ad0e16</errorID>
      <errorWord>:</errorWord>
      <group>L1_Format</group>
      <groupName>格式问题</groupName>
      <ability>L2_HalfPunc</ability>
      <abilityName>全半角检查</abilityName>
      <candidateList>
        <item>：</item>
      </candidateList>
      <explain>文本全半角错误。</explain>
      <paraID>792EC597</paraID>
      <start>7</start>
      <end>8</end>
      <status>unmodified</status>
      <modifiedWord/>
      <trackRevisions>false</trackRevisions>
    </reviewItem>
    <reviewItem>
      <errorID>c067984e-3f4d-4a3e-a968-35525ff1afe7</errorID>
      <errorWord>)</errorWord>
      <group>L1_Format</group>
      <groupName>格式问题</groupName>
      <ability>L2_HalfPunc</ability>
      <abilityName>全半角检查</abilityName>
      <candidateList>
        <item>）</item>
      </candidateList>
      <explain>文本全半角错误。</explain>
      <paraID>792EC597</paraID>
      <start>13</start>
      <end>14</end>
      <status>unmodified</status>
      <modifiedWord/>
      <trackRevisions>false</trackRevisions>
    </reviewItem>
    <reviewItem>
      <errorID>b7b39170-a482-42f8-be87-d65bc35179eb</errorID>
      <errorWord>次亚硫酸钠</errorWord>
      <group>L1_Knowledge</group>
      <groupName>知识性问题</groupName>
      <ability>L2_Term</ability>
      <abilityName>专业术语</abilityName>
      <candidateList>
        <item>硫代硫酸钠</item>
      </candidateList>
      <explain>医学名词[次亚硫酸钠]为不规范表述或旧称，其规范书面表述为[硫代硫酸钠]。</explain>
      <paraID> C3E6EB9</paraID>
      <start>2</start>
      <end>7</end>
      <status>unmodified</status>
      <modifiedWord/>
      <trackRevisions>false</trackRevisions>
    </reviewItem>
    <reviewItem>
      <errorID>acd86ac4-1082-4630-9d25-568b53480c76</errorID>
      <errorWord>大苏打</errorWord>
      <group>L1_Knowledge</group>
      <groupName>知识性问题</groupName>
      <ability>L2_Term</ability>
      <abilityName>专业术语</abilityName>
      <candidateList>
        <item>硫代硫酸钠</item>
      </candidateList>
      <explain>医学名词[大苏打]为不规范表述或旧称，其规范书面表述为[硫代硫酸钠]。</explain>
      <paraID> C3E6EB9</paraID>
      <start>8</start>
      <end>11</end>
      <status>unmodified</status>
      <modifiedWord/>
      <trackRevisions>false</trackRevisions>
    </reviewItem>
    <reviewItem>
      <errorID>c777109e-bc09-44a6-913e-bbb75e354a40</errorID>
      <errorWord>(</errorWord>
      <group>L1_Format</group>
      <groupName>格式问题</groupName>
      <ability>L2_HalfPunc</ability>
      <abilityName>全半角检查</abilityName>
      <candidateList>
        <item>（</item>
      </candidateList>
      <explain>文本全半角错误。</explain>
      <paraID>18ACE1F4</paraID>
      <start>50</start>
      <end>51</end>
      <status>unmodified</status>
      <modifiedWord/>
      <trackRevisions>false</trackRevisions>
    </reviewItem>
    <reviewItem>
      <errorID>e8209ad3-c824-4a78-9d0d-537b456dfb61</errorID>
      <errorWord>)</errorWord>
      <group>L1_Format</group>
      <groupName>格式问题</groupName>
      <ability>L2_HalfPunc</ability>
      <abilityName>全半角检查</abilityName>
      <candidateList>
        <item>）</item>
      </candidateList>
      <explain>文本全半角错误。</explain>
      <paraID>18ACE1F4</paraID>
      <start>54</start>
      <end>55</end>
      <status>unmodified</status>
      <modifiedWord/>
      <trackRevisions>false</trackRevisions>
    </reviewItem>
    <reviewItem>
      <errorID>7bb43798-cc5a-4eb4-849b-5ed6ff47ddb4</errorID>
      <errorWord>(</errorWord>
      <group>L1_Format</group>
      <groupName>格式问题</groupName>
      <ability>L2_HalfPunc</ability>
      <abilityName>全半角检查</abilityName>
      <candidateList>
        <item>（</item>
      </candidateList>
      <explain>文本全半角错误。</explain>
      <paraID>3DBC2DC0</paraID>
      <start>38</start>
      <end>39</end>
      <status>unmodified</status>
      <modifiedWord/>
      <trackRevisions>false</trackRevisions>
    </reviewItem>
    <reviewItem>
      <errorID>f6b719eb-9b81-47fd-88df-a74e4f1a6e3c</errorID>
      <errorWord>)</errorWord>
      <group>L1_Format</group>
      <groupName>格式问题</groupName>
      <ability>L2_HalfPunc</ability>
      <abilityName>全半角检查</abilityName>
      <candidateList>
        <item>）</item>
      </candidateList>
      <explain>文本全半角错误。</explain>
      <paraID>3DBC2DC0</paraID>
      <start>42</start>
      <end>43</end>
      <status>unmodified</status>
      <modifiedWord/>
      <trackRevisions>false</trackRevisions>
    </reviewItem>
    <reviewItem>
      <errorID>e19f5c1d-4054-4fc1-b0fb-08149aa1957a</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345FBDFE</paraID>
      <start>0</start>
      <end>2</end>
      <status>unmodified</status>
      <modifiedWord/>
      <trackRevisions>false</trackRevisions>
    </reviewItem>
    <reviewItem>
      <errorID>95e77ab9-5007-4e70-91de-9f69db588868</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7EB3EFFF</paraID>
      <start>1</start>
      <end>2</end>
      <status>unmodified</status>
      <modifiedWord/>
      <trackRevisions>false</trackRevisions>
    </reviewItem>
    <reviewItem>
      <errorID>324465fc-20c5-4acf-aa97-fe76a03825ed</errorID>
      <errorWord>JB</errorWord>
      <group>L1_Sensitive</group>
      <groupName>敏感问题</groupName>
      <ability>L2_Abuse</ability>
      <abilityName>侮辱言辞</abilityName>
      <candidateList/>
      <explain>【侮辱言辞】句中涉及侮辱性的敏感内容，请注意甄别。</explain>
      <paraID>56845CE1</paraID>
      <start>0</start>
      <end>2</end>
      <status>unmodified</status>
      <modifiedWord/>
      <trackRevisions>false</trackRevisions>
    </reviewItem>
    <reviewItem>
      <errorID>dc798d1e-78d2-4b51-b580-03e286a523f5</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28A24183</paraID>
      <start>0</start>
      <end>2</end>
      <status>unmodified</status>
      <modifiedWord/>
      <trackRevisions>false</trackRevisions>
    </reviewItem>
    <reviewItem>
      <errorID>4f0b1dc0-f7af-4df3-a123-5fba6cfe5426</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4CD58A2F</paraID>
      <start>0</start>
      <end>2</end>
      <status>unmodified</status>
      <modifiedWord/>
      <trackRevisions>false</trackRevisions>
    </reviewItem>
    <reviewItem>
      <errorID>d1a9dae3-7d70-4e69-9591-f58918bad9eb</errorID>
      <errorWord>:</errorWord>
      <group>L1_Format</group>
      <groupName>格式问题</groupName>
      <ability>L2_HalfPunc</ability>
      <abilityName>全半角检查</abilityName>
      <candidateList>
        <item>：</item>
      </candidateList>
      <explain>文本全半角错误。</explain>
      <paraID>52F6CBFD</paraID>
      <start>7</start>
      <end>8</end>
      <status>unmodified</status>
      <modifiedWord/>
      <trackRevisions>false</trackRevisions>
    </reviewItem>
    <reviewItem>
      <errorID>51c285cf-9cbc-460e-8f5c-eafd1ca343f0</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52F6CBFD</paraID>
      <start>87</start>
      <end>88</end>
      <status>unmodified</status>
      <modifiedWord/>
      <trackRevisions>false</trackRevisions>
    </reviewItem>
    <reviewItem>
      <errorID>b28ad6a7-f4d7-45d0-b3ee-87e8f4403711</errorID>
      <errorWord>品</errorWord>
      <group>L1_Word</group>
      <groupName>字词问题</groupName>
      <ability>L2_Typo</ability>
      <abilityName>字词错误</abilityName>
      <candidateList>
        <item>品检</item>
      </candidateList>
      <explain/>
      <paraID> D617D44</paraID>
      <start>49</start>
      <end>50</end>
      <status>unmodified</status>
      <modifiedWord/>
      <trackRevisions>false</trackRevisions>
    </reviewItem>
    <reviewItem>
      <errorID>e13e465a-7d04-421b-8bcd-fb99b0e912b7</errorID>
      <errorWord>（</errorWord>
      <group>L1_Punc</group>
      <groupName>标点问题</groupName>
      <ability>L2_Punc</ability>
      <abilityName>标点符号检查</abilityName>
      <candidateList/>
      <explain>同一形式括号套用。</explain>
      <paraID>5B90EC99</paraID>
      <start>153</start>
      <end>154</end>
      <status>unmodified</status>
      <modifiedWord/>
      <trackRevisions>false</trackRevisions>
    </reviewItem>
    <reviewItem>
      <errorID>43bfe451-42b8-4387-8599-cb07b051a381</errorID>
      <errorWord>）</errorWord>
      <group>L1_Punc</group>
      <groupName>标点问题</groupName>
      <ability>L2_Punc</ability>
      <abilityName>标点符号检查</abilityName>
      <candidateList/>
      <explain>同一形式括号套用。</explain>
      <paraID>5B90EC99</paraID>
      <start>158</start>
      <end>159</end>
      <status>unmodified</status>
      <modifiedWord/>
      <trackRevisions>false</trackRevisions>
    </reviewItem>
    <reviewItem>
      <errorID>0b95cd94-e80e-4e39-9977-2990c29b4d68</errorID>
      <errorWord>(</errorWord>
      <group>L1_Format</group>
      <groupName>格式问题</groupName>
      <ability>L2_HalfPunc</ability>
      <abilityName>全半角检查</abilityName>
      <candidateList>
        <item>（</item>
      </candidateList>
      <explain>文本全半角错误。</explain>
      <paraID> 700E22E</paraID>
      <start>3</start>
      <end>4</end>
      <status>unmodified</status>
      <modifiedWord/>
      <trackRevisions>false</trackRevisions>
    </reviewItem>
    <reviewItem>
      <errorID>ac8e91b6-b9ff-42d6-b314-d7e72ecb6876</errorID>
      <errorWord>)</errorWord>
      <group>L1_Format</group>
      <groupName>格式问题</groupName>
      <ability>L2_HalfPunc</ability>
      <abilityName>全半角检查</abilityName>
      <candidateList>
        <item>）</item>
      </candidateList>
      <explain>文本全半角错误。</explain>
      <paraID> 700E22E</paraID>
      <start>7</start>
      <end>8</end>
      <status>unmodified</status>
      <modifiedWord/>
      <trackRevisions>false</trackRevisions>
    </reviewItem>
    <reviewItem>
      <errorID>6ff648c0-665b-4c49-9d13-b1a14a7d42e1</errorID>
      <errorWord>(</errorWord>
      <group>L1_Format</group>
      <groupName>格式问题</groupName>
      <ability>L2_HalfPunc</ability>
      <abilityName>全半角检查</abilityName>
      <candidateList>
        <item>（</item>
      </candidateList>
      <explain>文本全半角错误。</explain>
      <paraID>48DD3B18</paraID>
      <start>5</start>
      <end>6</end>
      <status>unmodified</status>
      <modifiedWord/>
      <trackRevisions>false</trackRevisions>
    </reviewItem>
    <reviewItem>
      <errorID>27866338-f754-4ab1-9541-97eaa1518fd7</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CA728F</paraID>
      <start>0</start>
      <end>2</end>
      <status>unmodified</status>
      <modifiedWord/>
      <trackRevisions>false</trackRevisions>
    </reviewItem>
    <reviewItem>
      <errorID>88851e4f-6c4e-4ab2-a5ec-aa27d7c5b7f3</errorID>
      <errorWord>汇入到</errorWord>
      <group>L1_Word</group>
      <groupName>字词问题</groupName>
      <ability>L2_Typo</ability>
      <abilityName>字词错误</abilityName>
      <candidateList>
        <item>汇入</item>
      </candidateList>
      <explain/>
      <paraID>77FE9D5A</paraID>
      <start>386</start>
      <end>389</end>
      <status>unmodified</status>
      <modifiedWord/>
      <trackRevisions>false</trackRevisions>
    </reviewItem>
    <reviewItem>
      <errorID>cd2314eb-525b-4bd9-b115-a0f1d65fa6b1</errorID>
      <errorWord>9、</errorWord>
      <group>L1_Format</group>
      <groupName>格式问题</groupName>
      <ability>L2_Ordinal</ability>
      <abilityName>序号格式</abilityName>
      <candidateList>
        <item>9.</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FD285C</paraID>
      <start>0</start>
      <end>2</end>
      <status>unmodified</status>
      <modifiedWord/>
      <trackRevisions>false</trackRevisions>
    </reviewItem>
    <reviewItem>
      <errorID>ced1b37a-fe41-4da5-bd22-404ea1889f18</errorID>
      <errorWord>:</errorWord>
      <group>L1_Format</group>
      <groupName>格式问题</groupName>
      <ability>L2_HalfPunc</ability>
      <abilityName>全半角检查</abilityName>
      <candidateList>
        <item>：</item>
      </candidateList>
      <explain>文本全半角错误。</explain>
      <paraID>15588B8B</paraID>
      <start>6</start>
      <end>7</end>
      <status>unmodified</status>
      <modifiedWord/>
      <trackRevisions>false</trackRevisions>
    </reviewItem>
    <reviewItem>
      <errorID>2a668c4a-ab40-4b9b-986a-e978cb86e0d4</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6506C768</paraID>
      <start>0</start>
      <end>2</end>
      <status>unmodified</status>
      <modifiedWord/>
      <trackRevisions>false</trackRevisions>
    </reviewItem>
    <reviewItem>
      <errorID>559ae334-11b6-47ea-91dc-792378da9d55</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3BFC95DF</paraID>
      <start>0</start>
      <end>2</end>
      <status>unmodified</status>
      <modifiedWord/>
      <trackRevisions>false</trackRevisions>
    </reviewItem>
    <reviewItem>
      <errorID>59016b86-e34e-494d-9a4f-22632eb7e6c2</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5D44C283</paraID>
      <start>0</start>
      <end>2</end>
      <status>unmodified</status>
      <modifiedWord/>
      <trackRevisions>false</trackRevisions>
    </reviewItem>
    <reviewItem>
      <errorID>28696c16-f85b-449b-b068-97565aeb3563</errorID>
      <errorWord>看出</errorWord>
      <group>L1_Word</group>
      <groupName>字词问题</groupName>
      <ability>L2_Typo</ability>
      <abilityName>字词错误</abilityName>
      <candidateList>
        <item>看</item>
      </candidateList>
      <explain/>
      <paraID> 977A0B7</paraID>
      <start>5</start>
      <end>7</end>
      <status>unmodified</status>
      <modifiedWord/>
      <trackRevisions>false</trackRevisions>
    </reviewItem>
    <reviewItem>
      <errorID>07afefcc-eaf1-4e1a-9a15-792b8c143aca</errorID>
      <errorWord>[2008]96号</errorWord>
      <group>L1_Knowledge</group>
      <groupName>知识性问题</groupName>
      <ability>L2_Knowledge</ability>
      <abilityName>其他知识</abilityName>
      <candidateList>
        <item>〔2008〕96号</item>
      </candidateList>
      <explain>发文字号格式错误。</explain>
      <paraID>1A290036</paraID>
      <start>54</start>
      <end>63</end>
      <status>unmodified</status>
      <modifiedWord/>
      <trackRevisions>false</trackRevisions>
    </reviewItem>
    <reviewItem>
      <errorID>e4c4c13f-d846-4bad-8db0-815b6e981ef7</errorID>
      <errorWord>(</errorWord>
      <group>L1_Format</group>
      <groupName>格式问题</groupName>
      <ability>L2_HalfPunc</ability>
      <abilityName>全半角检查</abilityName>
      <candidateList>
        <item>（</item>
      </candidateList>
      <explain>文本全半角错误。</explain>
      <paraID> 86C5681</paraID>
      <start>50</start>
      <end>51</end>
      <status>unmodified</status>
      <modifiedWord/>
      <trackRevisions>false</trackRevisions>
    </reviewItem>
    <reviewItem>
      <errorID>a3d5c469-01bd-4f64-91d0-b4e33f223222</errorID>
      <errorWord>)</errorWord>
      <group>L1_Format</group>
      <groupName>格式问题</groupName>
      <ability>L2_HalfPunc</ability>
      <abilityName>全半角检查</abilityName>
      <candidateList>
        <item>）</item>
      </candidateList>
      <explain>文本全半角错误。</explain>
      <paraID> 86C5681</paraID>
      <start>62</start>
      <end>63</end>
      <status>unmodified</status>
      <modifiedWord/>
      <trackRevisions>false</trackRevisions>
    </reviewItem>
    <reviewItem>
      <errorID>2174a4a2-1712-4bfd-a891-eafa680fc22e</errorID>
      <errorWord>(</errorWord>
      <group>L1_Format</group>
      <groupName>格式问题</groupName>
      <ability>L2_HalfPunc</ability>
      <abilityName>全半角检查</abilityName>
      <candidateList>
        <item>（</item>
      </candidateList>
      <explain>文本全半角错误。</explain>
      <paraID>1F366711</paraID>
      <start>86</start>
      <end>87</end>
      <status>unmodified</status>
      <modifiedWord/>
      <trackRevisions>false</trackRevisions>
    </reviewItem>
    <reviewItem>
      <errorID>65c3c0d6-0513-4c73-9010-6c3c03e3bd76</errorID>
      <errorWord>)</errorWord>
      <group>L1_Format</group>
      <groupName>格式问题</groupName>
      <ability>L2_HalfPunc</ability>
      <abilityName>全半角检查</abilityName>
      <candidateList>
        <item>）</item>
      </candidateList>
      <explain>文本全半角错误。</explain>
      <paraID>1F366711</paraID>
      <start>98</start>
      <end>99</end>
      <status>unmodified</status>
      <modifiedWord/>
      <trackRevisions>false</trackRevisions>
    </reviewItem>
    <reviewItem>
      <errorID>fb705d2f-9da7-4478-b1dd-e887fd82b323</errorID>
      <errorWord>)</errorWord>
      <group>L1_Format</group>
      <groupName>格式问题</groupName>
      <ability>L2_HalfPunc</ability>
      <abilityName>全半角检查</abilityName>
      <candidateList>
        <item>）</item>
      </candidateList>
      <explain>文本全半角错误。</explain>
      <paraID>1F366711</paraID>
      <start>121</start>
      <end>122</end>
      <status>unmodified</status>
      <modifiedWord/>
      <trackRevisions>false</trackRevisions>
    </reviewItem>
    <reviewItem>
      <errorID>f575246d-39e4-4dd4-9525-08ffa2245755</errorID>
      <errorWord>程</errorWord>
      <group>L1_Word</group>
      <groupName>字词问题</groupName>
      <ability>L2_Typo</ability>
      <abilityName>字词错误</abilityName>
      <candidateList>
        <item>程中</item>
      </candidateList>
      <explain/>
      <paraID>3B586774</paraID>
      <start>4</start>
      <end>5</end>
      <status>unmodified</status>
      <modifiedWord/>
      <trackRevisions>false</trackRevisions>
    </reviewItem>
    <reviewItem>
      <errorID>55d11628-01fd-486d-943c-b247b750735c</errorID>
      <errorWord>汇入到</errorWord>
      <group>L1_Word</group>
      <groupName>字词问题</groupName>
      <ability>L2_Typo</ability>
      <abilityName>字词错误</abilityName>
      <candidateList>
        <item>汇入</item>
      </candidateList>
      <explain/>
      <paraID>70274094</paraID>
      <start>59</start>
      <end>62</end>
      <status>unmodified</status>
      <modifiedWord/>
      <trackRevisions>false</trackRevisions>
    </reviewItem>
    <reviewItem>
      <errorID>c78b8c34-a32b-49e3-9555-41acbb41db47</errorID>
      <errorWord>(</errorWord>
      <group>L1_Format</group>
      <groupName>格式问题</groupName>
      <ability>L2_HalfPunc</ability>
      <abilityName>全半角检查</abilityName>
      <candidateList>
        <item>（</item>
      </candidateList>
      <explain>文本全半角错误。</explain>
      <paraID>3B3D9926</paraID>
      <start>10</start>
      <end>11</end>
      <status>unmodified</status>
      <modifiedWord/>
      <trackRevisions>false</trackRevisions>
    </reviewItem>
    <reviewItem>
      <errorID>ef97c7e6-15cd-43e0-9147-7b939d17034d</errorID>
      <errorWord>)</errorWord>
      <group>L1_Format</group>
      <groupName>格式问题</groupName>
      <ability>L2_HalfPunc</ability>
      <abilityName>全半角检查</abilityName>
      <candidateList>
        <item>）</item>
      </candidateList>
      <explain>文本全半角错误。</explain>
      <paraID>3B3D9926</paraID>
      <start>22</start>
      <end>23</end>
      <status>unmodified</status>
      <modifiedWord/>
      <trackRevisions>false</trackRevisions>
    </reviewItem>
    <reviewItem>
      <errorID>87dff46a-234d-4682-8e33-c6433c6c7155</errorID>
      <errorWord>(</errorWord>
      <group>L1_Format</group>
      <groupName>格式问题</groupName>
      <ability>L2_HalfPunc</ability>
      <abilityName>全半角检查</abilityName>
      <candidateList>
        <item>（</item>
      </candidateList>
      <explain>文本全半角错误。</explain>
      <paraID>67C36850</paraID>
      <start>10</start>
      <end>11</end>
      <status>unmodified</status>
      <modifiedWord/>
      <trackRevisions>false</trackRevisions>
    </reviewItem>
    <reviewItem>
      <errorID>386e847f-9a2c-417b-b339-d7ddf85384f6</errorID>
      <errorWord>)</errorWord>
      <group>L1_Format</group>
      <groupName>格式问题</groupName>
      <ability>L2_HalfPunc</ability>
      <abilityName>全半角检查</abilityName>
      <candidateList>
        <item>）</item>
      </candidateList>
      <explain>文本全半角错误。</explain>
      <paraID>67C36850</paraID>
      <start>22</start>
      <end>23</end>
      <status>unmodified</status>
      <modifiedWord/>
      <trackRevisions>false</trackRevisions>
    </reviewItem>
    <reviewItem>
      <errorID>b75a9151-bdfd-493b-bb9a-70950a68e2fd</errorID>
      <errorWord>(</errorWord>
      <group>L1_Format</group>
      <groupName>格式问题</groupName>
      <ability>L2_HalfPunc</ability>
      <abilityName>全半角检查</abilityName>
      <candidateList>
        <item>（</item>
      </candidateList>
      <explain>文本全半角错误。</explain>
      <paraID>4A0B5144</paraID>
      <start>10</start>
      <end>11</end>
      <status>unmodified</status>
      <modifiedWord/>
      <trackRevisions>false</trackRevisions>
    </reviewItem>
    <reviewItem>
      <errorID>9f99fe33-94b1-42c2-84f7-4da737724c4e</errorID>
      <errorWord>)</errorWord>
      <group>L1_Format</group>
      <groupName>格式问题</groupName>
      <ability>L2_HalfPunc</ability>
      <abilityName>全半角检查</abilityName>
      <candidateList>
        <item>）</item>
      </candidateList>
      <explain>文本全半角错误。</explain>
      <paraID>4A0B5144</paraID>
      <start>22</start>
      <end>23</end>
      <status>unmodified</status>
      <modifiedWord/>
      <trackRevisions>false</trackRevisions>
    </reviewItem>
    <reviewItem>
      <errorID>0efae58b-7afb-4d8b-b47d-f88377de0ec4</errorID>
      <errorWord>(</errorWord>
      <group>L1_Format</group>
      <groupName>格式问题</groupName>
      <ability>L2_HalfPunc</ability>
      <abilityName>全半角检查</abilityName>
      <candidateList>
        <item>（</item>
      </candidateList>
      <explain>文本全半角错误。</explain>
      <paraID>523D1C52</paraID>
      <start>10</start>
      <end>11</end>
      <status>unmodified</status>
      <modifiedWord/>
      <trackRevisions>false</trackRevisions>
    </reviewItem>
    <reviewItem>
      <errorID>bd7fdd93-5b5f-4c3c-883e-9ae48f267fa2</errorID>
      <errorWord>)</errorWord>
      <group>L1_Format</group>
      <groupName>格式问题</groupName>
      <ability>L2_HalfPunc</ability>
      <abilityName>全半角检查</abilityName>
      <candidateList>
        <item>）</item>
      </candidateList>
      <explain>文本全半角错误。</explain>
      <paraID>523D1C52</paraID>
      <start>22</start>
      <end>23</end>
      <status>unmodified</status>
      <modifiedWord/>
      <trackRevisions>false</trackRevisions>
    </reviewItem>
    <reviewItem>
      <errorID>eb3a5bf4-e4d0-401c-af0b-610eebbe924f</errorID>
      <errorWord>（</errorWord>
      <group>L1_Punc</group>
      <groupName>标点问题</groupName>
      <ability>L2_Punc</ability>
      <abilityName>标点符号检查</abilityName>
      <candidateList/>
      <explain>同一形式括号套用。</explain>
      <paraID>4395E8CF</paraID>
      <start>56</start>
      <end>57</end>
      <status>unmodified</status>
      <modifiedWord/>
      <trackRevisions>false</trackRevisions>
    </reviewItem>
    <reviewItem>
      <errorID>a8a67cde-428b-42fb-b235-2a767b5c5a28</errorID>
      <errorWord>）</errorWord>
      <group>L1_Punc</group>
      <groupName>标点问题</groupName>
      <ability>L2_Punc</ability>
      <abilityName>标点符号检查</abilityName>
      <candidateList/>
      <explain>同一形式括号套用。</explain>
      <paraID>4395E8CF</paraID>
      <start>58</start>
      <end>59</end>
      <status>unmodified</status>
      <modifiedWord/>
      <trackRevisions>false</trackRevisions>
    </reviewItem>
    <reviewItem>
      <errorID>12c7b5b9-8c5e-4570-80ce-1c64fce8ba5d</errorID>
      <errorWord>(</errorWord>
      <group>L1_Format</group>
      <groupName>格式问题</groupName>
      <ability>L2_HalfPunc</ability>
      <abilityName>全半角检查</abilityName>
      <candidateList>
        <item>（</item>
      </candidateList>
      <explain>文本全半角错误。</explain>
      <paraID>353C4104</paraID>
      <start>20</start>
      <end>21</end>
      <status>unmodified</status>
      <modifiedWord/>
      <trackRevisions>false</trackRevisions>
    </reviewItem>
    <reviewItem>
      <errorID>62d75660-447b-4824-8846-4987188344ad</errorID>
      <errorWord>)</errorWord>
      <group>L1_Format</group>
      <groupName>格式问题</groupName>
      <ability>L2_HalfPunc</ability>
      <abilityName>全半角检查</abilityName>
      <candidateList>
        <item>）</item>
      </candidateList>
      <explain>文本全半角错误。</explain>
      <paraID>353C4104</paraID>
      <start>33</start>
      <end>34</end>
      <status>unmodified</status>
      <modifiedWord/>
      <trackRevisions>false</trackRevisions>
    </reviewItem>
    <reviewItem>
      <errorID>4ed8454d-9cfd-41d6-a45a-03f8dc3c6648</errorID>
      <errorWord>:</errorWord>
      <group>L1_Format</group>
      <groupName>格式问题</groupName>
      <ability>L2_HalfPunc</ability>
      <abilityName>全半角检查</abilityName>
      <candidateList>
        <item>：</item>
      </candidateList>
      <explain>文本全半角错误。</explain>
      <paraID>353C4104</paraID>
      <start>71</start>
      <end>72</end>
      <status>unmodified</status>
      <modifiedWord/>
      <trackRevisions>false</trackRevisions>
    </reviewItem>
    <reviewItem>
      <errorID>1451b62b-f7e8-4b56-adf0-ff2074e9239a</errorID>
      <errorWord>程</errorWord>
      <group>L1_Word</group>
      <groupName>字词问题</groupName>
      <ability>L2_Typo</ability>
      <abilityName>字词错误</abilityName>
      <candidateList>
        <item>程中</item>
      </candidateList>
      <explain/>
      <paraID>28CFAD12</paraID>
      <start>40</start>
      <end>41</end>
      <status>unmodified</status>
      <modifiedWord/>
      <trackRevisions>false</trackRevisions>
    </reviewItem>
    <reviewItem>
      <errorID>7e07c15e-0920-4fc4-97d4-d8f2629bf71a</errorID>
      <errorWord>50%-70%</errorWord>
      <group>L1_Knowledge</group>
      <groupName>知识性问题</groupName>
      <ability>L2_Knowledge</ability>
      <abilityName>其他知识</abilityName>
      <candidateList>
        <item>50%—70%</item>
      </candidateList>
      <explain>1. “50%-70%”中的单位“%”仅出现在后一个数字上，容易引起歧义；根据《现代汉语标点符号数字用法规范手册》，数字表示范围两边需要使用统一的格式。2. 根据标点国标 4.13 中的规则，数字、时间或地域连接符应使用（视觉上更长的）“—”或“～”。</explain>
      <paraID>3FC8FE1C</paraID>
      <start>13</start>
      <end>20</end>
      <status>unmodified</status>
      <modifiedWord/>
      <trackRevisions>false</trackRevisions>
    </reviewItem>
    <reviewItem>
      <errorID>ce983ef3-c320-422e-9437-4e1df4b68480</errorID>
      <errorWord>列盐酸</errorWord>
      <group>L1_Word</group>
      <groupName>字词问题</groupName>
      <ability>L2_Typo</ability>
      <abilityName>字词错误</abilityName>
      <candidateList>
        <item>裂验算</item>
      </candidateList>
      <explain/>
      <paraID>79A9C830</paraID>
      <start>158</start>
      <end>161</end>
      <status>unmodified</status>
      <modifiedWord/>
      <trackRevisions>false</trackRevisions>
    </reviewItem>
    <reviewItem>
      <errorID>39b8bb3f-2233-4f64-8062-3adb1c44e1f6</errorID>
      <errorWord>（</errorWord>
      <group>L1_Format</group>
      <groupName>格式问题</groupName>
      <ability>L2_HalfPunc</ability>
      <abilityName>全半角检查</abilityName>
      <candidateList>
        <item>(</item>
      </candidateList>
      <explain>文本全半角错误。</explain>
      <paraID>7C4118CC</paraID>
      <start>0</start>
      <end>1</end>
      <status>unmodified</status>
      <modifiedWord/>
      <trackRevisions>false</trackRevisions>
    </reviewItem>
    <reviewItem>
      <errorID>c43df37e-1221-43e9-95c3-4f9586af6209</errorID>
      <errorWord>）</errorWord>
      <group>L1_Format</group>
      <groupName>格式问题</groupName>
      <ability>L2_HalfPunc</ability>
      <abilityName>全半角检查</abilityName>
      <candidateList>
        <item>)</item>
      </candidateList>
      <explain>文本全半角错误。</explain>
      <paraID>7C4118CC</paraID>
      <start>3</start>
      <end>4</end>
      <status>unmodified</status>
      <modifiedWord/>
      <trackRevisions>false</trackRevisions>
    </reviewItem>
    <reviewItem>
      <errorID>26cd296b-aac0-4296-b1f7-000a12d28273</errorID>
      <errorWord>（</errorWord>
      <group>L1_Format</group>
      <groupName>格式问题</groupName>
      <ability>L2_HalfPunc</ability>
      <abilityName>全半角检查</abilityName>
      <candidateList>
        <item>(</item>
      </candidateList>
      <explain>文本全半角错误。</explain>
      <paraID>7031E389</paraID>
      <start>2</start>
      <end>3</end>
      <status>unmodified</status>
      <modifiedWord/>
      <trackRevisions>false</trackRevisions>
    </reviewItem>
    <reviewItem>
      <errorID>07e99d21-e522-49f5-a718-a35f5d5d43b6</errorID>
      <errorWord>）</errorWord>
      <group>L1_Format</group>
      <groupName>格式问题</groupName>
      <ability>L2_HalfPunc</ability>
      <abilityName>全半角检查</abilityName>
      <candidateList>
        <item>)</item>
      </candidateList>
      <explain>文本全半角错误。</explain>
      <paraID>7031E389</paraID>
      <start>7</start>
      <end>8</end>
      <status>unmodified</status>
      <modifiedWord/>
      <trackRevisions>false</trackRevisions>
    </reviewItem>
    <reviewItem>
      <errorID>38116542-1c51-4641-b5ac-f020784bd554</errorID>
      <errorWord>（</errorWord>
      <group>L1_Format</group>
      <groupName>格式问题</groupName>
      <ability>L2_HalfPunc</ability>
      <abilityName>全半角检查</abilityName>
      <candidateList>
        <item>(</item>
      </candidateList>
      <explain>文本全半角错误。</explain>
      <paraID>1ACAD2A9</paraID>
      <start>0</start>
      <end>1</end>
      <status>unmodified</status>
      <modifiedWord/>
      <trackRevisions>false</trackRevisions>
    </reviewItem>
    <reviewItem>
      <errorID>4512016d-9342-4ca2-83de-aa23fa8c7b44</errorID>
      <errorWord>）</errorWord>
      <group>L1_Format</group>
      <groupName>格式问题</groupName>
      <ability>L2_HalfPunc</ability>
      <abilityName>全半角检查</abilityName>
      <candidateList>
        <item>)</item>
      </candidateList>
      <explain>文本全半角错误。</explain>
      <paraID>1ACAD2A9</paraID>
      <start>5</start>
      <end>6</end>
      <status>unmodified</status>
      <modifiedWord/>
      <trackRevisions>false</trackRevisions>
    </reviewItem>
    <reviewItem>
      <errorID>ad93a7ac-611a-470d-a945-992730e80217</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1A3AEF83</paraID>
      <start>17</start>
      <end>18</end>
      <status>unmodified</status>
      <modifiedWord/>
      <trackRevisions>false</trackRevisions>
    </reviewItem>
    <reviewItem>
      <errorID>7634eb7c-21fe-420e-8b3e-4faa0d763884</errorID>
      <errorWord>（</errorWord>
      <group>L1_Punc</group>
      <groupName>标点问题</groupName>
      <ability>L2_Punc</ability>
      <abilityName>标点符号检查</abilityName>
      <candidateList/>
      <explain>同一形式括号套用。</explain>
      <paraID>1730EBBE</paraID>
      <start>53</start>
      <end>54</end>
      <status>unmodified</status>
      <modifiedWord/>
      <trackRevisions>false</trackRevisions>
    </reviewItem>
    <reviewItem>
      <errorID>e748e79a-1491-46ad-8d1f-6820e98c28ae</errorID>
      <errorWord>）</errorWord>
      <group>L1_Punc</group>
      <groupName>标点问题</groupName>
      <ability>L2_Punc</ability>
      <abilityName>标点符号检查</abilityName>
      <candidateList/>
      <explain>同一形式括号套用。</explain>
      <paraID>1730EBBE</paraID>
      <start>58</start>
      <end>59</end>
      <status>unmodified</status>
      <modifiedWord/>
      <trackRevisions>false</trackRevisions>
    </reviewItem>
    <reviewItem>
      <errorID>a5301f1a-933d-438d-8e0e-c0f3df6e94ae</errorID>
      <errorWord>;</errorWord>
      <group>L1_Format</group>
      <groupName>格式问题</groupName>
      <ability>L2_HalfPunc</ability>
      <abilityName>全半角检查</abilityName>
      <candidateList>
        <item>；</item>
      </candidateList>
      <explain>文本全半角错误。</explain>
      <paraID>423AF28B</paraID>
      <start>2</start>
      <end>3</end>
      <status>unmodified</status>
      <modifiedWord/>
      <trackRevisions>false</trackRevisions>
    </reviewItem>
    <reviewItem>
      <errorID>a71cb506-78b4-4de6-b810-d8bccab3d018</errorID>
      <errorWord>，</errorWord>
      <group>L1_Format</group>
      <groupName>格式问题</groupName>
      <ability>L2_HalfPunc</ability>
      <abilityName>全半角检查</abilityName>
      <candidateList>
        <item>,</item>
      </candidateList>
      <explain>文本全半角错误。</explain>
      <paraID>7CC63649</paraID>
      <start>4</start>
      <end>5</end>
      <status>unmodified</status>
      <modifiedWord/>
      <trackRevisions>false</trackRevisions>
    </reviewItem>
    <reviewItem>
      <errorID>da852c35-f0fa-4584-866c-8b42bae2dc61</errorID>
      <errorWord>，</errorWord>
      <group>L1_Format</group>
      <groupName>格式问题</groupName>
      <ability>L2_HalfPunc</ability>
      <abilityName>全半角检查</abilityName>
      <candidateList>
        <item>,</item>
      </candidateList>
      <explain>文本全半角错误。</explain>
      <paraID>414F6185</paraID>
      <start>7</start>
      <end>8</end>
      <status>unmodified</status>
      <modifiedWord/>
      <trackRevisions>false</trackRevisions>
    </reviewItem>
    <reviewItem>
      <errorID>298190ed-127f-4332-b804-d2c07413f9e2</errorID>
      <errorWord>，</errorWord>
      <group>L1_Format</group>
      <groupName>格式问题</groupName>
      <ability>L2_HalfPunc</ability>
      <abilityName>全半角检查</abilityName>
      <candidateList>
        <item>,</item>
      </candidateList>
      <explain>文本全半角错误。</explain>
      <paraID>1A86B75B</paraID>
      <start>4</start>
      <end>5</end>
      <status>unmodified</status>
      <modifiedWord/>
      <trackRevisions>false</trackRevisions>
    </reviewItem>
    <reviewItem>
      <errorID>958e0a07-4212-4233-9de7-df793a773df0</errorID>
      <errorWord>，</errorWord>
      <group>L1_Format</group>
      <groupName>格式问题</groupName>
      <ability>L2_HalfPunc</ability>
      <abilityName>全半角检查</abilityName>
      <candidateList>
        <item>,</item>
      </candidateList>
      <explain>文本全半角错误。</explain>
      <paraID>5803E9C8</paraID>
      <start>6</start>
      <end>7</end>
      <status>unmodified</status>
      <modifiedWord/>
      <trackRevisions>false</trackRevisions>
    </reviewItem>
    <reviewItem>
      <errorID>71ad9984-eed9-4017-a452-995a88847ed0</errorID>
      <errorWord>，</errorWord>
      <group>L1_Format</group>
      <groupName>格式问题</groupName>
      <ability>L2_HalfPunc</ability>
      <abilityName>全半角检查</abilityName>
      <candidateList>
        <item>,</item>
      </candidateList>
      <explain>文本全半角错误。</explain>
      <paraID>7FEA599A</paraID>
      <start>4</start>
      <end>5</end>
      <status>unmodified</status>
      <modifiedWord/>
      <trackRevisions>false</trackRevisions>
    </reviewItem>
    <reviewItem>
      <errorID>390d0166-b5d9-412a-aea0-5b0d1d00b959</errorID>
      <errorWord>汇入到</errorWord>
      <group>L1_Word</group>
      <groupName>字词问题</groupName>
      <ability>L2_Typo</ability>
      <abilityName>字词错误</abilityName>
      <candidateList>
        <item>汇入</item>
      </candidateList>
      <explain/>
      <paraID> 64140CD</paraID>
      <start>25</start>
      <end>28</end>
      <status>unmodified</status>
      <modifiedWord/>
      <trackRevisions>false</trackRevisions>
    </reviewItem>
    <reviewItem>
      <errorID>f2a247cd-a15a-4742-b359-6231bf1c9243</errorID>
      <errorWord>（</errorWord>
      <group>L1_Format</group>
      <groupName>格式问题</groupName>
      <ability>L2_HalfPunc</ability>
      <abilityName>全半角检查</abilityName>
      <candidateList>
        <item>(</item>
      </candidateList>
      <explain>文本全半角错误。</explain>
      <paraID>70E1802E</paraID>
      <start>0</start>
      <end>1</end>
      <status>unmodified</status>
      <modifiedWord/>
      <trackRevisions>false</trackRevisions>
    </reviewItem>
    <reviewItem>
      <errorID>f44f6756-8504-4c62-8c49-a4feb3fe99c2</errorID>
      <errorWord>）</errorWord>
      <group>L1_Format</group>
      <groupName>格式问题</groupName>
      <ability>L2_HalfPunc</ability>
      <abilityName>全半角检查</abilityName>
      <candidateList>
        <item>)</item>
      </candidateList>
      <explain>文本全半角错误。</explain>
      <paraID>70E1802E</paraID>
      <start>5</start>
      <end>6</end>
      <status>unmodified</status>
      <modifiedWord/>
      <trackRevisions>false</trackRevisions>
    </reviewItem>
    <reviewItem>
      <errorID>42ead8d2-ce20-4ee1-afe7-2d34d8e93fab</errorID>
      <errorWord>(</errorWord>
      <group>L1_Format</group>
      <groupName>格式问题</groupName>
      <ability>L2_HalfPunc</ability>
      <abilityName>全半角检查</abilityName>
      <candidateList>
        <item>（</item>
      </candidateList>
      <explain>文本全半角错误。</explain>
      <paraID>6FB00FE1</paraID>
      <start>5</start>
      <end>6</end>
      <status>unmodified</status>
      <modifiedWord/>
      <trackRevisions>false</trackRevisions>
    </reviewItem>
    <reviewItem>
      <errorID>6516a6e6-39d2-4375-accc-da809d10b180</errorID>
      <errorWord>)</errorWord>
      <group>L1_Format</group>
      <groupName>格式问题</groupName>
      <ability>L2_HalfPunc</ability>
      <abilityName>全半角检查</abilityName>
      <candidateList>
        <item>）</item>
      </candidateList>
      <explain>文本全半角错误。</explain>
      <paraID>6FB00FE1</paraID>
      <start>10</start>
      <end>11</end>
      <status>unmodified</status>
      <modifiedWord/>
      <trackRevisions>false</trackRevisions>
    </reviewItem>
    <reviewItem>
      <errorID>3d00a24a-92c3-440f-b1c9-a57b3e509644</errorID>
      <errorWord>(</errorWord>
      <group>L1_Format</group>
      <groupName>格式问题</groupName>
      <ability>L2_HalfPunc</ability>
      <abilityName>全半角检查</abilityName>
      <candidateList>
        <item>（</item>
      </candidateList>
      <explain>文本全半角错误。</explain>
      <paraID>4319A73D</paraID>
      <start>5</start>
      <end>6</end>
      <status>unmodified</status>
      <modifiedWord/>
      <trackRevisions>false</trackRevisions>
    </reviewItem>
    <reviewItem>
      <errorID>31a6c1f8-3139-4b5c-8239-e8f93646a1d4</errorID>
      <errorWord>)</errorWord>
      <group>L1_Format</group>
      <groupName>格式问题</groupName>
      <ability>L2_HalfPunc</ability>
      <abilityName>全半角检查</abilityName>
      <candidateList>
        <item>）</item>
      </candidateList>
      <explain>文本全半角错误。</explain>
      <paraID>4319A73D</paraID>
      <start>10</start>
      <end>11</end>
      <status>unmodified</status>
      <modifiedWord/>
      <trackRevisions>false</trackRevisions>
    </reviewItem>
    <reviewItem>
      <errorID>337926c1-63cf-4cc6-b9b2-972b485e1157</errorID>
      <errorWord>(</errorWord>
      <group>L1_Format</group>
      <groupName>格式问题</groupName>
      <ability>L2_HalfPunc</ability>
      <abilityName>全半角检查</abilityName>
      <candidateList>
        <item>（</item>
      </candidateList>
      <explain>文本全半角错误。</explain>
      <paraID>66288C69</paraID>
      <start>4</start>
      <end>5</end>
      <status>unmodified</status>
      <modifiedWord/>
      <trackRevisions>false</trackRevisions>
    </reviewItem>
    <reviewItem>
      <errorID>e3e5a9bb-60ec-4e01-82f7-88a331032012</errorID>
      <errorWord>)</errorWord>
      <group>L1_Format</group>
      <groupName>格式问题</groupName>
      <ability>L2_HalfPunc</ability>
      <abilityName>全半角检查</abilityName>
      <candidateList>
        <item>）</item>
      </candidateList>
      <explain>文本全半角错误。</explain>
      <paraID>66288C69</paraID>
      <start>9</start>
      <end>10</end>
      <status>unmodified</status>
      <modifiedWord/>
      <trackRevisions>false</trackRevisions>
    </reviewItem>
    <reviewItem>
      <errorID>b8c6e06e-52d4-48c4-a4cf-0d97a0d3a89a</errorID>
      <errorWord>(</errorWord>
      <group>L1_Format</group>
      <groupName>格式问题</groupName>
      <ability>L2_HalfPunc</ability>
      <abilityName>全半角检查</abilityName>
      <candidateList>
        <item>（</item>
      </candidateList>
      <explain>文本全半角错误。</explain>
      <paraID>72532F4F</paraID>
      <start>5</start>
      <end>6</end>
      <status>unmodified</status>
      <modifiedWord/>
      <trackRevisions>false</trackRevisions>
    </reviewItem>
    <reviewItem>
      <errorID>5264a6ac-8d50-4f54-84d2-8c34040be3f4</errorID>
      <errorWord>)</errorWord>
      <group>L1_Format</group>
      <groupName>格式问题</groupName>
      <ability>L2_HalfPunc</ability>
      <abilityName>全半角检查</abilityName>
      <candidateList>
        <item>）</item>
      </candidateList>
      <explain>文本全半角错误。</explain>
      <paraID>72532F4F</paraID>
      <start>10</start>
      <end>11</end>
      <status>unmodified</status>
      <modifiedWord/>
      <trackRevisions>false</trackRevisions>
    </reviewItem>
    <reviewItem>
      <errorID>7b7908d8-3ee5-41a9-addd-475a5cd3daec</errorID>
      <errorWord>(</errorWord>
      <group>L1_Format</group>
      <groupName>格式问题</groupName>
      <ability>L2_HalfPunc</ability>
      <abilityName>全半角检查</abilityName>
      <candidateList>
        <item>（</item>
      </candidateList>
      <explain>文本全半角错误。</explain>
      <paraID>25A1C2A3</paraID>
      <start>7</start>
      <end>8</end>
      <status>unmodified</status>
      <modifiedWord/>
      <trackRevisions>false</trackRevisions>
    </reviewItem>
    <reviewItem>
      <errorID>9ea440a8-1ecf-4db6-aeab-3b9cefda6db9</errorID>
      <errorWord>)</errorWord>
      <group>L1_Format</group>
      <groupName>格式问题</groupName>
      <ability>L2_HalfPunc</ability>
      <abilityName>全半角检查</abilityName>
      <candidateList>
        <item>）</item>
      </candidateList>
      <explain>文本全半角错误。</explain>
      <paraID>25A1C2A3</paraID>
      <start>12</start>
      <end>13</end>
      <status>unmodified</status>
      <modifiedWord/>
      <trackRevisions>false</trackRevisions>
    </reviewItem>
    <reviewItem>
      <errorID>92da343a-7595-467b-b258-60a98989bc85</errorID>
      <errorWord>(</errorWord>
      <group>L1_Format</group>
      <groupName>格式问题</groupName>
      <ability>L2_HalfPunc</ability>
      <abilityName>全半角检查</abilityName>
      <candidateList>
        <item>（</item>
      </candidateList>
      <explain>文本全半角错误。</explain>
      <paraID> A262DF0</paraID>
      <start>5</start>
      <end>6</end>
      <status>unmodified</status>
      <modifiedWord/>
      <trackRevisions>false</trackRevisions>
    </reviewItem>
    <reviewItem>
      <errorID>390cc9f8-be59-4861-8572-dcb61d7770f2</errorID>
      <errorWord>)</errorWord>
      <group>L1_Format</group>
      <groupName>格式问题</groupName>
      <ability>L2_HalfPunc</ability>
      <abilityName>全半角检查</abilityName>
      <candidateList>
        <item>）</item>
      </candidateList>
      <explain>文本全半角错误。</explain>
      <paraID> A262DF0</paraID>
      <start>10</start>
      <end>11</end>
      <status>unmodified</status>
      <modifiedWord/>
      <trackRevisions>false</trackRevisions>
    </reviewItem>
    <reviewItem>
      <errorID>e880eed4-362a-4323-b0d0-6c8a7145b007</errorID>
      <errorWord>(</errorWord>
      <group>L1_Format</group>
      <groupName>格式问题</groupName>
      <ability>L2_HalfPunc</ability>
      <abilityName>全半角检查</abilityName>
      <candidateList>
        <item>（</item>
      </candidateList>
      <explain>文本全半角错误。</explain>
      <paraID> FE0B9B8</paraID>
      <start>5</start>
      <end>6</end>
      <status>unmodified</status>
      <modifiedWord/>
      <trackRevisions>false</trackRevisions>
    </reviewItem>
    <reviewItem>
      <errorID>fed16bf2-cf78-49bd-abed-0bd698c2cb28</errorID>
      <errorWord>)</errorWord>
      <group>L1_Format</group>
      <groupName>格式问题</groupName>
      <ability>L2_HalfPunc</ability>
      <abilityName>全半角检查</abilityName>
      <candidateList>
        <item>）</item>
      </candidateList>
      <explain>文本全半角错误。</explain>
      <paraID> FE0B9B8</paraID>
      <start>10</start>
      <end>11</end>
      <status>unmodified</status>
      <modifiedWord/>
      <trackRevisions>false</trackRevisions>
    </reviewItem>
    <reviewItem>
      <errorID>661a5853-d7e7-4c60-aadb-81722b112f0e</errorID>
      <errorWord>(</errorWord>
      <group>L1_Format</group>
      <groupName>格式问题</groupName>
      <ability>L2_HalfPunc</ability>
      <abilityName>全半角检查</abilityName>
      <candidateList>
        <item>（</item>
      </candidateList>
      <explain>文本全半角错误。</explain>
      <paraID> FE0B9B8</paraID>
      <start>15</start>
      <end>16</end>
      <status>unmodified</status>
      <modifiedWord/>
      <trackRevisions>false</trackRevisions>
    </reviewItem>
    <reviewItem>
      <errorID>b7e09858-2e3c-4328-b2f1-f6f813047de2</errorID>
      <errorWord>)</errorWord>
      <group>L1_Format</group>
      <groupName>格式问题</groupName>
      <ability>L2_HalfPunc</ability>
      <abilityName>全半角检查</abilityName>
      <candidateList>
        <item>）</item>
      </candidateList>
      <explain>文本全半角错误。</explain>
      <paraID> FE0B9B8</paraID>
      <start>18</start>
      <end>19</end>
      <status>unmodified</status>
      <modifiedWord/>
      <trackRevisions>false</trackRevisions>
    </reviewItem>
    <reviewItem>
      <errorID>b4e075c3-6898-4008-b46f-20372c5450b8</errorID>
      <errorWord>(</errorWord>
      <group>L1_Format</group>
      <groupName>格式问题</groupName>
      <ability>L2_HalfPunc</ability>
      <abilityName>全半角检查</abilityName>
      <candidateList>
        <item>（</item>
      </candidateList>
      <explain>文本全半角错误。</explain>
      <paraID>6E0D3005</paraID>
      <start>4</start>
      <end>5</end>
      <status>unmodified</status>
      <modifiedWord/>
      <trackRevisions>false</trackRevisions>
    </reviewItem>
    <reviewItem>
      <errorID>bdea5a35-8b1d-482c-bfc6-a1cc378ccca4</errorID>
      <errorWord>)</errorWord>
      <group>L1_Format</group>
      <groupName>格式问题</groupName>
      <ability>L2_HalfPunc</ability>
      <abilityName>全半角检查</abilityName>
      <candidateList>
        <item>）</item>
      </candidateList>
      <explain>文本全半角错误。</explain>
      <paraID>6E0D3005</paraID>
      <start>6</start>
      <end>7</end>
      <status>unmodified</status>
      <modifiedWord/>
      <trackRevisions>false</trackRevisions>
    </reviewItem>
    <reviewItem>
      <errorID>00ed2dcb-1e5f-4ae2-aa68-f5bef0772dfb</errorID>
      <errorWord>(</errorWord>
      <group>L1_Format</group>
      <groupName>格式问题</groupName>
      <ability>L2_HalfPunc</ability>
      <abilityName>全半角检查</abilityName>
      <candidateList>
        <item>（</item>
      </candidateList>
      <explain>文本全半角错误。</explain>
      <paraID>24FBF650</paraID>
      <start>4</start>
      <end>5</end>
      <status>unmodified</status>
      <modifiedWord/>
      <trackRevisions>false</trackRevisions>
    </reviewItem>
    <reviewItem>
      <errorID>5c3787b9-2527-4baf-8e70-a8ba1c18bd6a</errorID>
      <errorWord>)</errorWord>
      <group>L1_Format</group>
      <groupName>格式问题</groupName>
      <ability>L2_HalfPunc</ability>
      <abilityName>全半角检查</abilityName>
      <candidateList>
        <item>）</item>
      </candidateList>
      <explain>文本全半角错误。</explain>
      <paraID>24FBF650</paraID>
      <start>8</start>
      <end>9</end>
      <status>unmodified</status>
      <modifiedWord/>
      <trackRevisions>false</trackRevisions>
    </reviewItem>
    <reviewItem>
      <errorID>37f20e28-24c1-48bd-88b0-cabe36b1a2bf</errorID>
      <errorWord>汇入到</errorWord>
      <group>L1_Word</group>
      <groupName>字词问题</groupName>
      <ability>L2_Typo</ability>
      <abilityName>字词错误</abilityName>
      <candidateList>
        <item>汇入</item>
      </candidateList>
      <explain/>
      <paraID>324395F0</paraID>
      <start>285</start>
      <end>288</end>
      <status>unmodified</status>
      <modifiedWord/>
      <trackRevisions>false</trackRevisions>
    </reviewItem>
    <reviewItem>
      <errorID>ed21d484-dbee-4ac6-b778-5540394617a8</errorID>
      <errorWord>PH值</errorWord>
      <group>L1_Word</group>
      <groupName>字词问题</groupName>
      <ability>L2_Typo</ability>
      <abilityName>字词错误</abilityName>
      <candidateList>
        <item>pH值</item>
      </candidateList>
      <explain/>
      <paraID>41468C1A</paraID>
      <start>113</start>
      <end>116</end>
      <status>unmodified</status>
      <modifiedWord/>
      <trackRevisions>false</trackRevisions>
    </reviewItem>
    <reviewItem>
      <errorID>3e682840-f044-460e-beae-d9bed7647a29</errorID>
      <errorWord>~</errorWord>
      <group>L1_Format</group>
      <groupName>格式问题</groupName>
      <ability>L2_HalfPunc</ability>
      <abilityName>全半角检查</abilityName>
      <candidateList>
        <item>～</item>
      </candidateList>
      <explain>文本全半角错误。</explain>
      <paraID>41468C1A</paraID>
      <start>129</start>
      <end>130</end>
      <status>unmodified</status>
      <modifiedWord/>
      <trackRevisions>false</trackRevisions>
    </reviewItem>
    <reviewItem>
      <errorID>655ab103-8025-4d26-a6c6-e817705eb082</errorID>
      <errorWord>：</errorWord>
      <group>L1_Format</group>
      <groupName>格式问题</groupName>
      <ability>L2_HalfPunc</ability>
      <abilityName>全半角检查</abilityName>
      <candidateList>
        <item>:</item>
      </candidateList>
      <explain>文本全半角错误。</explain>
      <paraID>41468C1A</paraID>
      <start>142</start>
      <end>143</end>
      <status>unmodified</status>
      <modifiedWord/>
      <trackRevisions>false</trackRevisions>
    </reviewItem>
    <reviewItem>
      <errorID>873ff667-d7d9-4dfc-89fc-d78fb840f0a5</errorID>
      <errorWord>~</errorWord>
      <group>L1_Format</group>
      <groupName>格式问题</groupName>
      <ability>L2_HalfPunc</ability>
      <abilityName>全半角检查</abilityName>
      <candidateList>
        <item>～</item>
      </candidateList>
      <explain>文本全半角错误。</explain>
      <paraID>41468C1A</paraID>
      <start>145</start>
      <end>146</end>
      <status>unmodified</status>
      <modifiedWord/>
      <trackRevisions>false</trackRevisions>
    </reviewItem>
    <reviewItem>
      <errorID>6def8d9c-2198-4580-9077-9a23e1cccb5a</errorID>
      <errorWord>~</errorWord>
      <group>L1_Format</group>
      <groupName>格式问题</groupName>
      <ability>L2_HalfPunc</ability>
      <abilityName>全半角检查</abilityName>
      <candidateList>
        <item>～</item>
      </candidateList>
      <explain>文本全半角错误。</explain>
      <paraID>41468C1A</paraID>
      <start>159</start>
      <end>160</end>
      <status>unmodified</status>
      <modifiedWord/>
      <trackRevisions>false</trackRevisions>
    </reviewItem>
    <reviewItem>
      <errorID>fb269c86-2304-4a8c-be3c-2314dbe5051d</errorID>
      <errorWord>~</errorWord>
      <group>L1_Format</group>
      <groupName>格式问题</groupName>
      <ability>L2_HalfPunc</ability>
      <abilityName>全半角检查</abilityName>
      <candidateList>
        <item>～</item>
      </candidateList>
      <explain>文本全半角错误。</explain>
      <paraID>41468C1A</paraID>
      <start>175</start>
      <end>176</end>
      <status>unmodified</status>
      <modifiedWord/>
      <trackRevisions>false</trackRevisions>
    </reviewItem>
    <reviewItem>
      <errorID>53ac8789-33db-432f-a985-adb80950bf46</errorID>
      <errorWord>截止</errorWord>
      <group>L1_Word</group>
      <groupName>字词问题</groupName>
      <ability>L2_Typo</ability>
      <abilityName>字词错误</abilityName>
      <candidateList>
        <item>截至</item>
      </candidateList>
      <explain>存在发音相同字词的误用。</explain>
      <paraID>79B61A20</paraID>
      <start>60</start>
      <end>62</end>
      <status>unmodified</status>
      <modifiedWord/>
      <trackRevisions>false</trackRevisions>
    </reviewItem>
    <reviewItem>
      <errorID>d7904258-cf31-459f-a803-7fbe12560739</errorID>
      <errorWord>，</errorWord>
      <group>L1_Format</group>
      <groupName>格式问题</groupName>
      <ability>L2_HalfPunc</ability>
      <abilityName>全半角检查</abilityName>
      <candidateList>
        <item>,</item>
      </candidateList>
      <explain>文本全半角错误。</explain>
      <paraID>5FE3B37F</paraID>
      <start>10</start>
      <end>11</end>
      <status>unmodified</status>
      <modifiedWord/>
      <trackRevisions>false</trackRevisions>
    </reviewItem>
    <reviewItem>
      <errorID>7896f65b-2493-4458-8d40-2a28a99e6173</errorID>
      <errorWord>(</errorWord>
      <group>L1_Format</group>
      <groupName>格式问题</groupName>
      <ability>L2_HalfPunc</ability>
      <abilityName>全半角检查</abilityName>
      <candidateList>
        <item>（</item>
      </candidateList>
      <explain>文本全半角错误。</explain>
      <paraID>2F1E53A7</paraID>
      <start>34</start>
      <end>35</end>
      <status>unmodified</status>
      <modifiedWord/>
      <trackRevisions>false</trackRevisions>
    </reviewItem>
    <reviewItem>
      <errorID>b6e033df-0c22-4118-9ffd-9498a96113eb</errorID>
      <errorWord>)</errorWord>
      <group>L1_Format</group>
      <groupName>格式问题</groupName>
      <ability>L2_HalfPunc</ability>
      <abilityName>全半角检查</abilityName>
      <candidateList>
        <item>）</item>
      </candidateList>
      <explain>文本全半角错误。</explain>
      <paraID>2F1E53A7</paraID>
      <start>47</start>
      <end>48</end>
      <status>unmodified</status>
      <modifiedWord/>
      <trackRevisions>false</trackRevisions>
    </reviewItem>
    <reviewItem>
      <errorID>433c6c2c-89ef-4a69-ac87-6483744e675b</errorID>
      <errorWord>(</errorWord>
      <group>L1_Format</group>
      <groupName>格式问题</groupName>
      <ability>L2_HalfPunc</ability>
      <abilityName>全半角检查</abilityName>
      <candidateList>
        <item>（</item>
      </candidateList>
      <explain>文本全半角错误。</explain>
      <paraID>7AB3E777</paraID>
      <start>65</start>
      <end>66</end>
      <status>unmodified</status>
      <modifiedWord/>
      <trackRevisions>false</trackRevisions>
    </reviewItem>
    <reviewItem>
      <errorID>f9c6ed00-c0cf-46ea-a6e8-1c408cd9b315</errorID>
      <errorWord>【2023】141号</errorWord>
      <group>L1_Knowledge</group>
      <groupName>知识性问题</groupName>
      <ability>L2_Knowledge</ability>
      <abilityName>其他知识</abilityName>
      <candidateList>
        <item>〔2023〕141号</item>
      </candidateList>
      <explain>发文字号格式错误。</explain>
      <paraID>6F64B7D2</paraID>
      <start>32</start>
      <end>42</end>
      <status>unmodified</status>
      <modifiedWord/>
      <trackRevisions>false</trackRevisions>
    </reviewItem>
    <reviewItem>
      <errorID>2d266ac7-3318-4fb2-8076-84e8f27339dd</errorID>
      <errorWord>)</errorWord>
      <group>L1_Format</group>
      <groupName>格式问题</groupName>
      <ability>L2_HalfPunc</ability>
      <abilityName>全半角检查</abilityName>
      <candidateList>
        <item>）</item>
      </candidateList>
      <explain>文本全半角错误。</explain>
      <paraID>7FD1D922</paraID>
      <start>33</start>
      <end>34</end>
      <status>unmodified</status>
      <modifiedWord/>
      <trackRevisions>false</trackRevisions>
    </reviewItem>
    <reviewItem>
      <errorID>71bd42b1-03bd-4386-9a95-d6e8e0ea4e8a</errorID>
      <errorWord>)</errorWord>
      <group>L1_Format</group>
      <groupName>格式问题</groupName>
      <ability>L2_HalfPunc</ability>
      <abilityName>全半角检查</abilityName>
      <candidateList>
        <item>）</item>
      </candidateList>
      <explain>文本全半角错误。</explain>
      <paraID>51ECF694</paraID>
      <start>24</start>
      <end>25</end>
      <status>unmodified</status>
      <modifiedWord/>
      <trackRevisions>false</trackRevisions>
    </reviewItem>
    <reviewItem>
      <errorID>de5aaf0b-2e85-4a04-a063-4b5f5d6f8fb9</errorID>
      <errorWord>)</errorWord>
      <group>L1_Format</group>
      <groupName>格式问题</groupName>
      <ability>L2_HalfPunc</ability>
      <abilityName>全半角检查</abilityName>
      <candidateList>
        <item>）</item>
      </candidateList>
      <explain>文本全半角错误。</explain>
      <paraID>39F0E9E7</paraID>
      <start>197</start>
      <end>198</end>
      <status>unmodified</status>
      <modifiedWord/>
      <trackRevisions>false</trackRevisions>
    </reviewItem>
    <reviewItem>
      <errorID>f6f00daf-ab0b-46f5-8969-f031346a4db6</errorID>
      <errorWord>)</errorWord>
      <group>L1_Format</group>
      <groupName>格式问题</groupName>
      <ability>L2_HalfPunc</ability>
      <abilityName>全半角检查</abilityName>
      <candidateList>
        <item>）</item>
      </candidateList>
      <explain>文本全半角错误。</explain>
      <paraID>39F0E9E7</paraID>
      <start>224</start>
      <end>225</end>
      <status>unmodified</status>
      <modifiedWord/>
      <trackRevisions>false</trackRevisions>
    </reviewItem>
    <reviewItem>
      <errorID>4f45ae1a-d121-4545-a602-5e3ce8773949</errorID>
      <errorWord>(</errorWord>
      <group>L1_Format</group>
      <groupName>格式问题</groupName>
      <ability>L2_HalfPunc</ability>
      <abilityName>全半角检查</abilityName>
      <candidateList>
        <item>（</item>
      </candidateList>
      <explain>文本全半角错误。</explain>
      <paraID>39F0E9E7</paraID>
      <start>310</start>
      <end>311</end>
      <status>unmodified</status>
      <modifiedWord/>
      <trackRevisions>false</trackRevisions>
    </reviewItem>
    <reviewItem>
      <errorID>0d3d7776-ae8c-4ad3-9d3b-c28abaaecef4</errorID>
      <errorWord>)</errorWord>
      <group>L1_Format</group>
      <groupName>格式问题</groupName>
      <ability>L2_HalfPunc</ability>
      <abilityName>全半角检查</abilityName>
      <candidateList>
        <item>）</item>
      </candidateList>
      <explain>文本全半角错误。</explain>
      <paraID>39F0E9E7</paraID>
      <start>326</start>
      <end>327</end>
      <status>unmodified</status>
      <modifiedWord/>
      <trackRevisions>false</trackRevisions>
    </reviewItem>
    <reviewItem>
      <errorID>a99bc76d-3eb0-42fb-beb9-88eceaddb6fb</errorID>
      <errorWord>)</errorWord>
      <group>L1_Format</group>
      <groupName>格式问题</groupName>
      <ability>L2_HalfPunc</ability>
      <abilityName>全半角检查</abilityName>
      <candidateList>
        <item>）</item>
      </candidateList>
      <explain>文本全半角错误。</explain>
      <paraID>39F0E9E7</paraID>
      <start>370</start>
      <end>371</end>
      <status>unmodified</status>
      <modifiedWord/>
      <trackRevisions>false</trackRevisions>
    </reviewItem>
    <reviewItem>
      <errorID>cd9b7209-901b-491a-a98a-c206b35564f3</errorID>
      <errorWord>)</errorWord>
      <group>L1_Format</group>
      <groupName>格式问题</groupName>
      <ability>L2_HalfPunc</ability>
      <abilityName>全半角检查</abilityName>
      <candidateList>
        <item>）</item>
      </candidateList>
      <explain>文本全半角错误。</explain>
      <paraID>39F0E9E7</paraID>
      <start>397</start>
      <end>398</end>
      <status>unmodified</status>
      <modifiedWord/>
      <trackRevisions>false</trackRevisions>
    </reviewItem>
    <reviewItem>
      <errorID>5b7f4824-9bf5-4694-b709-78da5ce9ae53</errorID>
      <errorWord>（</errorWord>
      <group>L1_Punc</group>
      <groupName>标点问题</groupName>
      <ability>L2_Punc</ability>
      <abilityName>标点符号检查</abilityName>
      <candidateList>
        <item/>
      </candidateList>
      <explain>同一形式括号套用。</explain>
      <paraID>39F0E9E7</paraID>
      <start>483</start>
      <end>484</end>
      <status>unmodified</status>
      <modifiedWord/>
      <trackRevisions>false</trackRevisions>
    </reviewItem>
    <reviewItem>
      <errorID>649d6d78-bbcd-4626-8983-5e2f84d530ce</errorID>
      <errorWord>(</errorWord>
      <group>L1_Punc</group>
      <groupName>标点问题</groupName>
      <ability>L2_Punc</ability>
      <abilityName>标点符号检查</abilityName>
      <candidateList/>
      <explain>同一形式括号套用。</explain>
      <paraID>39F0E9E7</paraID>
      <start>494</start>
      <end>495</end>
      <status>unmodified</status>
      <modifiedWord/>
      <trackRevisions>false</trackRevisions>
    </reviewItem>
    <reviewItem>
      <errorID>baa8e87f-680b-4f73-a2ce-35465766eddb</errorID>
      <errorWord>)</errorWord>
      <group>L1_Punc</group>
      <groupName>标点问题</groupName>
      <ability>L2_Punc</ability>
      <abilityName>标点符号检查</abilityName>
      <candidateList/>
      <explain>同一形式括号套用。</explain>
      <paraID>39F0E9E7</paraID>
      <start>496</start>
      <end>497</end>
      <status>unmodified</status>
      <modifiedWord/>
      <trackRevisions>false</trackRevisions>
    </reviewItem>
    <reviewItem>
      <errorID>8792cb15-384e-4dfa-ad0b-af53fc45e211</errorID>
      <errorWord>）</errorWord>
      <group>L1_Punc</group>
      <groupName>标点问题</groupName>
      <ability>L2_Punc</ability>
      <abilityName>标点符号检查</abilityName>
      <candidateList/>
      <explain>同一形式括号套用。</explain>
      <paraID>39F0E9E7</paraID>
      <start>497</start>
      <end>498</end>
      <status>unmodified</status>
      <modifiedWord/>
      <trackRevisions>false</trackRevisions>
    </reviewItem>
    <reviewItem>
      <errorID>7d5b7c13-72d9-4d48-b00f-900f1ab2fb5b</errorID>
      <errorWord>)</errorWord>
      <group>L1_Format</group>
      <groupName>格式问题</groupName>
      <ability>L2_HalfPunc</ability>
      <abilityName>全半角检查</abilityName>
      <candidateList>
        <item>）</item>
      </candidateList>
      <explain>文本全半角错误。</explain>
      <paraID>5572E05D</paraID>
      <start>11</start>
      <end>12</end>
      <status>unmodified</status>
      <modifiedWord/>
      <trackRevisions>false</trackRevisions>
    </reviewItem>
    <reviewItem>
      <errorID>ab4a8dbd-6d45-4059-a406-9050302719ee</errorID>
      <errorWord>交由有</errorWord>
      <group>L1_Word</group>
      <groupName>字词问题</groupName>
      <ability>L2_Typo</ability>
      <abilityName>字词错误</abilityName>
      <candidateList>
        <item>交由</item>
      </candidateList>
      <explain/>
      <paraID>2B972D95</paraID>
      <start>53</start>
      <end>56</end>
      <status>unmodified</status>
      <modifiedWord/>
      <trackRevisions>false</trackRevisions>
    </reviewItem>
    <reviewItem>
      <errorID>9cc0d678-0a01-412e-a216-88da53a5b781</errorID>
      <errorWord>(</errorWord>
      <group>L1_Format</group>
      <groupName>格式问题</groupName>
      <ability>L2_HalfPunc</ability>
      <abilityName>全半角检查</abilityName>
      <candidateList>
        <item>（</item>
      </candidateList>
      <explain>文本全半角错误。</explain>
      <paraID>1A9FD4EC</paraID>
      <start>0</start>
      <end>1</end>
      <status>unmodified</status>
      <modifiedWord/>
      <trackRevisions>false</trackRevisions>
    </reviewItem>
    <reviewItem>
      <errorID>0a51b2a8-9b10-4f3f-8838-e90b817cfb74</errorID>
      <errorWord>（</errorWord>
      <group>L1_Format</group>
      <groupName>格式问题</groupName>
      <ability>L2_HalfPunc</ability>
      <abilityName>全半角检查</abilityName>
      <candidateList>
        <item>(</item>
      </candidateList>
      <explain>文本全半角错误。</explain>
      <paraID>4E364B71</paraID>
      <start>5</start>
      <end>6</end>
      <status>unmodified</status>
      <modifiedWord/>
      <trackRevisions>false</trackRevisions>
    </reviewItem>
    <reviewItem>
      <errorID>a4c105e2-a2fc-44b7-b770-0c1896720490</errorID>
      <errorWord>）</errorWord>
      <group>L1_Format</group>
      <groupName>格式问题</groupName>
      <ability>L2_HalfPunc</ability>
      <abilityName>全半角检查</abilityName>
      <candidateList>
        <item>)</item>
      </candidateList>
      <explain>文本全半角错误。</explain>
      <paraID>4E364B71</paraID>
      <start>13</start>
      <end>14</end>
      <status>unmodified</status>
      <modifiedWord/>
      <trackRevisions>false</trackRevisions>
    </reviewItem>
    <reviewItem>
      <errorID>782a56de-fdcd-44eb-9478-2588739541fc</errorID>
      <errorWord>，</errorWord>
      <group>L1_Format</group>
      <groupName>格式问题</groupName>
      <ability>L2_HalfPunc</ability>
      <abilityName>全半角检查</abilityName>
      <candidateList>
        <item>, </item>
      </candidateList>
      <explain>文本全半角错误。</explain>
      <paraID>13E67B1F</paraID>
      <start>1</start>
      <end>2</end>
      <status>unmodified</status>
      <modifiedWord/>
      <trackRevisions>false</trackRevisions>
    </reviewItem>
    <reviewItem>
      <errorID>7419c71a-7454-43f0-bbd3-5ca72d1e347f</errorID>
      <errorWord>(</errorWord>
      <group>L1_Format</group>
      <groupName>格式问题</groupName>
      <ability>L2_HalfPunc</ability>
      <abilityName>全半角检查</abilityName>
      <candidateList>
        <item>（</item>
      </candidateList>
      <explain>文本全半角错误。</explain>
      <paraID>64F2CAAC</paraID>
      <start>5</start>
      <end>6</end>
      <status>unmodified</status>
      <modifiedWord/>
      <trackRevisions>false</trackRevisions>
    </reviewItem>
    <reviewItem>
      <errorID>04604231-dbd7-410a-b2bb-deffcb191217</errorID>
      <errorWord>，</errorWord>
      <group>L1_Word</group>
      <groupName>字词问题</groupName>
      <ability>L2_Typo</ability>
      <abilityName>字词错误</abilityName>
      <candidateList>
        <item>，对</item>
      </candidateList>
      <explain/>
      <paraID>309A23F2</paraID>
      <start>36</start>
      <end>37</end>
      <status>unmodified</status>
      <modifiedWord/>
      <trackRevisions>false</trackRevisions>
    </reviewItem>
    <reviewItem>
      <errorID>e2672c19-fd8a-4470-8a98-309dc30329ab</errorID>
      <errorWord>程</errorWord>
      <group>L1_Word</group>
      <groupName>字词问题</groupName>
      <ability>L2_Typo</ability>
      <abilityName>字词错误</abilityName>
      <candidateList>
        <item>程中</item>
      </candidateList>
      <explain/>
      <paraID>45F96390</paraID>
      <start>4</start>
      <end>5</end>
      <status>unmodified</status>
      <modifiedWord/>
      <trackRevisions>false</trackRevisions>
    </reviewItem>
    <reviewItem>
      <errorID>b8c2207e-20e3-438c-89fb-8f5a178bb61f</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C48F5ED</paraID>
      <start>65</start>
      <end>66</end>
      <status>unmodified</status>
      <modifiedWord/>
      <trackRevisions>false</trackRevisions>
    </reviewItem>
    <reviewItem>
      <errorID>74c938f7-4bdf-403d-9725-098807db8a6a</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4E43F823</paraID>
      <start>29</start>
      <end>30</end>
      <status>unmodified</status>
      <modifiedWord/>
      <trackRevisions>false</trackRevisions>
    </reviewItem>
    <reviewItem>
      <errorID>618507ea-d689-4632-8cb9-12d9924dab1e</errorID>
      <errorWord>汇入到</errorWord>
      <group>L1_Word</group>
      <groupName>字词问题</groupName>
      <ability>L2_Typo</ability>
      <abilityName>字词错误</abilityName>
      <candidateList>
        <item>汇入</item>
      </candidateList>
      <explain/>
      <paraID>7528B8B1</paraID>
      <start>176</start>
      <end>179</end>
      <status>unmodified</status>
      <modifiedWord/>
      <trackRevisions>false</trackRevisions>
    </reviewItem>
    <reviewItem>
      <errorID>62e6a7f3-ca8b-47e1-b3f4-d250f7938db4</errorID>
      <errorWord>(</errorWord>
      <group>L1_Format</group>
      <groupName>格式问题</groupName>
      <ability>L2_HalfPunc</ability>
      <abilityName>全半角检查</abilityName>
      <candidateList>
        <item>（</item>
      </candidateList>
      <explain>文本全半角错误。</explain>
      <paraID> 7E58487</paraID>
      <start>10</start>
      <end>11</end>
      <status>unmodified</status>
      <modifiedWord/>
      <trackRevisions>false</trackRevisions>
    </reviewItem>
    <reviewItem>
      <errorID>3d92a162-69d2-444d-96c1-5a2a5f134a9f</errorID>
      <errorWord>)</errorWord>
      <group>L1_Format</group>
      <groupName>格式问题</groupName>
      <ability>L2_HalfPunc</ability>
      <abilityName>全半角检查</abilityName>
      <candidateList>
        <item>）</item>
      </candidateList>
      <explain>文本全半角错误。</explain>
      <paraID> 7E58487</paraID>
      <start>15</start>
      <end>16</end>
      <status>unmodified</status>
      <modifiedWord/>
      <trackRevisions>false</trackRevisions>
    </reviewItem>
    <reviewItem>
      <errorID>2eba37da-c0a4-4e07-8c83-922ba776c2d4</errorID>
      <errorWord>(</errorWord>
      <group>L1_Format</group>
      <groupName>格式问题</groupName>
      <ability>L2_HalfPunc</ability>
      <abilityName>全半角检查</abilityName>
      <candidateList>
        <item>（</item>
      </candidateList>
      <explain>文本全半角错误。</explain>
      <paraID>3B8FB5DB</paraID>
      <start>3</start>
      <end>4</end>
      <status>unmodified</status>
      <modifiedWord/>
      <trackRevisions>false</trackRevisions>
    </reviewItem>
    <reviewItem>
      <errorID>65ee18dc-a08f-459c-988b-a2880ee3beec</errorID>
      <errorWord>)</errorWord>
      <group>L1_Format</group>
      <groupName>格式问题</groupName>
      <ability>L2_HalfPunc</ability>
      <abilityName>全半角检查</abilityName>
      <candidateList>
        <item>）</item>
      </candidateList>
      <explain>文本全半角错误。</explain>
      <paraID>3B8FB5DB</paraID>
      <start>9</start>
      <end>10</end>
      <status>unmodified</status>
      <modifiedWord/>
      <trackRevisions>false</trackRevisions>
    </reviewItem>
    <reviewItem>
      <errorID>d06136a5-3595-4dc7-a77e-21698bed791c</errorID>
      <errorWord>(</errorWord>
      <group>L1_Format</group>
      <groupName>格式问题</groupName>
      <ability>L2_HalfPunc</ability>
      <abilityName>全半角检查</abilityName>
      <candidateList>
        <item>（</item>
      </candidateList>
      <explain>文本全半角错误。</explain>
      <paraID>211882AF</paraID>
      <start>13</start>
      <end>14</end>
      <status>unmodified</status>
      <modifiedWord/>
      <trackRevisions>false</trackRevisions>
    </reviewItem>
    <reviewItem>
      <errorID>9b725244-9c44-491c-9eb4-ea0ac1526d99</errorID>
      <errorWord>)</errorWord>
      <group>L1_Format</group>
      <groupName>格式问题</groupName>
      <ability>L2_HalfPunc</ability>
      <abilityName>全半角检查</abilityName>
      <candidateList>
        <item>）</item>
      </candidateList>
      <explain>文本全半角错误。</explain>
      <paraID>211882AF</paraID>
      <start>26</start>
      <end>27</end>
      <status>unmodified</status>
      <modifiedWord/>
      <trackRevisions>false</trackRevisions>
    </reviewItem>
    <reviewItem>
      <errorID>781fbb89-0681-4f89-acd8-fdd9ff4dc79e</errorID>
      <errorWord>（</errorWord>
      <group>L1_Punc</group>
      <groupName>标点问题</groupName>
      <ability>L2_Punc</ability>
      <abilityName>标点符号检查</abilityName>
      <candidateList>
        <item/>
      </candidateList>
      <explain>同一形式括号套用。</explain>
      <paraID>3BA4E240</paraID>
      <start>39</start>
      <end>40</end>
      <status>unmodified</status>
      <modifiedWord/>
      <trackRevisions>false</trackRevisions>
    </reviewItem>
    <reviewItem>
      <errorID>7edcbac7-1dab-4356-bc8d-53dc0bf79821</errorID>
      <errorWord>(</errorWord>
      <group>L1_Punc</group>
      <groupName>标点问题</groupName>
      <ability>L2_Punc</ability>
      <abilityName>标点符号检查</abilityName>
      <candidateList/>
      <explain>同一形式括号套用。</explain>
      <paraID>3BA4E240</paraID>
      <start>50</start>
      <end>51</end>
      <status>unmodified</status>
      <modifiedWord/>
      <trackRevisions>false</trackRevisions>
    </reviewItem>
    <reviewItem>
      <errorID>ca3a957b-8624-4480-8072-444733b3461d</errorID>
      <errorWord>)</errorWord>
      <group>L1_Punc</group>
      <groupName>标点问题</groupName>
      <ability>L2_Punc</ability>
      <abilityName>标点符号检查</abilityName>
      <candidateList/>
      <explain>同一形式括号套用。</explain>
      <paraID>3BA4E240</paraID>
      <start>52</start>
      <end>53</end>
      <status>unmodified</status>
      <modifiedWord/>
      <trackRevisions>false</trackRevisions>
    </reviewItem>
    <reviewItem>
      <errorID>3c24f67c-42c5-4876-b73a-2e267959b06a</errorID>
      <errorWord>）</errorWord>
      <group>L1_Punc</group>
      <groupName>标点问题</groupName>
      <ability>L2_Punc</ability>
      <abilityName>标点符号检查</abilityName>
      <candidateList/>
      <explain>同一形式括号套用。</explain>
      <paraID>3BA4E240</paraID>
      <start>59</start>
      <end>60</end>
      <status>unmodified</status>
      <modifiedWord/>
      <trackRevisions>false</trackRevisions>
    </reviewItem>
    <reviewItem>
      <errorID>76d82cb8-603c-470d-9285-d3226e225b25</errorID>
      <errorWord>提高</errorWord>
      <group>L1_Grammar</group>
      <groupName>语法问题</groupName>
      <ability>L2_Grammar</ability>
      <abilityName>语法错误</abilityName>
      <candidateList>
        <item>增强</item>
      </candidateList>
      <explain>“提高～意识”搭配不当，建议修改为“增强～意识”。</explain>
      <paraID>42E859B8</paraID>
      <start>10</start>
      <end>12</end>
      <status>unmodified</status>
      <modifiedWord/>
      <trackRevisions>false</trackRevisions>
    </reviewItem>
    <reviewItem>
      <errorID>c7b8044a-f700-415f-a965-fabea52dc13e</errorID>
      <errorWord>&lt;</errorWord>
      <group>L1_Format</group>
      <groupName>格式问题</groupName>
      <ability>L2_HalfPunc</ability>
      <abilityName>全半角检查</abilityName>
      <candidateList>
        <item>〈</item>
      </candidateList>
      <explain>文本全半角错误。</explain>
      <paraID>354862CB</paraID>
      <start>10</start>
      <end>11</end>
      <status>unmodified</status>
      <modifiedWord/>
      <trackRevisions>false</trackRevisions>
    </reviewItem>
    <reviewItem>
      <errorID>c65d1a7b-631c-4e61-a26d-b55fcd2c59e5</errorID>
      <errorWord>(</errorWord>
      <group>L1_Format</group>
      <groupName>格式问题</groupName>
      <ability>L2_HalfPunc</ability>
      <abilityName>全半角检查</abilityName>
      <candidateList>
        <item>（</item>
      </candidateList>
      <explain>文本全半角错误。</explain>
      <paraID>354862CB</paraID>
      <start>23</start>
      <end>24</end>
      <status>unmodified</status>
      <modifiedWord/>
      <trackRevisions>false</trackRevisions>
    </reviewItem>
    <reviewItem>
      <errorID>0f17ccb8-fa55-465f-b754-0e6552812694</errorID>
      <errorWord>)</errorWord>
      <group>L1_Format</group>
      <groupName>格式问题</groupName>
      <ability>L2_HalfPunc</ability>
      <abilityName>全半角检查</abilityName>
      <candidateList>
        <item>）</item>
      </candidateList>
      <explain>文本全半角错误。</explain>
      <paraID>354862CB</paraID>
      <start>26</start>
      <end>27</end>
      <status>unmodified</status>
      <modifiedWord/>
      <trackRevisions>false</trackRevisions>
    </reviewItem>
    <reviewItem>
      <errorID>a047f2d4-b1de-46aa-b315-e192f6309361</errorID>
      <errorWord>&gt;》</errorWord>
      <group>L1_Punc</group>
      <groupName>标点问题</groupName>
      <ability>L2_Punc</ability>
      <abilityName>标点符号检查</abilityName>
      <candidateList>
        <item>》</item>
      </candidateList>
      <explain/>
      <paraID>354862CB</paraID>
      <start>27</start>
      <end>29</end>
      <status>unmodified</status>
      <modifiedWord/>
      <trackRevisions>false</trackRevisions>
    </reviewItem>
    <reviewItem>
      <errorID>38ba3f3a-f348-4434-9054-11ded01a6c19</errorID>
      <errorWord>整</errorWord>
      <group>L1_Word</group>
      <groupName>字词问题</groupName>
      <ability>L2_Typo</ability>
      <abilityName>字词错误</abilityName>
      <candidateList>
        <item>整个</item>
      </candidateList>
      <explain/>
      <paraID>354862CB</paraID>
      <start>37</start>
      <end>38</end>
      <status>unmodified</status>
      <modifiedWord/>
      <trackRevisions>false</trackRevisions>
    </reviewItem>
    <reviewItem>
      <errorID>b55b9371-9bc3-4c64-afff-606c339bc02e</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1654952</paraID>
      <start>69</start>
      <end>70</end>
      <status>unmodified</status>
      <modifiedWord/>
      <trackRevisions>false</trackRevisions>
    </reviewItem>
    <reviewItem>
      <errorID>76cc9bd5-2918-4d6b-af9d-3058a76421a9</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290CFF9A</paraID>
      <start>85</start>
      <end>86</end>
      <status>unmodified</status>
      <modifiedWord/>
      <trackRevisions>false</trackRevisions>
    </reviewItem>
    <reviewItem>
      <errorID>61f27b63-e4a5-462f-b7b8-2f1f82df4be3</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3891CC15</paraID>
      <start>105</start>
      <end>106</end>
      <status>unmodified</status>
      <modifiedWord/>
      <trackRevisions>false</trackRevisions>
    </reviewItem>
    <reviewItem>
      <errorID>848a3761-0ca1-4001-b7e4-5ae1245ea59f</errorID>
      <errorWord>期</errorWord>
      <group>L1_Word</group>
      <groupName>字词问题</groupName>
      <ability>L2_Typo</ability>
      <abilityName>字词错误</abilityName>
      <candidateList>
        <item>期间</item>
      </candidateList>
      <explain>〈名〉某个时期里面：农忙～｜春节～｜抗战～。</explain>
      <paraID> 2107981</paraID>
      <start>5</start>
      <end>6</end>
      <status>unmodified</status>
      <modifiedWord/>
      <trackRevisions>false</trackRevisions>
    </reviewItem>
  </reviewItems>
  <config/>
</contractReview>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81a53c74-71cd-45e7-8d36-57f51fc094ca}">
  <ds:schemaRefs/>
</ds:datastoreItem>
</file>

<file path=docProps/app.xml><?xml version="1.0" encoding="utf-8"?>
<Properties xmlns="http://schemas.openxmlformats.org/officeDocument/2006/extended-properties" xmlns:vt="http://schemas.openxmlformats.org/officeDocument/2006/docPropsVTypes">
  <Template>wdzx97</Template>
  <Company>微软中国</Company>
  <Pages>87</Pages>
  <Words>6370</Words>
  <Characters>6759</Characters>
  <Lines>13</Lines>
  <Paragraphs>3</Paragraphs>
  <TotalTime>5</TotalTime>
  <ScaleCrop>false</ScaleCrop>
  <LinksUpToDate>false</LinksUpToDate>
  <CharactersWithSpaces>6768</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2020-12-24T01:29:00Z</dcterms:created>
  <dc:creator>lhj</dc:creator>
  <cp:lastModifiedBy>W</cp:lastModifiedBy>
  <cp:lastPrinted>2025-12-05T07:32:00Z</cp:lastPrinted>
  <dcterms:modified xsi:type="dcterms:W3CDTF">2026-04-24T03:36:05Z</dcterms:modified>
  <dc:title>附件2</dc:title>
  <cp:revision>37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ICV">
    <vt:lpwstr>6541BAF229664658BCEABF9C71D7612C_13</vt:lpwstr>
  </property>
  <property fmtid="{D5CDD505-2E9C-101B-9397-08002B2CF9AE}" pid="4" name="KSOTemplateDocerSaveRecord">
    <vt:lpwstr>eyJoZGlkIjoiNjg4NzdjYTIzN2U0MzQ3YWZmNzA0YjllZGY0ZDAwNWYiLCJ1c2VySWQiOiIxMzE3NTIwNjQyIn0=</vt:lpwstr>
  </property>
</Properties>
</file>